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cs="Times New Roman"/>
          <w:b/>
          <w:bCs/>
          <w:sz w:val="32"/>
          <w:szCs w:val="32"/>
          <w:lang w:val="en" w:bidi="en-US"/>
        </w:rPr>
      </w:pPr>
      <w:r>
        <w:rPr>
          <w:rFonts w:ascii="Times New Roman" w:hAnsi="Times New Roman" w:cs="Times New Roman"/>
          <w:b/>
          <w:bCs/>
          <w:sz w:val="32"/>
          <w:szCs w:val="32"/>
          <w:lang w:bidi="en-US"/>
        </w:rPr>
        <w:t>Supplementary Information</w:t>
      </w:r>
    </w:p>
    <w:p>
      <w:pPr>
        <w:rPr>
          <w:rFonts w:ascii="Times New Roman" w:hAnsi="Times New Roman" w:cs="Times New Roman"/>
          <w:b/>
          <w:bCs/>
          <w:sz w:val="28"/>
          <w:szCs w:val="28"/>
          <w:lang w:val="en"/>
        </w:rPr>
      </w:pPr>
      <w:r>
        <w:rPr>
          <w:rFonts w:ascii="Times New Roman" w:hAnsi="Times New Roman" w:cs="Times New Roman"/>
          <w:b/>
          <w:bCs/>
          <w:sz w:val="28"/>
          <w:szCs w:val="28"/>
          <w:lang w:val="en" w:bidi="en-US"/>
        </w:rPr>
        <w:t>RepMOBO: Representation-Guided Multi-Objective Bayesian Optimization for Pareto-Optimal MOF Discovery</w:t>
      </w:r>
    </w:p>
    <w:p>
      <w:pPr>
        <w:rPr>
          <w:rFonts w:ascii="Times New Roman" w:hAnsi="Times New Roman" w:cs="Times New Roman"/>
        </w:rPr>
      </w:pPr>
    </w:p>
    <w:p>
      <w:pPr>
        <w:pStyle w:val="2"/>
        <w:spacing w:before="0" w:after="0"/>
        <w:rPr>
          <w:rFonts w:ascii="Times New Roman" w:hAnsi="Times New Roman" w:cs="Times New Roman"/>
          <w:color w:val="auto"/>
          <w:sz w:val="28"/>
          <w:szCs w:val="28"/>
        </w:rPr>
      </w:pPr>
      <w:r>
        <w:rPr>
          <w:rFonts w:ascii="Times New Roman" w:hAnsi="Times New Roman" w:cs="Times New Roman"/>
          <w:b/>
          <w:bCs/>
          <w:color w:val="auto"/>
          <w:sz w:val="28"/>
          <w:szCs w:val="28"/>
        </w:rPr>
        <w:t>Supplementary Note 1 — MOF library curation and Manual descriptor definitions</w:t>
      </w:r>
    </w:p>
    <w:p>
      <w:pPr>
        <w:rPr>
          <w:rFonts w:ascii="Times New Roman" w:hAnsi="Times New Roman" w:cs="Times New Roman"/>
          <w:b/>
          <w:bCs/>
          <w:sz w:val="22"/>
        </w:rPr>
      </w:pPr>
      <w:r>
        <w:rPr>
          <w:rFonts w:ascii="Times New Roman" w:hAnsi="Times New Roman" w:cs="Times New Roman"/>
          <w:b/>
          <w:bCs/>
          <w:sz w:val="22"/>
        </w:rPr>
        <w:t>S1.1 Source library and curation principles</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starting library comprised 15,333 computation-ready structures from the CoRE MOF 2019 database</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{"citationID":"MkTVy8hY","properties":{"unsorted":false,"formattedCitation":"\\super 1\\nosupersub{}","plainCitation":"1","noteIndex":0},"citationItems":[{"id":5552,"uris":["http://zotero.org/users/10807631/items/J39A6FU5"],"itemData":{"id":5552,"type":"article-journal","abstract":"Over 14 000 porous, three-dimensional metal−organic framework structures are compiled and analyzed as a part of an update to the Computation-Ready, Experimental Metal−Organic Framework Database (CoRE MOF Database). The updated database includes additional structures that were contributed by CoRE MOF users, obtained from updates of the Cambridge Structural Database and a Web of Science search, and derived through semiautomated reconstruction of disordered structures using a topology-based crystal generator. In addition, value is added to the CoRE MOF database through new analyses that can speed up future nanoporous materials discovery activities, including open metal site detection and duplicate searches. Crystal structures (only for the subset that underwent signiﬁcant changes during curation), pore analytics, and physical property data are included with the publicly available CoRE MOF 2019 database.","container-title":"Journal of Chemical &amp; Engineering Data","DOI":"10.1021/acs.jced.9b00835","ISSN":"0021-9568, 1520-5134","issue":"12","journalAbbreviation":"J. Chem. Eng. Data","language":"en","note":"TLDR: Over 14 000 porous, three-dimensional metal–organic framework structures are compiled and analyzed as a part of an update to the Computation-Ready, Experimental Metal–Organic Framework Database.","page":"5985-5998","source":"DOI.org (Crossref)","title":"Advances, Updates, and Analytics for the Computation-Ready, Experimental Metal–Organic Framework Database: CoRE MOF 2019","title-short":"Advances, Updates, and Analytics for the Computation-Ready, Experimental Metal–Organic Framework Database","URL":"https://pubs.acs.org/doi/10.1021/acs.jced.9b00835","volume":"64","author":[{"family":"Chung","given":"Yongchul G."},{"family":"Haldoupis","given":"Emmanuel"},{"family":"Bucior","given":"Benjamin J."},{"family":"Haranczyk","given":"Maciej"},{"family":"Lee","given":"Seulchan"},{"family":"Zhang","given":"Hongda"},{"family":"Vogiatzis","given":"Konstantinos D."},{"family":"Milisavljevic","given":"Marija"},{"family":"Ling","given":"Sanliang"},{"family":"Camp","given":"Jeffrey S."},{"family":"Slater","given":"Ben"},{"family":"Siepmann","given":"J. Ilja"},{"family":"Sholl","given":"David S."},{"family":"Snurr","given":"Randall Q."}],"accessed":{"date-parts":[["2023",10,10]]},"issued":{"date-parts":[["2019",12,12]]}}}],"schema":"https://github.com/citation-style-language/schema/raw/master/csl-citation.json"}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1</w:t>
      </w:r>
      <w:r>
        <w:rPr>
          <w:rFonts w:ascii="Times New Roman" w:hAnsi="Times New Roman" w:cs="Times New Roman"/>
          <w:sz w:val="20"/>
          <w:szCs w:val="20"/>
        </w:rPr>
        <w:fldChar w:fldCharType="end"/>
      </w:r>
      <w:r>
        <w:rPr>
          <w:rFonts w:ascii="Times New Roman" w:hAnsi="Times New Roman" w:cs="Times New Roman"/>
          <w:sz w:val="20"/>
          <w:szCs w:val="20"/>
        </w:rPr>
        <w:t>. Each structure was assigned a unique MOF identifier, which was retained throughout structure processing, descriptor construction and downstream data alignment.</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curation workflow was defined before any adsorption-label analysis and did not use uptake thresholds, target-specific rankings, model predictions or Pareto information.</w:t>
      </w:r>
      <w:r>
        <w:rPr>
          <w:rFonts w:ascii="Times New Roman" w:hAnsi="Times New Roman" w:cs="Times New Roman"/>
          <w:color w:val="0000FF"/>
          <w:sz w:val="20"/>
          <w:szCs w:val="20"/>
        </w:rPr>
        <w:t xml:space="preserve"> </w:t>
      </w:r>
      <w:r>
        <w:rPr>
          <w:rFonts w:ascii="Times New Roman" w:hAnsi="Times New Roman" w:cs="Times New Roman"/>
          <w:sz w:val="20"/>
          <w:szCs w:val="20"/>
        </w:rPr>
        <w:t>Structure-derived quantities were calculated to assess structural processability, descriptor completeness and numerical validity required for downstream modelling. The final candidate library was fixed before representation benchmarking, oracle Pareto analysis and retrospective multi-objective Bayesian optimization.</w:t>
      </w:r>
    </w:p>
    <w:p>
      <w:pPr>
        <w:rPr>
          <w:rFonts w:ascii="Times New Roman" w:hAnsi="Times New Roman" w:cs="Times New Roman"/>
          <w:b/>
          <w:bCs/>
          <w:sz w:val="22"/>
        </w:rPr>
      </w:pPr>
      <w:r>
        <w:rPr>
          <w:rFonts w:ascii="Times New Roman" w:hAnsi="Times New Roman" w:cs="Times New Roman"/>
          <w:b/>
          <w:bCs/>
          <w:sz w:val="22"/>
        </w:rPr>
        <w:t>S1.2 Manual descriptor definitions and calculation</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Manual representation comprised 14 handcrafted physicochemical descriptors spanning pore geometry, framework composition, electronegativity heterogeneity, local metal coordination and compositional unsaturation. These descriptors were pore-limiting diameter (PLD), largest cavity diameter (LCD), volumetric surface area (VSA), helium-accessible void fraction, framework density, the atomic fractions of carbon, oxygen, nitrogen, halogens and metals, the composition-weighted mean and standard deviation (s.d.) of Pauling electronegativity (EN), mean metal coordination number and carbon-normalized total degree of unsaturation (normalized TDU). All descriptors were calculated from the curated crystallographic structures, independently of the CEES, DMMP and EtCl adsorption labels.</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PLD and LCD were calculated using Zeo++</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{"citationID":"4V53V5u5","properties":{"unsorted":false,"formattedCitation":"\\super 2\\nosupersub{}","plainCitation":"2","noteIndex":0},"citationItems":[{"id":8928,"uris":["http://zotero.org/users/10807631/items/HXZQI2K8"],"itemData":{"id":8928,"type":"article-journal","abstract":"Crystalline porous materials have a variety of uses, such as for catalysis and separation. Identifying suitable materials for a given application can, in principle, be done by screening material databases. Such a screening requires automated high-throughput analysis tools that calculate structural properties for all materials contained in a database so they can be compared with search queries, grouped or classiﬁed. One important aspect of the structural analysis of materials such as zeolites and metal organic frameworks is the investigation of the geometrical parameters describing pores. Here, we present algorithms and tools to efﬁciently calculate some of these important parameters. Our tools are based on the Voronoi decomposition, which for a given arrangement of atoms in a periodic domain provides a graph representation of the void space. The resulting Voronoi network is analyzed to obtain the diameter of the largest included sphere and the largest free sphere, which are two geometrical parameters that are frequently used to describe pore geometry. Accessibility of nodes in the network is also determined for a given guest molecule and the resulting information is later used to retrieve dimensionality of channel systems as well as in Monte Carlo sampling of accessible surfaces and volumes. The presented algorithms are implemented in a software tool, Zeo++, which includes a modiﬁed version of the Voro++ library. We present example applications of our algorithms and tools using zeolite frameworks currently listed in the Atlas of Zeolite Frameworks.","container-title":"Microporous and Mesoporous Materials","DOI":"10.1016/j.micromeso.2011.08.020","ISSN":"1387-1811","issue":"1","journalAbbreviation":"Microporous Mesoporous Mater.","language":"en","license":"https://www.elsevier.com/tdm/userlicense/1.0/","page":"134-141","source":"DOI.org (Crossref)","title":"Algorithms and tools for high-throughput geometry-based analysis of crystalline porous materials","URL":"https://linkinghub.elsevier.com/retrieve/pii/S1387181111003738","volume":"149","author":[{"family":"Willems","given":"Thomas F."},{"family":"Rycroft","given":"Chris H."},{"family":"Kazi","given":"Michaeel"},{"family":"Meza","given":"Juan C."},{"family":"Haranczyk","given":"Maciej"}],"accessed":{"date-parts":[["2024",8,25]]},"issued":{"date-parts":[["2012",2]]}}}],"schema":"https://github.com/citation-style-language/schema/raw/master/csl-citation.json"}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2</w:t>
      </w:r>
      <w:r>
        <w:rPr>
          <w:rFonts w:ascii="Times New Roman" w:hAnsi="Times New Roman" w:cs="Times New Roman"/>
          <w:sz w:val="20"/>
          <w:szCs w:val="20"/>
        </w:rPr>
        <w:fldChar w:fldCharType="end"/>
      </w:r>
      <w:r>
        <w:rPr>
          <w:rFonts w:ascii="Times New Roman" w:hAnsi="Times New Roman" w:cs="Times New Roman"/>
          <w:sz w:val="20"/>
          <w:szCs w:val="20"/>
        </w:rPr>
        <w:t>. VSA and void fraction were obtained from probe-accessible geometry calculations in RASPA</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{"citationID":"yvX1t57p","properties":{"unsorted":false,"formattedCitation":"\\super 3\\nosupersub{}","plainCitation":"3","noteIndex":0},"citationItems":[{"id":8931,"uris":["http://zotero.org/users/10807631/items/2RJBH4RI"],"itemData":{"id":8931,"type":"article-journal","container-title":"Molecular Simulation","DOI":"10.1080/08927022.2015.1010082","ISSN":"0892-7022, 1029-0435","issue":"2","journalAbbreviation":"Mol. Simulat.","language":"en","page":"81-101","source":"DOI.org (Crossref)","title":"RASPA: molecular simulation software for adsorption and diffusion in flexible nanoporous materials","title-short":"RASPA","URL":"http://www.tandfonline.com/doi/full/10.1080/08927022.2015.1010082","volume":"42","author":[{"family":"Dubbeldam","given":"David"},{"family":"Calero","given":"Sofía"},{"family":"Ellis","given":"Donald E."},{"family":"Snurr","given":"Randall Q."}],"accessed":{"date-parts":[["2024",8,25]]},"issued":{"date-parts":[["2016",1,22]]}}}],"schema":"https://github.com/citation-style-language/schema/raw/master/csl-citation.json"}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3</w:t>
      </w:r>
      <w:r>
        <w:rPr>
          <w:rFonts w:ascii="Times New Roman" w:hAnsi="Times New Roman" w:cs="Times New Roman"/>
          <w:sz w:val="20"/>
          <w:szCs w:val="20"/>
        </w:rPr>
        <w:fldChar w:fldCharType="end"/>
      </w:r>
      <w:r>
        <w:rPr>
          <w:rFonts w:ascii="Times New Roman" w:hAnsi="Times New Roman" w:cs="Times New Roman"/>
          <w:sz w:val="20"/>
          <w:szCs w:val="20"/>
        </w:rPr>
        <w:t xml:space="preserve"> using N₂ and He probes, respectively. Framework density was calculated from the Zeo++. The elemental atomic fractions were derived from unit-cell compositions parsed using pymatgen</w:t>
      </w:r>
      <w:r>
        <w:rPr>
          <w:rFonts w:ascii="Times New Roman" w:hAnsi="Times New Roman" w:cs="Times New Roman"/>
          <w:color w:val="FF0000"/>
          <w:sz w:val="20"/>
          <w:szCs w:val="20"/>
        </w:rPr>
        <w:fldChar w:fldCharType="begin"/>
      </w:r>
      <w:r>
        <w:rPr>
          <w:rFonts w:ascii="Times New Roman" w:hAnsi="Times New Roman" w:cs="Times New Roman"/>
          <w:color w:val="FF0000"/>
          <w:sz w:val="20"/>
          <w:szCs w:val="20"/>
        </w:rPr>
        <w:instrText xml:space="preserve"> ADDIN ZOTERO_ITEM CSL_CITATION {"citationID":"xeuIUlmA","properties":{"unsorted":false,"formattedCitation":"\\super 4\\nosupersub{}","plainCitation":"4","noteIndex":0},"citationItems":[{"id":11516,"uris":["http://zotero.org/users/10807631/items/85KALKI7"],"itemData":{"id":11516,"type":"article-journal","abstract":"We present the Python Materials Genomics (pymatgen) library, a robust, open-source Python library for materials analysis. A key enabler in high-throughput computational materials science efforts is a robust set of software tools to perform initial setup for the calculations (e.g., generation of structures and necessary input ﬁles) and post-calculation analysis to derive useful material properties from raw calculated data. The pymatgen library aims to meet these needs by (1) deﬁning core Python objects for materials data representation, (2) providing a well-tested set of structure and thermodynamic analyses relevant to many applications, and (3) establishing an open platform for researchers to collaboratively develop sophisticated analyses of materials data obtained both from ﬁrst principles calculations and experiments. The pymatgen library also provides convenient tools to obtain useful materials data via the Materials Project’s REpresentational State Transfer (REST) Application Programming Interface (API). As an example, using pymatgen’s interface to the Materials Project’s RESTful API and phasediagram package, we demonstrate how the phase and electrochemical stability of a recently synthesized material, Li4SnS4, can be analyzed using a minimum of computing resources. We ﬁnd that Li4SnS4 is a stable phase in the Li–Sn–S phase diagram (consistent with the fact that it can be synthesized), but the narrow range of lithium chemical potentials for which it is predicted to be stable would suggest that it is not intrinsically stable against typical electrodes used in lithium-ion batteries.","container-title":"Computational Materials Science","DOI":"10.1016/j.commatsci.2012.10.028","ISSN":"09270256","journalAbbreviation":"Comput. Mater. Sci.","language":"en","license":"https://www.elsevier.com/tdm/userlicense/1.0/","note":"JCR分区: Q2\n中科院分区升级版: 材料科学3区\n影响因子: 3.7\n5年影响因子: 3.8\nEI: 是\n南农高质量: C","page":"314-319","source":"DOI.org (Crossref)","title":"Python materials genomics (pymatgen): A robust, open-source python library for materials analysis","title-short":"Python materials genomics (pymatgen)","URL":"https://linkinghub.elsevier.com/retrieve/pii/S0927025612006295","volume":"68","author":[{"family":"Ong","given":"Shyue Ping"},{"family":"Richards","given":"William Davidson"},{"family":"Jain","given":"Anubhav"},{"family":"Hautier","given":"Geoffroy"},{"family":"Kocher","given":"Michael"},{"family":"Cholia","given":"Shreyas"},{"family":"Gunter","given":"Dan"},{"family":"Chevrier","given":"Vincent L."},{"family":"Persson","given":"Kristin A."},{"family":"Ceder","given":"Gerbrand"}],"accessed":{"date-parts":[["2026",9,4]]},"issued":{"date-parts":[["2013",2]]}}}],"schema":"https://github.com/citation-style-language/schema/raw/master/csl-citation.json"} </w:instrText>
      </w:r>
      <w:r>
        <w:rPr>
          <w:rFonts w:ascii="Times New Roman" w:hAnsi="Times New Roman" w:cs="Times New Roman"/>
          <w:color w:val="FF0000"/>
          <w:sz w:val="20"/>
          <w:szCs w:val="20"/>
        </w:rPr>
        <w:fldChar w:fldCharType="separate"/>
      </w:r>
      <w:r>
        <w:rPr>
          <w:rFonts w:ascii="Times New Roman" w:hAnsi="Times New Roman" w:cs="Times New Roman"/>
          <w:kern w:val="0"/>
          <w:sz w:val="20"/>
          <w:vertAlign w:val="superscript"/>
        </w:rPr>
        <w:t>4</w:t>
      </w:r>
      <w:r>
        <w:rPr>
          <w:rFonts w:ascii="Times New Roman" w:hAnsi="Times New Roman" w:cs="Times New Roman"/>
          <w:color w:val="FF0000"/>
          <w:sz w:val="20"/>
          <w:szCs w:val="20"/>
        </w:rPr>
        <w:fldChar w:fldCharType="end"/>
      </w:r>
      <w:r>
        <w:rPr>
          <w:rFonts w:ascii="Times New Roman" w:hAnsi="Times New Roman" w:cs="Times New Roman"/>
          <w:sz w:val="20"/>
          <w:szCs w:val="20"/>
        </w:rPr>
        <w:t>. Mean EN and EN s.d. were calculated from the elemental atomic fractions and Pauling electronegativity values. Mean metal coordination number was calculated using CrystalNN in pymatgen with MOF-oriented parameters (weighted_cn=True, x_diff_weight=1.5, and search_cutoff=4.5 Å). Site-wise weighted coordination numbers were averaged over all metal sites in each framework</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{"citationID":"8gYKukkj","properties":{"unsorted":false,"formattedCitation":"\\super 5,6\\nosupersub{}","plainCitation":"5,6","noteIndex":0},"citationItems":[{"id":11520,"uris":["http://zotero.org/users/10807631/items/Y6YGIF4D"],"itemData":{"id":11520,"type":"article-journal","abstract":"Coordination numbers and geometries form a theoretical framework for understanding and predicting materials properties. Algorithms to determine coordination numbers automatically are increasingly used for machine learning (ML) and automatic structural analysis. In this work, we introduce MaterialsCoord, a benchmark suite containing 56 experimentally derived crystal structures (spanning elements, binaries, and ternary compounds) and their corresponding coordination environments as described in the research literature. We also describe CrystalNN, a novel algorithm for determining near neighbors. We compare CrystalNN against seven existing near-neighbor algorithms on the MaterialsCoord benchmark, ﬁnding CrystalNN to perform similarly to several well-established algorithms. For each algorithm, we also assess computational demand and sensitivity toward small perturbations that mimic thermal motion. Finally, we investigate the similarity between bonding algorithms when applied to the Materials Project database. We expect that this work will aid the development of coordination prediction algorithms as well as improve structural descriptors for ML and other applications.","container-title":"Inorganic Chemistry","DOI":"10.1021/acs.inorgchem.0c02996","ISSN":"0020-1669, 1520-510X","issue":"3","journalAbbreviation":"Inorg. Chem.","language":"en","license":"https://doi.org/10.15223/policy-029","note":"JCR分区: Q1\n中科院分区升级版: 化学2区\n影响因子: 4.6\n5年影响因子: 4.2\nEI: 是\n南农高质量: A","page":"1590-1603","source":"DOI.org (Crossref)","title":"Benchmarking coordination number prediction algorithms on inorganic crystal structures","URL":"https://pubs.acs.org/doi/10.1021/acs.inorgchem.0c02996","volume":"60","author":[{"family":"Pan","given":"Hillary"},{"family":"Ganose","given":"Alex M."},{"family":"Horton","given":"Matthew"},{"family":"Aykol","given":"Muratahan"},{"family":"Persson","given":"Kristin A."},{"family":"Zimmermann","given":"Nils E. R."},{"family":"Jain","given":"Anubhav"}],"accessed":{"date-parts":[["2026",9,4]]},"issued":{"date-parts":[["2021",2,1]]}}},{"id":11518,"uris":["http://zotero.org/users/10807631/items/4GS3YLE2"],"itemData":{"id":11518,"type":"article-journal","container-title":"npj Computational Materials","DOI":"10.1038/s41524-025-01872-3","ISSN":"2057-3960","issue":"1","journalAbbreviation":"npj Comput. Mater.","language":"en","note":"JCR分区: Q1\n中科院分区升级版: 材料科学1区\n影响因子: 13.1\n5年影响因子: 13.7\nEI: 是\nCSCD: 核心库\n南农高质量: A","page":"4","source":"DOI.org (Crossref)","title":"MOFSimBench: Evaluating universal machine learning interatomic potentials in metal-organic framework molecular modeling","title-short":"MOFSimBench","URL":"https://www.nature.com/articles/s41524-025-01872-3","volume":"12","author":[{"family":"Kraß","given":"Hendrik"},{"family":"Huang","given":"Ju"},{"family":"Moosavi","given":"Seyed Mohamad"}],"accessed":{"date-parts":[["2026",9,4]]},"issued":{"date-parts":[["2025",12,11]]}}}],"schema":"https://github.com/citation-style-language/schema/raw/master/csl-citation.json"}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5,6</w:t>
      </w:r>
      <w:r>
        <w:rPr>
          <w:rFonts w:ascii="Times New Roman" w:hAnsi="Times New Roman" w:cs="Times New Roman"/>
          <w:sz w:val="20"/>
          <w:szCs w:val="20"/>
        </w:rPr>
        <w:fldChar w:fldCharType="end"/>
      </w:r>
      <w:r>
        <w:rPr>
          <w:rFonts w:ascii="Times New Roman" w:hAnsi="Times New Roman" w:cs="Times New Roman"/>
          <w:sz w:val="20"/>
          <w:szCs w:val="20"/>
        </w:rPr>
        <w:t>. Normalized TDU was calculated from the unit-cell composition by normalizing the total degree of unsaturation by the number of carbon atoms. Definitions, formulae, units, calculation sources and physical interpretations are summarized in Supplementary Table 1.</w:t>
      </w:r>
    </w:p>
    <w:p>
      <w:pPr>
        <w:pStyle w:val="50"/>
        <w:jc w:val="center"/>
        <w:rPr>
          <w:rFonts w:cs="Times New Roman" w:eastAsiaTheme="minorEastAsia"/>
          <w:lang w:eastAsia="zh-CN"/>
        </w:rPr>
      </w:pPr>
      <w:r>
        <w:rPr>
          <w:rFonts w:cs="Times New Roman"/>
          <w:b/>
        </w:rPr>
        <w:t>Supplementary Table 1 | Manual descriptor definitions</w:t>
      </w:r>
    </w:p>
    <w:tbl>
      <w:tblPr>
        <w:tblStyle w:val="20"/>
        <w:tblW w:w="8931"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7"/>
        <w:gridCol w:w="2674"/>
        <w:gridCol w:w="1273"/>
        <w:gridCol w:w="1400"/>
        <w:gridCol w:w="2417"/>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blHeader/>
          <w:jc w:val="center"/>
        </w:trPr>
        <w:tc>
          <w:tcPr>
            <w:tcW w:w="1167" w:type="dxa"/>
            <w:tcMar>
              <w:top w:w="60" w:type="dxa"/>
              <w:left w:w="60" w:type="dxa"/>
              <w:bottom w:w="60" w:type="dxa"/>
              <w:right w:w="60" w:type="dxa"/>
            </w:tcMar>
            <w:vAlign w:val="center"/>
          </w:tcPr>
          <w:p>
            <w:pPr>
              <w:jc w:val="center"/>
              <w:rPr>
                <w:rFonts w:ascii="Times New Roman" w:hAnsi="Times New Roman" w:cs="Times New Roman"/>
                <w:sz w:val="20"/>
                <w:szCs w:val="20"/>
              </w:rPr>
            </w:pPr>
            <w:r>
              <w:rPr>
                <w:rFonts w:ascii="Times New Roman" w:hAnsi="Times New Roman" w:eastAsia="Times New Roman" w:cs="Times New Roman"/>
                <w:b/>
                <w:sz w:val="20"/>
                <w:szCs w:val="20"/>
              </w:rPr>
              <w:t>Descriptor</w:t>
            </w:r>
          </w:p>
        </w:tc>
        <w:tc>
          <w:tcPr>
            <w:tcW w:w="2674" w:type="dxa"/>
            <w:tcMar>
              <w:top w:w="60" w:type="dxa"/>
              <w:left w:w="60" w:type="dxa"/>
              <w:bottom w:w="60" w:type="dxa"/>
              <w:right w:w="60" w:type="dxa"/>
            </w:tcMar>
            <w:vAlign w:val="center"/>
          </w:tcPr>
          <w:p>
            <w:pPr>
              <w:jc w:val="center"/>
              <w:rPr>
                <w:rFonts w:ascii="Times New Roman" w:hAnsi="Times New Roman" w:cs="Times New Roman"/>
                <w:sz w:val="20"/>
                <w:szCs w:val="20"/>
              </w:rPr>
            </w:pPr>
            <w:r>
              <w:rPr>
                <w:rFonts w:ascii="Times New Roman" w:hAnsi="Times New Roman" w:eastAsia="Times New Roman" w:cs="Times New Roman"/>
                <w:b/>
                <w:sz w:val="20"/>
                <w:szCs w:val="20"/>
              </w:rPr>
              <w:t>formula</w:t>
            </w:r>
          </w:p>
        </w:tc>
        <w:tc>
          <w:tcPr>
            <w:tcW w:w="1273" w:type="dxa"/>
            <w:tcMar>
              <w:top w:w="60" w:type="dxa"/>
              <w:left w:w="60" w:type="dxa"/>
              <w:bottom w:w="60" w:type="dxa"/>
              <w:right w:w="60" w:type="dxa"/>
            </w:tcMar>
            <w:vAlign w:val="center"/>
          </w:tcPr>
          <w:p>
            <w:pPr>
              <w:jc w:val="center"/>
              <w:rPr>
                <w:rFonts w:ascii="Times New Roman" w:hAnsi="Times New Roman" w:cs="Times New Roman"/>
                <w:sz w:val="20"/>
                <w:szCs w:val="20"/>
              </w:rPr>
            </w:pPr>
            <w:r>
              <w:rPr>
                <w:rFonts w:ascii="Times New Roman" w:hAnsi="Times New Roman" w:eastAsia="Times New Roman" w:cs="Times New Roman"/>
                <w:b/>
                <w:sz w:val="20"/>
                <w:szCs w:val="20"/>
              </w:rPr>
              <w:t>Unit</w:t>
            </w:r>
          </w:p>
        </w:tc>
        <w:tc>
          <w:tcPr>
            <w:tcW w:w="1400" w:type="dxa"/>
            <w:tcMar>
              <w:top w:w="60" w:type="dxa"/>
              <w:left w:w="60" w:type="dxa"/>
              <w:bottom w:w="60" w:type="dxa"/>
              <w:right w:w="60" w:type="dxa"/>
            </w:tcMar>
            <w:vAlign w:val="center"/>
          </w:tcPr>
          <w:p>
            <w:pPr>
              <w:jc w:val="center"/>
              <w:rPr>
                <w:rFonts w:ascii="Times New Roman" w:hAnsi="Times New Roman" w:cs="Times New Roman"/>
                <w:sz w:val="20"/>
                <w:szCs w:val="20"/>
              </w:rPr>
            </w:pPr>
            <w:r>
              <w:rPr>
                <w:rFonts w:ascii="Times New Roman" w:hAnsi="Times New Roman" w:eastAsia="Times New Roman" w:cs="Times New Roman"/>
                <w:b/>
                <w:sz w:val="20"/>
                <w:szCs w:val="20"/>
              </w:rPr>
              <w:t>Calculation source</w:t>
            </w:r>
          </w:p>
        </w:tc>
        <w:tc>
          <w:tcPr>
            <w:tcW w:w="2417" w:type="dxa"/>
            <w:tcMar>
              <w:top w:w="60" w:type="dxa"/>
              <w:left w:w="60" w:type="dxa"/>
              <w:bottom w:w="60" w:type="dxa"/>
              <w:right w:w="60" w:type="dxa"/>
            </w:tcMar>
            <w:vAlign w:val="center"/>
          </w:tcPr>
          <w:p>
            <w:pPr>
              <w:jc w:val="center"/>
              <w:rPr>
                <w:rFonts w:ascii="Times New Roman" w:hAnsi="Times New Roman" w:cs="Times New Roman"/>
                <w:sz w:val="20"/>
                <w:szCs w:val="20"/>
              </w:rPr>
            </w:pPr>
            <w:r>
              <w:rPr>
                <w:rFonts w:ascii="Times New Roman" w:hAnsi="Times New Roman" w:eastAsia="Times New Roman" w:cs="Times New Roman"/>
                <w:b/>
                <w:sz w:val="20"/>
                <w:szCs w:val="20"/>
              </w:rPr>
              <w:t>Physical interpretation</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PLD</w:t>
            </w:r>
          </w:p>
        </w:tc>
        <w:tc>
          <w:tcPr>
            <w:tcW w:w="2674" w:type="dxa"/>
            <w:tcMar>
              <w:top w:w="50" w:type="dxa"/>
              <w:left w:w="60" w:type="dxa"/>
              <w:bottom w:w="50" w:type="dxa"/>
              <w:right w:w="60" w:type="dxa"/>
            </w:tcMar>
          </w:tcPr>
          <w:p>
            <w:pPr>
              <w:jc w:val="center"/>
              <w:rPr>
                <w:rFonts w:ascii="Times New Roman" w:hAnsi="Times New Roman" w:cs="Times New Roman"/>
                <w:sz w:val="20"/>
                <w:szCs w:val="20"/>
              </w:rPr>
            </w:pPr>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Å</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 xml:space="preserve">Zeo++ </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Narrowest diffusion bottleneck</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LCD</w:t>
            </w:r>
          </w:p>
        </w:tc>
        <w:tc>
          <w:tcPr>
            <w:tcW w:w="2674" w:type="dxa"/>
            <w:tcMar>
              <w:top w:w="50" w:type="dxa"/>
              <w:left w:w="60" w:type="dxa"/>
              <w:bottom w:w="50" w:type="dxa"/>
              <w:right w:w="60" w:type="dxa"/>
            </w:tcMar>
          </w:tcPr>
          <w:p>
            <w:pPr>
              <w:jc w:val="center"/>
              <w:rPr>
                <w:rFonts w:ascii="Times New Roman" w:hAnsi="Times New Roman" w:cs="Times New Roman"/>
                <w:sz w:val="20"/>
                <w:szCs w:val="20"/>
              </w:rPr>
            </w:pPr>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Å</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Zeo++</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Size of the largest accessible cavity</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VSA</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VSA</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A</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e>
                      <m:sub>
                        <m:r>
                          <m:rPr/>
                          <w:rPr>
                            <w:rFonts w:ascii="Cambria Math" w:hAnsi="Cambria Math" w:eastAsia="Times New Roman" w:cs="Times New Roman"/>
                            <w:sz w:val="20"/>
                            <w:szCs w:val="20"/>
                          </w:rPr>
                          <m:t>2</m:t>
                        </m:r>
                        <m:ctrlPr>
                          <w:rPr>
                            <w:rFonts w:ascii="Cambria Math" w:hAnsi="Cambria Math" w:eastAsia="Times New Roman" w:cs="Times New Roman"/>
                            <w:sz w:val="20"/>
                            <w:szCs w:val="20"/>
                          </w:rPr>
                        </m:ctrlPr>
                      </m:sub>
                    </m:sSub>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V</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cell</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m² cm⁻³</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RASPA, N₂ probe</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Accessible surface area per unit volume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Void</w:t>
            </w:r>
            <w:r>
              <w:rPr>
                <w:rFonts w:ascii="Times New Roman" w:hAnsi="Times New Roman" w:cs="Times New Roman"/>
                <w:sz w:val="20"/>
                <w:szCs w:val="20"/>
              </w:rPr>
              <w:t xml:space="preserve"> </w:t>
            </w:r>
            <w:r>
              <w:rPr>
                <w:rFonts w:ascii="Times New Roman" w:hAnsi="Times New Roman" w:eastAsia="Times New Roman" w:cs="Times New Roman"/>
                <w:sz w:val="20"/>
                <w:szCs w:val="20"/>
              </w:rPr>
              <w:t>Fraction</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V</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o</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i</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d</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 xml:space="preserve"> </m:t>
                </m:r>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F</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r</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t</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i</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o</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V</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H</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e</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V</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cell</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RASPA, He probe</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Probe-accessible pore-volume fraction</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Density</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Density</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m</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cell</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V</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cell</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g cm⁻³</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 xml:space="preserve">Zeo++ </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Framework compactness</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C</w:t>
            </w:r>
            <w:r>
              <w:rPr>
                <w:rFonts w:ascii="Times New Roman" w:hAnsi="Times New Roman" w:cs="Times New Roman"/>
                <w:sz w:val="20"/>
                <w:szCs w:val="20"/>
              </w:rPr>
              <w:t xml:space="preserve"> </w:t>
            </w:r>
            <w:r>
              <w:rPr>
                <w:rFonts w:ascii="Times New Roman" w:hAnsi="Times New Roman" w:eastAsia="Times New Roman" w:cs="Times New Roman"/>
                <w:sz w:val="20"/>
                <w:szCs w:val="20"/>
              </w:rPr>
              <w:t>Fraction</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 xml:space="preserve"> </m:t>
                </m:r>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F</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r</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t</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i</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o</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atom</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pymatgen</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Relative carbon content</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O</w:t>
            </w:r>
            <w:r>
              <w:rPr>
                <w:rFonts w:ascii="Times New Roman" w:hAnsi="Times New Roman" w:cs="Times New Roman"/>
                <w:sz w:val="20"/>
                <w:szCs w:val="20"/>
              </w:rPr>
              <w:t xml:space="preserve"> </w:t>
            </w:r>
            <w:r>
              <w:rPr>
                <w:rFonts w:ascii="Times New Roman" w:hAnsi="Times New Roman" w:eastAsia="Times New Roman" w:cs="Times New Roman"/>
                <w:sz w:val="20"/>
                <w:szCs w:val="20"/>
              </w:rPr>
              <w:t>Fraction</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O</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 xml:space="preserve"> </m:t>
                </m:r>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F</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r</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t</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i</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o</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O</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atom</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pymatgen</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Relative oxygen content</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N</w:t>
            </w:r>
            <w:r>
              <w:rPr>
                <w:rFonts w:ascii="Times New Roman" w:hAnsi="Times New Roman" w:cs="Times New Roman"/>
                <w:sz w:val="20"/>
                <w:szCs w:val="20"/>
              </w:rPr>
              <w:t xml:space="preserve"> </w:t>
            </w:r>
            <w:r>
              <w:rPr>
                <w:rFonts w:ascii="Times New Roman" w:hAnsi="Times New Roman" w:eastAsia="Times New Roman" w:cs="Times New Roman"/>
                <w:sz w:val="20"/>
                <w:szCs w:val="20"/>
              </w:rPr>
              <w:t>Fraction</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 xml:space="preserve"> </m:t>
                </m:r>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F</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r</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t</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i</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o</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atom</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pymatgen</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Relative nitrogen content</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Halogen</w:t>
            </w:r>
            <w:r>
              <w:rPr>
                <w:rFonts w:ascii="Times New Roman" w:hAnsi="Times New Roman" w:cs="Times New Roman"/>
                <w:sz w:val="20"/>
                <w:szCs w:val="20"/>
              </w:rPr>
              <w:t xml:space="preserve"> </w:t>
            </w:r>
            <w:r>
              <w:rPr>
                <w:rFonts w:ascii="Times New Roman" w:hAnsi="Times New Roman" w:eastAsia="Times New Roman" w:cs="Times New Roman"/>
                <w:sz w:val="20"/>
                <w:szCs w:val="20"/>
              </w:rPr>
              <w:t>Fraction</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r>
                  <m:rPr>
                    <m:sty m:val="p"/>
                  </m:rPr>
                  <w:rPr>
                    <w:rFonts w:ascii="Cambria Math" w:hAnsi="Cambria Math" w:eastAsia="Times New Roman" w:cs="Times New Roman"/>
                    <w:sz w:val="20"/>
                    <w:szCs w:val="20"/>
                  </w:rPr>
                  <m:t>Halogen</m:t>
                </m:r>
                <m:r>
                  <m:rPr/>
                  <w:rPr>
                    <w:rFonts w:ascii="Cambria Math" w:hAnsi="Cambria Math" w:eastAsia="Times New Roman" w:cs="Times New Roman"/>
                    <w:sz w:val="20"/>
                    <w:szCs w:val="20"/>
                  </w:rPr>
                  <m:t xml:space="preserve"> </m:t>
                </m:r>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F</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r</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t</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i</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o</m:t>
                    </m:r>
                    <m:ctrlPr>
                      <w:rPr>
                        <w:rFonts w:ascii="Cambria Math" w:hAnsi="Cambria Math" w:eastAsia="Times New Roman" w:cs="Times New Roman"/>
                        <w:sz w:val="20"/>
                        <w:szCs w:val="20"/>
                      </w:rPr>
                    </m:ctrlPr>
                  </m:e>
                </m:phant>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X</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atom</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pymatgen</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Relative halogen content</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Metal</w:t>
            </w:r>
            <w:r>
              <w:rPr>
                <w:rFonts w:ascii="Times New Roman" w:hAnsi="Times New Roman" w:cs="Times New Roman"/>
                <w:sz w:val="20"/>
                <w:szCs w:val="20"/>
              </w:rPr>
              <w:t xml:space="preserve"> </w:t>
            </w:r>
            <w:r>
              <w:rPr>
                <w:rFonts w:ascii="Times New Roman" w:hAnsi="Times New Roman" w:eastAsia="Times New Roman" w:cs="Times New Roman"/>
                <w:sz w:val="20"/>
                <w:szCs w:val="20"/>
              </w:rPr>
              <w:t>Fraction</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x</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metal</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metal</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atom</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pymatgen</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Relative metal content</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Mean EN</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acc>
                  <m:accPr>
                    <m:chr m:val="̅"/>
                    <m:ctrlPr>
                      <w:rPr>
                        <w:rFonts w:ascii="Cambria Math" w:hAnsi="Cambria Math" w:eastAsia="Times New Roman" w:cs="Times New Roman"/>
                        <w:i/>
                        <w:sz w:val="20"/>
                        <w:szCs w:val="20"/>
                      </w:rPr>
                    </m:ctrlPr>
                  </m:accPr>
                  <m:e>
                    <m:r>
                      <m:rPr/>
                      <w:rPr>
                        <w:rFonts w:ascii="Cambria Math" w:hAnsi="Cambria Math" w:eastAsia="Times New Roman" w:cs="Times New Roman"/>
                        <w:sz w:val="20"/>
                        <w:szCs w:val="20"/>
                      </w:rPr>
                      <m:t>χ</m:t>
                    </m:r>
                    <m:ctrlPr>
                      <w:rPr>
                        <w:rFonts w:ascii="Cambria Math" w:hAnsi="Cambria Math" w:eastAsia="Times New Roman" w:cs="Times New Roman"/>
                        <w:i/>
                        <w:sz w:val="20"/>
                        <w:szCs w:val="20"/>
                      </w:rPr>
                    </m:ctrlPr>
                  </m:e>
                </m:acc>
                <m:r>
                  <m:rPr/>
                  <w:rPr>
                    <w:rFonts w:ascii="Cambria Math" w:hAnsi="Cambria Math" w:eastAsia="Times New Roman" w:cs="Times New Roman"/>
                    <w:sz w:val="20"/>
                    <w:szCs w:val="20"/>
                  </w:rPr>
                  <m:t>=</m:t>
                </m:r>
                <m:nary>
                  <m:naryPr>
                    <m:chr m:val="∑"/>
                    <m:grow m:val="1"/>
                    <m:limLoc m:val="subSup"/>
                    <m:supHide m:val="1"/>
                    <m:ctrlPr>
                      <w:rPr>
                        <w:rFonts w:ascii="Cambria Math" w:hAnsi="Cambria Math" w:eastAsia="Times New Roman" w:cs="Times New Roman"/>
                        <w:sz w:val="20"/>
                        <w:szCs w:val="20"/>
                      </w:rPr>
                    </m:ctrlPr>
                  </m:naryPr>
                  <m:sub>
                    <m:r>
                      <m:rPr/>
                      <w:rPr>
                        <w:rFonts w:ascii="Cambria Math" w:hAnsi="Cambria Math" w:eastAsia="Times New Roman" w:cs="Times New Roman"/>
                        <w:sz w:val="20"/>
                        <w:szCs w:val="20"/>
                      </w:rPr>
                      <m:t>e</m:t>
                    </m:r>
                    <m:ctrlPr>
                      <w:rPr>
                        <w:rFonts w:ascii="Cambria Math" w:hAnsi="Cambria Math" w:eastAsia="Times New Roman" w:cs="Times New Roman"/>
                        <w:sz w:val="20"/>
                        <w:szCs w:val="20"/>
                      </w:rPr>
                    </m:ctrlPr>
                  </m:sub>
                  <m:sup>
                    <m:ctrlPr>
                      <w:rPr>
                        <w:rFonts w:ascii="Cambria Math" w:hAnsi="Cambria Math" w:eastAsia="Times New Roman" w:cs="Times New Roman"/>
                        <w:sz w:val="20"/>
                        <w:szCs w:val="20"/>
                      </w:rPr>
                    </m:ctrlPr>
                  </m:sup>
                  <m:e>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x</m:t>
                        </m:r>
                        <m:ctrlPr>
                          <w:rPr>
                            <w:rFonts w:ascii="Cambria Math" w:hAnsi="Cambria Math" w:eastAsia="Times New Roman" w:cs="Times New Roman"/>
                            <w:sz w:val="20"/>
                            <w:szCs w:val="20"/>
                          </w:rPr>
                        </m:ctrlPr>
                      </m:e>
                      <m:sub>
                        <m:r>
                          <m:rPr/>
                          <w:rPr>
                            <w:rFonts w:ascii="Cambria Math" w:hAnsi="Cambria Math" w:eastAsia="Times New Roman" w:cs="Times New Roman"/>
                            <w:sz w:val="20"/>
                            <w:szCs w:val="20"/>
                          </w:rPr>
                          <m:t>e</m:t>
                        </m:r>
                        <m:ctrlPr>
                          <w:rPr>
                            <w:rFonts w:ascii="Cambria Math" w:hAnsi="Cambria Math" w:eastAsia="Times New Roman" w:cs="Times New Roman"/>
                            <w:sz w:val="20"/>
                            <w:szCs w:val="20"/>
                          </w:rPr>
                        </m:ctrlPr>
                      </m:sub>
                    </m:sSub>
                    <m:ctrlPr>
                      <w:rPr>
                        <w:rFonts w:ascii="Cambria Math" w:hAnsi="Cambria Math" w:eastAsia="Times New Roman" w:cs="Times New Roman"/>
                        <w:sz w:val="20"/>
                        <w:szCs w:val="20"/>
                      </w:rPr>
                    </m:ctrlPr>
                  </m:e>
                </m:nary>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χ</m:t>
                    </m:r>
                    <m:ctrlPr>
                      <w:rPr>
                        <w:rFonts w:ascii="Cambria Math" w:hAnsi="Cambria Math" w:eastAsia="Times New Roman" w:cs="Times New Roman"/>
                        <w:sz w:val="20"/>
                        <w:szCs w:val="20"/>
                      </w:rPr>
                    </m:ctrlPr>
                  </m:e>
                  <m:sub>
                    <m:r>
                      <m:rPr/>
                      <w:rPr>
                        <w:rFonts w:ascii="Cambria Math" w:hAnsi="Cambria Math" w:eastAsia="Times New Roman" w:cs="Times New Roman"/>
                        <w:sz w:val="20"/>
                        <w:szCs w:val="20"/>
                      </w:rPr>
                      <m:t>e</m:t>
                    </m:r>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pymatgen</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Composition-weighted electronegativity</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EN s.d.</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σ</m:t>
                    </m:r>
                    <m:ctrlPr>
                      <w:rPr>
                        <w:rFonts w:ascii="Cambria Math" w:hAnsi="Cambria Math" w:eastAsia="Times New Roman" w:cs="Times New Roman"/>
                        <w:sz w:val="20"/>
                        <w:szCs w:val="20"/>
                      </w:rPr>
                    </m:ctrlPr>
                  </m:e>
                  <m:sub>
                    <m:r>
                      <m:rPr/>
                      <w:rPr>
                        <w:rFonts w:ascii="Cambria Math" w:hAnsi="Cambria Math" w:eastAsia="Times New Roman" w:cs="Times New Roman"/>
                        <w:sz w:val="20"/>
                        <w:szCs w:val="20"/>
                      </w:rPr>
                      <m:t>χ</m:t>
                    </m:r>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sSup>
                  <m:sSupPr>
                    <m:ctrlPr>
                      <w:rPr>
                        <w:rFonts w:ascii="Cambria Math" w:hAnsi="Cambria Math" w:eastAsia="Times New Roman" w:cs="Times New Roman"/>
                        <w:sz w:val="20"/>
                        <w:szCs w:val="20"/>
                      </w:rPr>
                    </m:ctrlPr>
                  </m:sSupPr>
                  <m:e>
                    <m:d>
                      <m:dPr>
                        <m:begChr m:val="["/>
                        <m:endChr m:val="]"/>
                        <m:ctrlPr>
                          <w:rPr>
                            <w:rFonts w:ascii="Cambria Math" w:hAnsi="Cambria Math" w:eastAsia="Times New Roman" w:cs="Times New Roman"/>
                            <w:sz w:val="20"/>
                            <w:szCs w:val="20"/>
                          </w:rPr>
                        </m:ctrlPr>
                      </m:dPr>
                      <m:e>
                        <m:nary>
                          <m:naryPr>
                            <m:chr m:val="∑"/>
                            <m:grow m:val="1"/>
                            <m:limLoc m:val="subSup"/>
                            <m:supHide m:val="1"/>
                            <m:ctrlPr>
                              <w:rPr>
                                <w:rFonts w:ascii="Cambria Math" w:hAnsi="Cambria Math" w:eastAsia="Times New Roman" w:cs="Times New Roman"/>
                                <w:sz w:val="20"/>
                                <w:szCs w:val="20"/>
                              </w:rPr>
                            </m:ctrlPr>
                          </m:naryPr>
                          <m:sub>
                            <m:r>
                              <m:rPr/>
                              <w:rPr>
                                <w:rFonts w:ascii="Cambria Math" w:hAnsi="Cambria Math" w:eastAsia="Times New Roman" w:cs="Times New Roman"/>
                                <w:sz w:val="20"/>
                                <w:szCs w:val="20"/>
                              </w:rPr>
                              <m:t>e</m:t>
                            </m:r>
                            <m:ctrlPr>
                              <w:rPr>
                                <w:rFonts w:ascii="Cambria Math" w:hAnsi="Cambria Math" w:eastAsia="Times New Roman" w:cs="Times New Roman"/>
                                <w:sz w:val="20"/>
                                <w:szCs w:val="20"/>
                              </w:rPr>
                            </m:ctrlPr>
                          </m:sub>
                          <m:sup>
                            <m:ctrlPr>
                              <w:rPr>
                                <w:rFonts w:ascii="Cambria Math" w:hAnsi="Cambria Math" w:eastAsia="Times New Roman" w:cs="Times New Roman"/>
                                <w:sz w:val="20"/>
                                <w:szCs w:val="20"/>
                              </w:rPr>
                            </m:ctrlPr>
                          </m:sup>
                          <m:e>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x</m:t>
                                </m:r>
                                <m:ctrlPr>
                                  <w:rPr>
                                    <w:rFonts w:ascii="Cambria Math" w:hAnsi="Cambria Math" w:eastAsia="Times New Roman" w:cs="Times New Roman"/>
                                    <w:sz w:val="20"/>
                                    <w:szCs w:val="20"/>
                                  </w:rPr>
                                </m:ctrlPr>
                              </m:e>
                              <m:sub>
                                <m:r>
                                  <m:rPr/>
                                  <w:rPr>
                                    <w:rFonts w:ascii="Cambria Math" w:hAnsi="Cambria Math" w:eastAsia="Times New Roman" w:cs="Times New Roman"/>
                                    <w:sz w:val="20"/>
                                    <w:szCs w:val="20"/>
                                  </w:rPr>
                                  <m:t>e</m:t>
                                </m:r>
                                <m:ctrlPr>
                                  <w:rPr>
                                    <w:rFonts w:ascii="Cambria Math" w:hAnsi="Cambria Math" w:eastAsia="Times New Roman" w:cs="Times New Roman"/>
                                    <w:sz w:val="20"/>
                                    <w:szCs w:val="20"/>
                                  </w:rPr>
                                </m:ctrlPr>
                              </m:sub>
                            </m:sSub>
                            <m:ctrlPr>
                              <w:rPr>
                                <w:rFonts w:ascii="Cambria Math" w:hAnsi="Cambria Math" w:eastAsia="Times New Roman" w:cs="Times New Roman"/>
                                <w:sz w:val="20"/>
                                <w:szCs w:val="20"/>
                              </w:rPr>
                            </m:ctrlPr>
                          </m:e>
                        </m:nary>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χ</m:t>
                            </m:r>
                            <m:ctrlPr>
                              <w:rPr>
                                <w:rFonts w:ascii="Cambria Math" w:hAnsi="Cambria Math" w:eastAsia="Times New Roman" w:cs="Times New Roman"/>
                                <w:sz w:val="20"/>
                                <w:szCs w:val="20"/>
                              </w:rPr>
                            </m:ctrlPr>
                          </m:e>
                          <m:sub>
                            <m:r>
                              <m:rPr/>
                              <w:rPr>
                                <w:rFonts w:ascii="Cambria Math" w:hAnsi="Cambria Math" w:eastAsia="Times New Roman" w:cs="Times New Roman"/>
                                <w:sz w:val="20"/>
                                <w:szCs w:val="20"/>
                              </w:rPr>
                              <m:t>e</m:t>
                            </m:r>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acc>
                          <m:accPr>
                            <m:chr m:val="̅"/>
                            <m:ctrlPr>
                              <w:rPr>
                                <w:rFonts w:ascii="Cambria Math" w:hAnsi="Cambria Math" w:eastAsia="Times New Roman" w:cs="Times New Roman"/>
                                <w:i/>
                                <w:sz w:val="20"/>
                                <w:szCs w:val="20"/>
                              </w:rPr>
                            </m:ctrlPr>
                          </m:accPr>
                          <m:e>
                            <m:r>
                              <m:rPr/>
                              <w:rPr>
                                <w:rFonts w:ascii="Cambria Math" w:hAnsi="Cambria Math" w:eastAsia="Times New Roman" w:cs="Times New Roman"/>
                                <w:sz w:val="20"/>
                                <w:szCs w:val="20"/>
                              </w:rPr>
                              <m:t>χ</m:t>
                            </m:r>
                            <m:ctrlPr>
                              <w:rPr>
                                <w:rFonts w:ascii="Cambria Math" w:hAnsi="Cambria Math" w:eastAsia="Times New Roman" w:cs="Times New Roman"/>
                                <w:i/>
                                <w:sz w:val="20"/>
                                <w:szCs w:val="20"/>
                              </w:rPr>
                            </m:ctrlPr>
                          </m:e>
                        </m:acc>
                        <m:sSup>
                          <m:sSupPr>
                            <m:ctrlPr>
                              <w:rPr>
                                <w:rFonts w:ascii="Cambria Math" w:hAnsi="Cambria Math" w:eastAsia="Times New Roman" w:cs="Times New Roman"/>
                                <w:sz w:val="20"/>
                                <w:szCs w:val="20"/>
                              </w:rPr>
                            </m:ctrlPr>
                          </m:sSupPr>
                          <m:e>
                            <m:r>
                              <m:rPr/>
                              <w:rPr>
                                <w:rFonts w:ascii="Cambria Math" w:hAnsi="Cambria Math" w:eastAsia="Times New Roman" w:cs="Times New Roman"/>
                                <w:sz w:val="20"/>
                                <w:szCs w:val="20"/>
                              </w:rPr>
                              <m:t>)</m:t>
                            </m:r>
                            <m:ctrlPr>
                              <w:rPr>
                                <w:rFonts w:ascii="Cambria Math" w:hAnsi="Cambria Math" w:eastAsia="Times New Roman" w:cs="Times New Roman"/>
                                <w:sz w:val="20"/>
                                <w:szCs w:val="20"/>
                              </w:rPr>
                            </m:ctrlPr>
                          </m:e>
                          <m:sup>
                            <m:r>
                              <m:rPr/>
                              <w:rPr>
                                <w:rFonts w:ascii="Cambria Math" w:hAnsi="Cambria Math" w:eastAsia="Times New Roman" w:cs="Times New Roman"/>
                                <w:sz w:val="20"/>
                                <w:szCs w:val="20"/>
                              </w:rPr>
                              <m:t>2</m:t>
                            </m:r>
                            <m:ctrlPr>
                              <w:rPr>
                                <w:rFonts w:ascii="Cambria Math" w:hAnsi="Cambria Math" w:eastAsia="Times New Roman" w:cs="Times New Roman"/>
                                <w:sz w:val="20"/>
                                <w:szCs w:val="20"/>
                              </w:rPr>
                            </m:ctrlPr>
                          </m:sup>
                        </m:sSup>
                        <m:ctrlPr>
                          <w:rPr>
                            <w:rFonts w:ascii="Cambria Math" w:hAnsi="Cambria Math" w:eastAsia="Times New Roman" w:cs="Times New Roman"/>
                            <w:sz w:val="20"/>
                            <w:szCs w:val="20"/>
                          </w:rPr>
                        </m:ctrlPr>
                      </m:e>
                    </m:d>
                    <m:ctrlPr>
                      <w:rPr>
                        <w:rFonts w:ascii="Cambria Math" w:hAnsi="Cambria Math" w:eastAsia="Times New Roman" w:cs="Times New Roman"/>
                        <w:sz w:val="20"/>
                        <w:szCs w:val="20"/>
                      </w:rPr>
                    </m:ctrlPr>
                  </m:e>
                  <m:sup>
                    <m:r>
                      <m:rPr/>
                      <w:rPr>
                        <w:rFonts w:ascii="Cambria Math" w:hAnsi="Cambria Math" w:eastAsia="Times New Roman" w:cs="Times New Roman"/>
                        <w:sz w:val="20"/>
                        <w:szCs w:val="20"/>
                      </w:rPr>
                      <m:t>1/2</m:t>
                    </m:r>
                    <m:ctrlPr>
                      <w:rPr>
                        <w:rFonts w:ascii="Cambria Math" w:hAnsi="Cambria Math" w:eastAsia="Times New Roman" w:cs="Times New Roman"/>
                        <w:sz w:val="20"/>
                        <w:szCs w:val="20"/>
                      </w:rPr>
                    </m:ctrlPr>
                  </m:sup>
                </m:sSup>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pymatgen</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Electronegativity heterogeneity</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Mean</w:t>
            </w:r>
            <w:r>
              <w:rPr>
                <w:rFonts w:ascii="Times New Roman" w:hAnsi="Times New Roman" w:cs="Times New Roman"/>
                <w:sz w:val="20"/>
                <w:szCs w:val="20"/>
              </w:rPr>
              <w:t xml:space="preserve"> </w:t>
            </w:r>
            <w:r>
              <w:rPr>
                <w:rFonts w:ascii="Times New Roman" w:hAnsi="Times New Roman" w:eastAsia="Times New Roman" w:cs="Times New Roman"/>
                <w:sz w:val="20"/>
                <w:szCs w:val="20"/>
              </w:rPr>
              <w:t>Metal</w:t>
            </w:r>
            <w:r>
              <w:rPr>
                <w:rFonts w:ascii="Times New Roman" w:hAnsi="Times New Roman" w:cs="Times New Roman"/>
                <w:sz w:val="20"/>
                <w:szCs w:val="20"/>
              </w:rPr>
              <w:t xml:space="preserve"> </w:t>
            </w:r>
            <w:r>
              <w:rPr>
                <w:rFonts w:ascii="Times New Roman" w:hAnsi="Times New Roman" w:eastAsia="Times New Roman" w:cs="Times New Roman"/>
                <w:sz w:val="20"/>
                <w:szCs w:val="20"/>
              </w:rPr>
              <w:t>Coord</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sSub>
                  <m:sSubPr>
                    <m:ctrlPr>
                      <w:rPr>
                        <w:rFonts w:ascii="Cambria Math" w:hAnsi="Cambria Math" w:eastAsia="Times New Roman" w:cs="Times New Roman"/>
                        <w:sz w:val="20"/>
                        <w:szCs w:val="20"/>
                      </w:rPr>
                    </m:ctrlPr>
                  </m:sSubPr>
                  <m:e>
                    <m:borderBox>
                      <m:borderBoxPr>
                        <m:hideBot m:val="1"/>
                        <m:hideLeft m:val="1"/>
                        <m:hideRight m:val="1"/>
                        <m:ctrlPr>
                          <w:rPr>
                            <w:rFonts w:ascii="Cambria Math" w:hAnsi="Cambria Math" w:eastAsia="Times New Roman" w:cs="Times New Roman"/>
                            <w:sz w:val="20"/>
                            <w:szCs w:val="20"/>
                          </w:rPr>
                        </m:ctrlPr>
                      </m:borderBoxPr>
                      <m:e>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CN</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e>
                    </m:borderBox>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metal</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f>
                  <m:fPr>
                    <m:ctrlPr>
                      <w:rPr>
                        <w:rFonts w:ascii="Cambria Math" w:hAnsi="Cambria Math" w:eastAsia="Times New Roman" w:cs="Times New Roman"/>
                        <w:sz w:val="20"/>
                        <w:szCs w:val="20"/>
                      </w:rPr>
                    </m:ctrlPr>
                  </m:fPr>
                  <m:num>
                    <m:r>
                      <m:rPr/>
                      <w:rPr>
                        <w:rFonts w:ascii="Cambria Math" w:hAnsi="Cambria Math" w:eastAsia="Times New Roman" w:cs="Times New Roman"/>
                        <w:sz w:val="20"/>
                        <w:szCs w:val="20"/>
                      </w:rPr>
                      <m:t>1</m:t>
                    </m:r>
                    <m:ctrlPr>
                      <w:rPr>
                        <w:rFonts w:ascii="Cambria Math" w:hAnsi="Cambria Math" w:eastAsia="Times New Roman" w:cs="Times New Roman"/>
                        <w:sz w:val="20"/>
                        <w:szCs w:val="20"/>
                      </w:rPr>
                    </m:ctrlPr>
                  </m:num>
                  <m:den>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metal</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ctrlPr>
                      <w:rPr>
                        <w:rFonts w:ascii="Cambria Math" w:hAnsi="Cambria Math" w:eastAsia="Times New Roman" w:cs="Times New Roman"/>
                        <w:sz w:val="20"/>
                        <w:szCs w:val="20"/>
                      </w:rPr>
                    </m:ctrlPr>
                  </m:den>
                </m:f>
                <m:nary>
                  <m:naryPr>
                    <m:chr m:val="∑"/>
                    <m:grow m:val="1"/>
                    <m:limLoc m:val="subSup"/>
                    <m:supHide m:val="1"/>
                    <m:ctrlPr>
                      <w:rPr>
                        <w:rFonts w:ascii="Cambria Math" w:hAnsi="Cambria Math" w:eastAsia="Times New Roman" w:cs="Times New Roman"/>
                        <w:sz w:val="20"/>
                        <w:szCs w:val="20"/>
                      </w:rPr>
                    </m:ctrlPr>
                  </m:naryPr>
                  <m:sub>
                    <m:r>
                      <m:rPr/>
                      <w:rPr>
                        <w:rFonts w:ascii="Cambria Math" w:hAnsi="Cambria Math" w:eastAsia="Times New Roman" w:cs="Times New Roman"/>
                        <w:sz w:val="20"/>
                        <w:szCs w:val="20"/>
                      </w:rPr>
                      <m:t>m∈M</m:t>
                    </m:r>
                    <m:ctrlPr>
                      <w:rPr>
                        <w:rFonts w:ascii="Cambria Math" w:hAnsi="Cambria Math" w:eastAsia="Times New Roman" w:cs="Times New Roman"/>
                        <w:sz w:val="20"/>
                        <w:szCs w:val="20"/>
                      </w:rPr>
                    </m:ctrlPr>
                  </m:sub>
                  <m:sup>
                    <m:ctrlPr>
                      <w:rPr>
                        <w:rFonts w:ascii="Cambria Math" w:hAnsi="Cambria Math" w:eastAsia="Times New Roman" w:cs="Times New Roman"/>
                        <w:sz w:val="20"/>
                        <w:szCs w:val="20"/>
                      </w:rPr>
                    </m:ctrlPr>
                  </m:sup>
                  <m:e>
                    <m:sSub>
                      <m:sSubPr>
                        <m:ctrlPr>
                          <w:rPr>
                            <w:rFonts w:ascii="Cambria Math" w:hAnsi="Cambria Math" w:eastAsia="Times New Roman" w:cs="Times New Roman"/>
                            <w:sz w:val="20"/>
                            <w:szCs w:val="20"/>
                          </w:rPr>
                        </m:ctrlPr>
                      </m:sSubPr>
                      <m:e>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CN</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e>
                      <m:sub>
                        <m:r>
                          <m:rPr/>
                          <w:rPr>
                            <w:rFonts w:ascii="Cambria Math" w:hAnsi="Cambria Math" w:eastAsia="Times New Roman" w:cs="Times New Roman"/>
                            <w:sz w:val="20"/>
                            <w:szCs w:val="20"/>
                          </w:rPr>
                          <m:t>m</m:t>
                        </m:r>
                        <m:ctrlPr>
                          <w:rPr>
                            <w:rFonts w:ascii="Cambria Math" w:hAnsi="Cambria Math" w:eastAsia="Times New Roman" w:cs="Times New Roman"/>
                            <w:sz w:val="20"/>
                            <w:szCs w:val="20"/>
                          </w:rPr>
                        </m:ctrlPr>
                      </m:sub>
                    </m:sSub>
                    <m:ctrlPr>
                      <w:rPr>
                        <w:rFonts w:ascii="Cambria Math" w:hAnsi="Cambria Math" w:eastAsia="Times New Roman" w:cs="Times New Roman"/>
                        <w:sz w:val="20"/>
                        <w:szCs w:val="20"/>
                      </w:rPr>
                    </m:ctrlPr>
                  </m:e>
                </m:nary>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pymatgen</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cs="Times New Roman"/>
                <w:sz w:val="20"/>
                <w:szCs w:val="20"/>
              </w:rPr>
              <w:t>Average CrystalNN-weighted metal-site coordination</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6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Normalized_TDU</w:t>
            </w:r>
          </w:p>
        </w:tc>
        <w:tc>
          <w:tcPr>
            <w:tcW w:w="2674" w:type="dxa"/>
            <w:tcMar>
              <w:top w:w="50" w:type="dxa"/>
              <w:left w:w="60" w:type="dxa"/>
              <w:bottom w:w="50" w:type="dxa"/>
              <w:right w:w="60" w:type="dxa"/>
            </w:tcMar>
          </w:tcPr>
          <w:p>
            <w:pPr>
              <w:jc w:val="center"/>
              <w:rPr>
                <w:rFonts w:ascii="Times New Roman" w:hAnsi="Times New Roman" w:cs="Times New Roman"/>
                <w:sz w:val="20"/>
                <w:szCs w:val="20"/>
              </w:rPr>
            </w:pPr>
            <m:oMathPara>
              <m:oMath>
                <m:sSub>
                  <m:sSubPr>
                    <m:ctrlPr>
                      <w:rPr>
                        <w:rFonts w:ascii="Cambria Math" w:hAnsi="Cambria Math" w:eastAsia="Times New Roman" w:cs="Times New Roman"/>
                        <w:sz w:val="20"/>
                        <w:szCs w:val="20"/>
                      </w:rPr>
                    </m:ctrlPr>
                  </m:sSubPr>
                  <m:e>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TDU</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norm</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r>
                  <m:rPr/>
                  <w:rPr>
                    <w:rFonts w:ascii="Cambria Math" w:hAnsi="Cambria Math" w:eastAsia="Times New Roman" w:cs="Times New Roman"/>
                    <w:sz w:val="20"/>
                    <w:szCs w:val="20"/>
                  </w:rPr>
                  <m:t>=</m:t>
                </m:r>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TDU</m:t>
                    </m:r>
                    <m:ctrlPr>
                      <w:rPr>
                        <w:rFonts w:ascii="Cambria Math" w:hAnsi="Cambria Math" w:eastAsia="Times New Roman" w:cs="Times New Roman"/>
                        <w:sz w:val="20"/>
                        <w:szCs w:val="20"/>
                      </w:rPr>
                    </m:ctrlPr>
                  </m:e>
                </m:phant>
                <m:r>
                  <m:rPr/>
                  <w:rPr>
                    <w:rFonts w:ascii="Cambria Math" w:hAnsi="Cambria Math" w:eastAsia="Times New Roman" w:cs="Times New Roman"/>
                    <w:sz w:val="20"/>
                    <w:szCs w:val="20"/>
                  </w:rPr>
                  <m:t>/</m:t>
                </m:r>
                <m:sSub>
                  <m:sSubPr>
                    <m:ctrlPr>
                      <w:rPr>
                        <w:rFonts w:ascii="Cambria Math" w:hAnsi="Cambria Math" w:eastAsia="Times New Roman" w:cs="Times New Roman"/>
                        <w:sz w:val="20"/>
                        <w:szCs w:val="20"/>
                      </w:rPr>
                    </m:ctrlPr>
                  </m:sSubPr>
                  <m:e>
                    <m:r>
                      <m:rPr/>
                      <w:rPr>
                        <w:rFonts w:ascii="Cambria Math" w:hAnsi="Cambria Math" w:eastAsia="Times New Roman" w:cs="Times New Roman"/>
                        <w:sz w:val="20"/>
                        <w:szCs w:val="20"/>
                      </w:rPr>
                      <m:t>n</m:t>
                    </m:r>
                    <m:ctrlPr>
                      <w:rPr>
                        <w:rFonts w:ascii="Cambria Math" w:hAnsi="Cambria Math" w:eastAsia="Times New Roman" w:cs="Times New Roman"/>
                        <w:sz w:val="20"/>
                        <w:szCs w:val="20"/>
                      </w:rPr>
                    </m:ctrlPr>
                  </m:e>
                  <m:sub>
                    <m:phant>
                      <m:phantPr>
                        <m:ctrlPr>
                          <w:rPr>
                            <w:rFonts w:ascii="Cambria Math" w:hAnsi="Cambria Math" w:eastAsia="Times New Roman" w:cs="Times New Roman"/>
                            <w:sz w:val="20"/>
                            <w:szCs w:val="20"/>
                          </w:rPr>
                        </m:ctrlPr>
                      </m:phantPr>
                      <m:e>
                        <m:r>
                          <m:rPr>
                            <m:sty m:val="p"/>
                          </m:rPr>
                          <w:rPr>
                            <w:rFonts w:ascii="Cambria Math" w:hAnsi="Cambria Math" w:eastAsia="Times New Roman" w:cs="Times New Roman"/>
                            <w:sz w:val="20"/>
                            <w:szCs w:val="20"/>
                          </w:rPr>
                          <m:t>C</m:t>
                        </m:r>
                        <m:ctrlPr>
                          <w:rPr>
                            <w:rFonts w:ascii="Cambria Math" w:hAnsi="Cambria Math" w:eastAsia="Times New Roman" w:cs="Times New Roman"/>
                            <w:sz w:val="20"/>
                            <w:szCs w:val="20"/>
                          </w:rPr>
                        </m:ctrlPr>
                      </m:e>
                    </m:phant>
                    <m:ctrlPr>
                      <w:rPr>
                        <w:rFonts w:ascii="Cambria Math" w:hAnsi="Cambria Math" w:eastAsia="Times New Roman" w:cs="Times New Roman"/>
                        <w:sz w:val="20"/>
                        <w:szCs w:val="20"/>
                      </w:rPr>
                    </m:ctrlPr>
                  </m:sub>
                </m:sSub>
              </m:oMath>
            </m:oMathPara>
          </w:p>
        </w:tc>
        <w:tc>
          <w:tcPr>
            <w:tcW w:w="1273"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dimensionless</w:t>
            </w:r>
          </w:p>
        </w:tc>
        <w:tc>
          <w:tcPr>
            <w:tcW w:w="1400"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pymatgen</w:t>
            </w:r>
          </w:p>
        </w:tc>
        <w:tc>
          <w:tcPr>
            <w:tcW w:w="2417" w:type="dxa"/>
            <w:tcMar>
              <w:top w:w="50" w:type="dxa"/>
              <w:left w:w="60" w:type="dxa"/>
              <w:bottom w:w="50" w:type="dxa"/>
              <w:right w:w="60" w:type="dxa"/>
            </w:tcMar>
          </w:tcPr>
          <w:p>
            <w:pPr>
              <w:jc w:val="center"/>
              <w:rPr>
                <w:rFonts w:ascii="Times New Roman" w:hAnsi="Times New Roman" w:cs="Times New Roman"/>
                <w:sz w:val="20"/>
                <w:szCs w:val="20"/>
              </w:rPr>
            </w:pPr>
            <w:r>
              <w:rPr>
                <w:rFonts w:ascii="Times New Roman" w:hAnsi="Times New Roman" w:eastAsia="Times New Roman" w:cs="Times New Roman"/>
                <w:sz w:val="20"/>
                <w:szCs w:val="20"/>
              </w:rPr>
              <w:t>Carbon-normalized compositional unsaturation</w:t>
            </w:r>
          </w:p>
        </w:tc>
      </w:tr>
    </w:tbl>
    <w:p>
      <w:pPr>
        <w:spacing w:line="276" w:lineRule="auto"/>
        <w:ind w:firstLine="420"/>
        <w:rPr>
          <w:rFonts w:ascii="Times New Roman" w:hAnsi="Times New Roman" w:cs="Times New Roman"/>
          <w:sz w:val="20"/>
          <w:szCs w:val="20"/>
        </w:rPr>
      </w:pPr>
      <w:r>
        <w:rPr>
          <w:rFonts w:ascii="Times New Roman" w:hAnsi="Times New Roman" w:eastAsia="Times New Roman" w:cs="Times New Roman"/>
          <w:sz w:val="20"/>
          <w:szCs w:val="20"/>
        </w:rPr>
        <w:t>In Supplementary Table 1,</w:t>
      </w:r>
      <w:r>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w:rPr>
                <w:rFonts w:ascii="Cambria Math" w:hAnsi="Cambria Math" w:cs="Times New Roman"/>
                <w:sz w:val="20"/>
                <w:szCs w:val="20"/>
              </w:rPr>
              <m:t>A</m:t>
            </m:r>
            <m:ctrlPr>
              <w:rPr>
                <w:rFonts w:ascii="Cambria Math" w:hAnsi="Cambria Math" w:cs="Times New Roman"/>
                <w:sz w:val="20"/>
                <w:szCs w:val="20"/>
              </w:rPr>
            </m:ctrlPr>
          </m:e>
          <m:sub>
            <m:phant>
              <m:phantPr>
                <m:ctrlPr>
                  <w:rPr>
                    <w:rFonts w:ascii="Cambria Math" w:hAnsi="Cambria Math" w:cs="Times New Roman"/>
                    <w:sz w:val="20"/>
                    <w:szCs w:val="20"/>
                  </w:rPr>
                </m:ctrlPr>
              </m:phantPr>
              <m:e>
                <m:r>
                  <m:rPr>
                    <m:sty m:val="p"/>
                  </m:rPr>
                  <w:rPr>
                    <w:rFonts w:ascii="Cambria Math" w:hAnsi="Cambria Math" w:cs="Times New Roman"/>
                    <w:sz w:val="20"/>
                    <w:szCs w:val="20"/>
                  </w:rPr>
                  <m:t>a</m:t>
                </m:r>
                <m:ctrlPr>
                  <w:rPr>
                    <w:rFonts w:ascii="Cambria Math" w:hAnsi="Cambria Math" w:cs="Times New Roman"/>
                    <w:sz w:val="20"/>
                    <w:szCs w:val="20"/>
                  </w:rPr>
                </m:ctrlPr>
              </m:e>
            </m:phant>
            <m:phant>
              <m:phantPr>
                <m:ctrlPr>
                  <w:rPr>
                    <w:rFonts w:ascii="Cambria Math" w:hAnsi="Cambria Math" w:cs="Times New Roman"/>
                    <w:sz w:val="20"/>
                    <w:szCs w:val="20"/>
                  </w:rPr>
                </m:ctrlPr>
              </m:phantPr>
              <m:e>
                <m:r>
                  <m:rPr>
                    <m:sty m:val="p"/>
                  </m:rPr>
                  <w:rPr>
                    <w:rFonts w:ascii="Cambria Math" w:hAnsi="Cambria Math" w:cs="Times New Roman"/>
                    <w:sz w:val="20"/>
                    <w:szCs w:val="20"/>
                  </w:rPr>
                  <m:t>c</m:t>
                </m:r>
                <m:ctrlPr>
                  <w:rPr>
                    <w:rFonts w:ascii="Cambria Math" w:hAnsi="Cambria Math" w:cs="Times New Roman"/>
                    <w:sz w:val="20"/>
                    <w:szCs w:val="20"/>
                  </w:rPr>
                </m:ctrlPr>
              </m:e>
            </m:phant>
            <m:phant>
              <m:phantPr>
                <m:ctrlPr>
                  <w:rPr>
                    <w:rFonts w:ascii="Cambria Math" w:hAnsi="Cambria Math" w:cs="Times New Roman"/>
                    <w:sz w:val="20"/>
                    <w:szCs w:val="20"/>
                  </w:rPr>
                </m:ctrlPr>
              </m:phantPr>
              <m:e>
                <m:r>
                  <m:rPr>
                    <m:sty m:val="p"/>
                  </m:rPr>
                  <w:rPr>
                    <w:rFonts w:ascii="Cambria Math" w:hAnsi="Cambria Math" w:cs="Times New Roman"/>
                    <w:sz w:val="20"/>
                    <w:szCs w:val="20"/>
                  </w:rPr>
                  <m:t>c</m:t>
                </m:r>
                <m:ctrlPr>
                  <w:rPr>
                    <w:rFonts w:ascii="Cambria Math" w:hAnsi="Cambria Math" w:cs="Times New Roman"/>
                    <w:sz w:val="20"/>
                    <w:szCs w:val="20"/>
                  </w:rPr>
                </m:ctrlPr>
              </m:e>
            </m:phant>
            <m:r>
              <m:rPr/>
              <w:rPr>
                <w:rFonts w:ascii="Cambria Math" w:hAnsi="Cambria Math" w:cs="Times New Roman"/>
                <w:sz w:val="20"/>
                <w:szCs w:val="20"/>
              </w:rPr>
              <m:t>,</m:t>
            </m:r>
            <m:sSub>
              <m:sSubPr>
                <m:ctrlPr>
                  <w:rPr>
                    <w:rFonts w:ascii="Cambria Math" w:hAnsi="Cambria Math" w:cs="Times New Roman"/>
                    <w:sz w:val="20"/>
                    <w:szCs w:val="20"/>
                  </w:rPr>
                </m:ctrlPr>
              </m:sSubPr>
              <m:e>
                <m:phant>
                  <m:phantPr>
                    <m:ctrlPr>
                      <w:rPr>
                        <w:rFonts w:ascii="Cambria Math" w:hAnsi="Cambria Math" w:cs="Times New Roman"/>
                        <w:sz w:val="20"/>
                        <w:szCs w:val="20"/>
                      </w:rPr>
                    </m:ctrlPr>
                  </m:phantPr>
                  <m:e>
                    <m:r>
                      <m:rPr>
                        <m:sty m:val="p"/>
                      </m:rPr>
                      <w:rPr>
                        <w:rFonts w:ascii="Cambria Math" w:hAnsi="Cambria Math" w:cs="Times New Roman"/>
                        <w:sz w:val="20"/>
                        <w:szCs w:val="20"/>
                      </w:rPr>
                      <m:t>N</m:t>
                    </m:r>
                    <m:ctrlPr>
                      <w:rPr>
                        <w:rFonts w:ascii="Cambria Math" w:hAnsi="Cambria Math" w:cs="Times New Roman"/>
                        <w:sz w:val="20"/>
                        <w:szCs w:val="20"/>
                      </w:rPr>
                    </m:ctrlPr>
                  </m:e>
                </m:phant>
                <m:ctrlPr>
                  <w:rPr>
                    <w:rFonts w:ascii="Cambria Math" w:hAnsi="Cambria Math" w:cs="Times New Roman"/>
                    <w:sz w:val="20"/>
                    <w:szCs w:val="20"/>
                  </w:rPr>
                </m:ctrlPr>
              </m:e>
              <m:sub>
                <m:r>
                  <m:rPr/>
                  <w:rPr>
                    <w:rFonts w:ascii="Cambria Math" w:hAnsi="Cambria Math" w:cs="Times New Roman"/>
                    <w:sz w:val="20"/>
                    <w:szCs w:val="20"/>
                  </w:rPr>
                  <m:t>2</m:t>
                </m:r>
                <m:ctrlPr>
                  <w:rPr>
                    <w:rFonts w:ascii="Cambria Math" w:hAnsi="Cambria Math" w:cs="Times New Roman"/>
                    <w:sz w:val="20"/>
                    <w:szCs w:val="20"/>
                  </w:rPr>
                </m:ctrlPr>
              </m:sub>
            </m:sSub>
            <m:ctrlPr>
              <w:rPr>
                <w:rFonts w:ascii="Cambria Math" w:hAnsi="Cambria Math" w:cs="Times New Roman"/>
                <w:sz w:val="20"/>
                <w:szCs w:val="20"/>
              </w:rPr>
            </m:ctrlPr>
          </m:sub>
        </m:sSub>
      </m:oMath>
      <w:r>
        <w:rPr>
          <w:rFonts w:ascii="Times New Roman" w:hAnsi="Times New Roman" w:cs="Times New Roman"/>
          <w:sz w:val="20"/>
          <w:szCs w:val="20"/>
        </w:rPr>
        <w:t xml:space="preserve"> and </w:t>
      </w:r>
      <m:oMath>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phant>
              <m:phantPr>
                <m:ctrlPr>
                  <w:rPr>
                    <w:rFonts w:ascii="Cambria Math" w:hAnsi="Cambria Math" w:cs="Times New Roman"/>
                    <w:sz w:val="20"/>
                    <w:szCs w:val="20"/>
                  </w:rPr>
                </m:ctrlPr>
              </m:phantPr>
              <m:e>
                <m:r>
                  <m:rPr>
                    <m:sty m:val="p"/>
                  </m:rPr>
                  <w:rPr>
                    <w:rFonts w:ascii="Cambria Math" w:hAnsi="Cambria Math" w:cs="Times New Roman"/>
                    <w:sz w:val="20"/>
                    <w:szCs w:val="20"/>
                  </w:rPr>
                  <m:t>a</m:t>
                </m:r>
                <m:ctrlPr>
                  <w:rPr>
                    <w:rFonts w:ascii="Cambria Math" w:hAnsi="Cambria Math" w:cs="Times New Roman"/>
                    <w:sz w:val="20"/>
                    <w:szCs w:val="20"/>
                  </w:rPr>
                </m:ctrlPr>
              </m:e>
            </m:phant>
            <m:phant>
              <m:phantPr>
                <m:ctrlPr>
                  <w:rPr>
                    <w:rFonts w:ascii="Cambria Math" w:hAnsi="Cambria Math" w:cs="Times New Roman"/>
                    <w:sz w:val="20"/>
                    <w:szCs w:val="20"/>
                  </w:rPr>
                </m:ctrlPr>
              </m:phantPr>
              <m:e>
                <m:r>
                  <m:rPr>
                    <m:sty m:val="p"/>
                  </m:rPr>
                  <w:rPr>
                    <w:rFonts w:ascii="Cambria Math" w:hAnsi="Cambria Math" w:cs="Times New Roman"/>
                    <w:sz w:val="20"/>
                    <w:szCs w:val="20"/>
                  </w:rPr>
                  <m:t>c</m:t>
                </m:r>
                <m:ctrlPr>
                  <w:rPr>
                    <w:rFonts w:ascii="Cambria Math" w:hAnsi="Cambria Math" w:cs="Times New Roman"/>
                    <w:sz w:val="20"/>
                    <w:szCs w:val="20"/>
                  </w:rPr>
                </m:ctrlPr>
              </m:e>
            </m:phant>
            <m:phant>
              <m:phantPr>
                <m:ctrlPr>
                  <w:rPr>
                    <w:rFonts w:ascii="Cambria Math" w:hAnsi="Cambria Math" w:cs="Times New Roman"/>
                    <w:sz w:val="20"/>
                    <w:szCs w:val="20"/>
                  </w:rPr>
                </m:ctrlPr>
              </m:phantPr>
              <m:e>
                <m:r>
                  <m:rPr>
                    <m:sty m:val="p"/>
                  </m:rPr>
                  <w:rPr>
                    <w:rFonts w:ascii="Cambria Math" w:hAnsi="Cambria Math" w:cs="Times New Roman"/>
                    <w:sz w:val="20"/>
                    <w:szCs w:val="20"/>
                  </w:rPr>
                  <m:t>c</m:t>
                </m:r>
                <m:ctrlPr>
                  <w:rPr>
                    <w:rFonts w:ascii="Cambria Math" w:hAnsi="Cambria Math" w:cs="Times New Roman"/>
                    <w:sz w:val="20"/>
                    <w:szCs w:val="20"/>
                  </w:rPr>
                </m:ctrlPr>
              </m:e>
            </m:phant>
            <m:r>
              <m:rPr/>
              <w:rPr>
                <w:rFonts w:ascii="Cambria Math" w:hAnsi="Cambria Math" w:cs="Times New Roman"/>
                <w:sz w:val="20"/>
                <w:szCs w:val="20"/>
              </w:rPr>
              <m:t>,</m:t>
            </m:r>
            <m:phant>
              <m:phantPr>
                <m:ctrlPr>
                  <w:rPr>
                    <w:rFonts w:ascii="Cambria Math" w:hAnsi="Cambria Math" w:cs="Times New Roman"/>
                    <w:sz w:val="20"/>
                    <w:szCs w:val="20"/>
                  </w:rPr>
                </m:ctrlPr>
              </m:phantPr>
              <m:e>
                <m:r>
                  <m:rPr>
                    <m:sty m:val="p"/>
                  </m:rPr>
                  <w:rPr>
                    <w:rFonts w:ascii="Cambria Math" w:hAnsi="Cambria Math" w:cs="Times New Roman"/>
                    <w:sz w:val="20"/>
                    <w:szCs w:val="20"/>
                  </w:rPr>
                  <m:t>H</m:t>
                </m:r>
                <m:ctrlPr>
                  <w:rPr>
                    <w:rFonts w:ascii="Cambria Math" w:hAnsi="Cambria Math" w:cs="Times New Roman"/>
                    <w:sz w:val="20"/>
                    <w:szCs w:val="20"/>
                  </w:rPr>
                </m:ctrlPr>
              </m:e>
            </m:phant>
            <m:phant>
              <m:phantPr>
                <m:ctrlPr>
                  <w:rPr>
                    <w:rFonts w:ascii="Cambria Math" w:hAnsi="Cambria Math" w:cs="Times New Roman"/>
                    <w:sz w:val="20"/>
                    <w:szCs w:val="20"/>
                  </w:rPr>
                </m:ctrlPr>
              </m:phantPr>
              <m:e>
                <m:r>
                  <m:rPr>
                    <m:sty m:val="p"/>
                  </m:rPr>
                  <w:rPr>
                    <w:rFonts w:ascii="Cambria Math" w:hAnsi="Cambria Math" w:cs="Times New Roman"/>
                    <w:sz w:val="20"/>
                    <w:szCs w:val="20"/>
                  </w:rPr>
                  <m:t>e</m:t>
                </m:r>
                <m:ctrlPr>
                  <w:rPr>
                    <w:rFonts w:ascii="Cambria Math" w:hAnsi="Cambria Math" w:cs="Times New Roman"/>
                    <w:sz w:val="20"/>
                    <w:szCs w:val="20"/>
                  </w:rPr>
                </m:ctrlPr>
              </m:e>
            </m:phant>
            <m:ctrlPr>
              <w:rPr>
                <w:rFonts w:ascii="Cambria Math" w:hAnsi="Cambria Math" w:cs="Times New Roman"/>
                <w:sz w:val="20"/>
                <w:szCs w:val="20"/>
              </w:rPr>
            </m:ctrlPr>
          </m:sub>
        </m:sSub>
      </m:oMath>
      <w:r>
        <w:rPr>
          <w:rFonts w:ascii="Times New Roman" w:hAnsi="Times New Roman" w:cs="Times New Roman"/>
          <w:sz w:val="20"/>
          <w:szCs w:val="20"/>
        </w:rPr>
        <w:t xml:space="preserve"> denote the N₂-probe-accessible surface area and He-probe-accessible volume, respectively; </w:t>
      </w:r>
      <m:oMath>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phant>
              <m:phantPr>
                <m:ctrlPr>
                  <w:rPr>
                    <w:rFonts w:ascii="Cambria Math" w:hAnsi="Cambria Math" w:cs="Times New Roman"/>
                    <w:sz w:val="20"/>
                    <w:szCs w:val="20"/>
                  </w:rPr>
                </m:ctrlPr>
              </m:phantPr>
              <m:e>
                <m:r>
                  <m:rPr>
                    <m:sty m:val="p"/>
                  </m:rPr>
                  <w:rPr>
                    <w:rFonts w:ascii="Cambria Math" w:hAnsi="Cambria Math" w:cs="Times New Roman"/>
                    <w:sz w:val="20"/>
                    <w:szCs w:val="20"/>
                  </w:rPr>
                  <m:t>cell</m:t>
                </m:r>
                <m:ctrlPr>
                  <w:rPr>
                    <w:rFonts w:ascii="Cambria Math" w:hAnsi="Cambria Math" w:cs="Times New Roman"/>
                    <w:sz w:val="20"/>
                    <w:szCs w:val="20"/>
                  </w:rPr>
                </m:ctrlPr>
              </m:e>
            </m:phant>
            <m:ctrlPr>
              <w:rPr>
                <w:rFonts w:ascii="Cambria Math" w:hAnsi="Cambria Math" w:cs="Times New Roman"/>
                <w:sz w:val="20"/>
                <w:szCs w:val="20"/>
              </w:rPr>
            </m:ctrlPr>
          </m:sub>
        </m:sSub>
      </m:oMath>
      <w:r>
        <w:rPr>
          <w:rFonts w:ascii="Times New Roman" w:hAnsi="Times New Roman" w:cs="Times New Roman"/>
          <w:sz w:val="20"/>
          <w:szCs w:val="20"/>
        </w:rPr>
        <w:t xml:space="preserve"> and </w:t>
      </w:r>
      <m:oMath>
        <m:sSub>
          <m:sSubPr>
            <m:ctrlPr>
              <w:rPr>
                <w:rFonts w:ascii="Cambria Math" w:hAnsi="Cambria Math" w:cs="Times New Roman"/>
                <w:sz w:val="20"/>
                <w:szCs w:val="20"/>
              </w:rPr>
            </m:ctrlPr>
          </m:sSubPr>
          <m:e>
            <m:r>
              <m:rPr/>
              <w:rPr>
                <w:rFonts w:ascii="Cambria Math" w:hAnsi="Cambria Math" w:cs="Times New Roman"/>
                <w:sz w:val="20"/>
                <w:szCs w:val="20"/>
              </w:rPr>
              <m:t>m</m:t>
            </m:r>
            <m:ctrlPr>
              <w:rPr>
                <w:rFonts w:ascii="Cambria Math" w:hAnsi="Cambria Math" w:cs="Times New Roman"/>
                <w:sz w:val="20"/>
                <w:szCs w:val="20"/>
              </w:rPr>
            </m:ctrlPr>
          </m:e>
          <m:sub>
            <m:phant>
              <m:phantPr>
                <m:ctrlPr>
                  <w:rPr>
                    <w:rFonts w:ascii="Cambria Math" w:hAnsi="Cambria Math" w:cs="Times New Roman"/>
                    <w:sz w:val="20"/>
                    <w:szCs w:val="20"/>
                  </w:rPr>
                </m:ctrlPr>
              </m:phantPr>
              <m:e>
                <m:r>
                  <m:rPr>
                    <m:sty m:val="p"/>
                  </m:rPr>
                  <w:rPr>
                    <w:rFonts w:ascii="Cambria Math" w:hAnsi="Cambria Math" w:cs="Times New Roman"/>
                    <w:sz w:val="20"/>
                    <w:szCs w:val="20"/>
                  </w:rPr>
                  <m:t>cell</m:t>
                </m:r>
                <m:ctrlPr>
                  <w:rPr>
                    <w:rFonts w:ascii="Cambria Math" w:hAnsi="Cambria Math" w:cs="Times New Roman"/>
                    <w:sz w:val="20"/>
                    <w:szCs w:val="20"/>
                  </w:rPr>
                </m:ctrlPr>
              </m:e>
            </m:phant>
            <m:ctrlPr>
              <w:rPr>
                <w:rFonts w:ascii="Cambria Math" w:hAnsi="Cambria Math" w:cs="Times New Roman"/>
                <w:sz w:val="20"/>
                <w:szCs w:val="20"/>
              </w:rPr>
            </m:ctrlPr>
          </m:sub>
        </m:sSub>
      </m:oMath>
      <w:r>
        <w:rPr>
          <w:rFonts w:ascii="Times New Roman" w:hAnsi="Times New Roman" w:cs="Times New Roman"/>
          <w:sz w:val="20"/>
          <w:szCs w:val="20"/>
        </w:rPr>
        <w:t xml:space="preserve"> denote the unit-cell volume and framework mass; and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phant>
              <m:phantPr>
                <m:ctrlPr>
                  <w:rPr>
                    <w:rFonts w:ascii="Cambria Math" w:hAnsi="Cambria Math" w:cs="Times New Roman"/>
                    <w:sz w:val="20"/>
                    <w:szCs w:val="20"/>
                  </w:rPr>
                </m:ctrlPr>
              </m:phantPr>
              <m:e>
                <m:r>
                  <m:rPr>
                    <m:sty m:val="p"/>
                  </m:rPr>
                  <w:rPr>
                    <w:rFonts w:ascii="Cambria Math" w:hAnsi="Cambria Math" w:cs="Times New Roman"/>
                    <w:sz w:val="20"/>
                    <w:szCs w:val="20"/>
                  </w:rPr>
                  <m:t>atom</m:t>
                </m:r>
                <m:ctrlPr>
                  <w:rPr>
                    <w:rFonts w:ascii="Cambria Math" w:hAnsi="Cambria Math" w:cs="Times New Roman"/>
                    <w:sz w:val="20"/>
                    <w:szCs w:val="20"/>
                  </w:rPr>
                </m:ctrlPr>
              </m:e>
            </m:phant>
            <m:ctrlPr>
              <w:rPr>
                <w:rFonts w:ascii="Cambria Math" w:hAnsi="Cambria Math" w:cs="Times New Roman"/>
                <w:sz w:val="20"/>
                <w:szCs w:val="20"/>
              </w:rPr>
            </m:ctrlPr>
          </m:sub>
        </m:sSub>
      </m:oMath>
      <w:r>
        <w:rPr>
          <w:rFonts w:ascii="Times New Roman" w:hAnsi="Times New Roman" w:cs="Times New Roman"/>
          <w:sz w:val="20"/>
          <w:szCs w:val="20"/>
        </w:rPr>
        <w:t xml:space="preserve"> denotes the total number of atoms in the parsed crystallographic unit cell.</w:t>
      </w:r>
      <w:r>
        <w:rPr>
          <w:rFonts w:ascii="Times New Roman" w:hAnsi="Times New Roman" w:cs="Times New Roman"/>
        </w:rPr>
        <w:t xml:space="preserve"> </w:t>
      </w:r>
      <w:r>
        <w:rPr>
          <w:rFonts w:ascii="Times New Roman" w:hAnsi="Times New Roman" w:cs="Times New Roman"/>
          <w:sz w:val="20"/>
          <w:szCs w:val="20"/>
        </w:rPr>
        <w:t xml:space="preserve">For element </w:t>
      </w:r>
      <m:oMath>
        <m:r>
          <m:rPr/>
          <w:rPr>
            <w:rFonts w:ascii="Cambria Math" w:hAnsi="Cambria Math" w:cs="Times New Roman"/>
            <w:sz w:val="20"/>
            <w:szCs w:val="20"/>
          </w:rPr>
          <m:t>e</m:t>
        </m:r>
      </m:oMath>
      <w:r>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e</m:t>
            </m:r>
            <m:ctrlPr>
              <w:rPr>
                <w:rFonts w:ascii="Cambria Math" w:hAnsi="Cambria Math" w:cs="Times New Roman"/>
                <w:sz w:val="20"/>
                <w:szCs w:val="20"/>
              </w:rPr>
            </m:ctrlPr>
          </m:sub>
        </m:sSub>
      </m:oMath>
      <w:r>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w:rPr>
                <w:rFonts w:ascii="Cambria Math" w:hAnsi="Cambria Math" w:cs="Times New Roman"/>
                <w:sz w:val="20"/>
                <w:szCs w:val="20"/>
              </w:rPr>
              <m:t>x</m:t>
            </m:r>
            <m:ctrlPr>
              <w:rPr>
                <w:rFonts w:ascii="Cambria Math" w:hAnsi="Cambria Math" w:cs="Times New Roman"/>
                <w:sz w:val="20"/>
                <w:szCs w:val="20"/>
              </w:rPr>
            </m:ctrlPr>
          </m:e>
          <m:sub>
            <m:r>
              <m:rPr/>
              <w:rPr>
                <w:rFonts w:ascii="Cambria Math" w:hAnsi="Cambria Math" w:cs="Times New Roman"/>
                <w:sz w:val="20"/>
                <w:szCs w:val="20"/>
              </w:rPr>
              <m:t>e</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e</m:t>
            </m:r>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atom</m:t>
            </m:r>
            <m:ctrlPr>
              <w:rPr>
                <w:rFonts w:ascii="Cambria Math" w:hAnsi="Cambria Math" w:cs="Times New Roman"/>
                <w:sz w:val="20"/>
                <w:szCs w:val="20"/>
              </w:rPr>
            </m:ctrlPr>
          </m:sub>
        </m:sSub>
      </m:oMath>
      <w:r>
        <w:rPr>
          <w:rFonts w:ascii="Times New Roman" w:hAnsi="Times New Roman" w:cs="Times New Roman"/>
          <w:sz w:val="20"/>
          <w:szCs w:val="20"/>
        </w:rPr>
        <w:t xml:space="preserve">and </w:t>
      </w:r>
      <m:oMath>
        <m:sSub>
          <m:sSubPr>
            <m:ctrlPr>
              <w:rPr>
                <w:rFonts w:ascii="Cambria Math" w:hAnsi="Cambria Math" w:cs="Times New Roman"/>
                <w:sz w:val="20"/>
                <w:szCs w:val="20"/>
              </w:rPr>
            </m:ctrlPr>
          </m:sSubPr>
          <m:e>
            <m:r>
              <m:rPr/>
              <w:rPr>
                <w:rFonts w:ascii="Cambria Math" w:hAnsi="Cambria Math" w:cs="Times New Roman"/>
                <w:sz w:val="20"/>
                <w:szCs w:val="20"/>
              </w:rPr>
              <m:t>χ</m:t>
            </m:r>
            <m:ctrlPr>
              <w:rPr>
                <w:rFonts w:ascii="Cambria Math" w:hAnsi="Cambria Math" w:cs="Times New Roman"/>
                <w:sz w:val="20"/>
                <w:szCs w:val="20"/>
              </w:rPr>
            </m:ctrlPr>
          </m:e>
          <m:sub>
            <m:r>
              <m:rPr/>
              <w:rPr>
                <w:rFonts w:ascii="Cambria Math" w:hAnsi="Cambria Math" w:cs="Times New Roman"/>
                <w:sz w:val="20"/>
                <w:szCs w:val="20"/>
              </w:rPr>
              <m:t>e</m:t>
            </m:r>
            <m:ctrlPr>
              <w:rPr>
                <w:rFonts w:ascii="Cambria Math" w:hAnsi="Cambria Math" w:cs="Times New Roman"/>
                <w:sz w:val="20"/>
                <w:szCs w:val="20"/>
              </w:rPr>
            </m:ctrlPr>
          </m:sub>
        </m:sSub>
      </m:oMath>
      <w:r>
        <w:rPr>
          <w:rFonts w:ascii="Times New Roman" w:hAnsi="Times New Roman" w:cs="Times New Roman"/>
          <w:sz w:val="20"/>
          <w:szCs w:val="20"/>
        </w:rPr>
        <w:t xml:space="preserve">denote its atom count, atomic fraction and Pauling electronegativity, respectively. </w:t>
      </w:r>
      <m:oMath>
        <m:acc>
          <m:accPr>
            <m:chr m:val="ˉ"/>
            <m:ctrlPr>
              <w:rPr>
                <w:rFonts w:ascii="Cambria Math" w:hAnsi="Cambria Math" w:cs="Times New Roman"/>
                <w:sz w:val="20"/>
                <w:szCs w:val="20"/>
              </w:rPr>
            </m:ctrlPr>
          </m:accPr>
          <m:e>
            <m:r>
              <m:rPr/>
              <w:rPr>
                <w:rFonts w:ascii="Cambria Math" w:hAnsi="Cambria Math" w:cs="Times New Roman"/>
                <w:sz w:val="20"/>
                <w:szCs w:val="20"/>
              </w:rPr>
              <m:t>χ</m:t>
            </m:r>
            <m:ctrlPr>
              <w:rPr>
                <w:rFonts w:ascii="Cambria Math" w:hAnsi="Cambria Math" w:cs="Times New Roman"/>
                <w:sz w:val="20"/>
                <w:szCs w:val="20"/>
              </w:rPr>
            </m:ctrlPr>
          </m:e>
        </m:acc>
      </m:oMath>
      <w:r>
        <w:rPr>
          <w:rFonts w:ascii="Times New Roman" w:hAnsi="Times New Roman" w:cs="Times New Roman"/>
          <w:sz w:val="20"/>
          <w:szCs w:val="20"/>
        </w:rPr>
        <w:t xml:space="preserve">and </w:t>
      </w:r>
      <m:oMath>
        <m:sSub>
          <m:sSubPr>
            <m:ctrlPr>
              <w:rPr>
                <w:rFonts w:ascii="Cambria Math" w:hAnsi="Cambria Math" w:cs="Times New Roman"/>
                <w:sz w:val="20"/>
                <w:szCs w:val="20"/>
              </w:rPr>
            </m:ctrlPr>
          </m:sSubPr>
          <m:e>
            <m:r>
              <m:rPr/>
              <w:rPr>
                <w:rFonts w:ascii="Cambria Math" w:hAnsi="Cambria Math" w:cs="Times New Roman"/>
                <w:sz w:val="20"/>
                <w:szCs w:val="20"/>
              </w:rPr>
              <m:t>σ</m:t>
            </m:r>
            <m:ctrlPr>
              <w:rPr>
                <w:rFonts w:ascii="Cambria Math" w:hAnsi="Cambria Math" w:cs="Times New Roman"/>
                <w:sz w:val="20"/>
                <w:szCs w:val="20"/>
              </w:rPr>
            </m:ctrlPr>
          </m:e>
          <m:sub>
            <m:r>
              <m:rPr/>
              <w:rPr>
                <w:rFonts w:ascii="Cambria Math" w:hAnsi="Cambria Math" w:cs="Times New Roman"/>
                <w:sz w:val="20"/>
                <w:szCs w:val="20"/>
              </w:rPr>
              <m:t>χ</m:t>
            </m:r>
            <m:ctrlPr>
              <w:rPr>
                <w:rFonts w:ascii="Cambria Math" w:hAnsi="Cambria Math" w:cs="Times New Roman"/>
                <w:sz w:val="20"/>
                <w:szCs w:val="20"/>
              </w:rPr>
            </m:ctrlPr>
          </m:sub>
        </m:sSub>
      </m:oMath>
      <w:r>
        <w:rPr>
          <w:rFonts w:ascii="Times New Roman" w:hAnsi="Times New Roman" w:cs="Times New Roman"/>
          <w:sz w:val="20"/>
          <w:szCs w:val="20"/>
        </w:rPr>
        <w:t xml:space="preserve">denote the composition-weighted mean and standard deviation of electronegativity.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metal</m:t>
            </m:r>
            <m:ctrlPr>
              <w:rPr>
                <w:rFonts w:ascii="Cambria Math" w:hAnsi="Cambria Math" w:cs="Times New Roman"/>
                <w:sz w:val="20"/>
                <w:szCs w:val="20"/>
              </w:rPr>
            </m:ctrlPr>
          </m:sub>
        </m:sSub>
      </m:oMath>
      <w:r>
        <w:rPr>
          <w:rFonts w:ascii="Times New Roman" w:hAnsi="Times New Roman" w:cs="Times New Roman"/>
          <w:sz w:val="20"/>
          <w:szCs w:val="20"/>
        </w:rPr>
        <w:t xml:space="preserve">denotes the number of metal sites, and </w:t>
      </w:r>
      <m:oMath>
        <m:sSub>
          <m:sSubPr>
            <m:ctrlPr>
              <w:rPr>
                <w:rFonts w:ascii="Cambria Math" w:hAnsi="Cambria Math" w:cs="Times New Roman"/>
                <w:sz w:val="20"/>
                <w:szCs w:val="20"/>
              </w:rPr>
            </m:ctrlPr>
          </m:sSubPr>
          <m:e>
            <m:r>
              <m:rPr>
                <m:sty m:val="p"/>
              </m:rPr>
              <w:rPr>
                <w:rFonts w:ascii="Cambria Math" w:hAnsi="Cambria Math" w:cs="Times New Roman"/>
                <w:sz w:val="20"/>
                <w:szCs w:val="20"/>
              </w:rPr>
              <m:t>CN</m:t>
            </m:r>
            <m:ctrlPr>
              <w:rPr>
                <w:rFonts w:ascii="Cambria Math" w:hAnsi="Cambria Math" w:cs="Times New Roman"/>
                <w:sz w:val="20"/>
                <w:szCs w:val="20"/>
              </w:rPr>
            </m:ctrlPr>
          </m:e>
          <m:sub>
            <m:r>
              <m:rPr/>
              <w:rPr>
                <w:rFonts w:ascii="Cambria Math" w:hAnsi="Cambria Math" w:cs="Times New Roman"/>
                <w:sz w:val="20"/>
                <w:szCs w:val="20"/>
              </w:rPr>
              <m:t>m</m:t>
            </m:r>
            <m:ctrlPr>
              <w:rPr>
                <w:rFonts w:ascii="Cambria Math" w:hAnsi="Cambria Math" w:cs="Times New Roman"/>
                <w:sz w:val="20"/>
                <w:szCs w:val="20"/>
              </w:rPr>
            </m:ctrlPr>
          </m:sub>
        </m:sSub>
      </m:oMath>
      <w:r>
        <w:rPr>
          <w:rFonts w:ascii="Times New Roman" w:hAnsi="Times New Roman" w:cs="Times New Roman"/>
          <w:sz w:val="20"/>
          <w:szCs w:val="20"/>
        </w:rPr>
        <w:t xml:space="preserve"> denotes the weighted coordination number assigned by CrystalNN to metal site </w:t>
      </w:r>
      <m:oMath>
        <m:r>
          <m:rPr/>
          <w:rPr>
            <w:rFonts w:ascii="Cambria Math" w:hAnsi="Cambria Math" w:cs="Times New Roman"/>
            <w:sz w:val="20"/>
            <w:szCs w:val="20"/>
          </w:rPr>
          <m:t>m</m:t>
        </m:r>
      </m:oMath>
      <w:r>
        <w:rPr>
          <w:rFonts w:ascii="Times New Roman" w:hAnsi="Times New Roman" w:cs="Times New Roman"/>
          <w:sz w:val="20"/>
          <w:szCs w:val="20"/>
        </w:rPr>
        <w:t xml:space="preserve">. The total halogen count is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X</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F</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Cl</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Br</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cs="Times New Roman"/>
          <w:sz w:val="20"/>
          <w:szCs w:val="20"/>
        </w:rPr>
        <w:t xml:space="preserve">, and </w:t>
      </w:r>
      <m:oMath>
        <m:r>
          <m:rPr>
            <m:sty m:val="p"/>
          </m:rPr>
          <w:rPr>
            <w:rFonts w:ascii="Cambria Math" w:hAnsi="Cambria Math" w:cs="Times New Roman"/>
            <w:sz w:val="20"/>
            <w:szCs w:val="20"/>
          </w:rPr>
          <m:t>TDU</m:t>
        </m:r>
        <m:r>
          <m:rPr/>
          <w:rPr>
            <w:rFonts w:ascii="Cambria Math" w:hAnsi="Cambria Math" w:cs="Times New Roman"/>
            <w:sz w:val="20"/>
            <w:szCs w:val="20"/>
          </w:rPr>
          <m:t>=(2</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C</m:t>
            </m:r>
            <m:ctrlPr>
              <w:rPr>
                <w:rFonts w:ascii="Cambria Math" w:hAnsi="Cambria Math" w:cs="Times New Roman"/>
                <w:sz w:val="20"/>
                <w:szCs w:val="20"/>
              </w:rPr>
            </m:ctrlPr>
          </m:sub>
        </m:sSub>
        <m:r>
          <m:rPr/>
          <w:rPr>
            <w:rFonts w:ascii="Cambria Math" w:hAnsi="Cambria Math" w:cs="Times New Roman"/>
            <w:sz w:val="20"/>
            <w:szCs w:val="20"/>
          </w:rPr>
          <m:t>+2+</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N</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H</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X</m:t>
            </m:r>
            <m:ctrlPr>
              <w:rPr>
                <w:rFonts w:ascii="Cambria Math" w:hAnsi="Cambria Math" w:cs="Times New Roman"/>
                <w:sz w:val="20"/>
                <w:szCs w:val="20"/>
              </w:rPr>
            </m:ctrlPr>
          </m:sub>
        </m:sSub>
        <m:r>
          <m:rPr/>
          <w:rPr>
            <w:rFonts w:ascii="Cambria Math" w:hAnsi="Cambria Math" w:cs="Times New Roman"/>
            <w:sz w:val="20"/>
            <w:szCs w:val="20"/>
          </w:rPr>
          <m:t>)</m:t>
        </m:r>
        <m:r>
          <m:rPr>
            <m:sty m:val="p"/>
          </m:rPr>
          <w:rPr>
            <w:rFonts w:ascii="Cambria Math" w:hAnsi="Cambria Math" w:cs="Times New Roman"/>
            <w:sz w:val="20"/>
            <w:szCs w:val="20"/>
          </w:rPr>
          <m:t>/</m:t>
        </m:r>
        <m:r>
          <m:rPr/>
          <w:rPr>
            <w:rFonts w:ascii="Cambria Math" w:hAnsi="Cambria Math" w:cs="Times New Roman"/>
            <w:sz w:val="20"/>
            <w:szCs w:val="20"/>
          </w:rPr>
          <m:t>2</m:t>
        </m:r>
      </m:oMath>
      <w:r>
        <w:rPr>
          <w:rFonts w:ascii="Times New Roman" w:hAnsi="Times New Roman" w:cs="Times New Roman"/>
          <w:sz w:val="20"/>
          <w:szCs w:val="20"/>
        </w:rPr>
        <w:t>.</w:t>
      </w:r>
    </w:p>
    <w:p>
      <w:pPr>
        <w:spacing w:line="276" w:lineRule="auto"/>
        <w:rPr>
          <w:rFonts w:ascii="Times New Roman" w:hAnsi="Times New Roman" w:cs="Times New Roman"/>
          <w:b/>
          <w:bCs/>
          <w:sz w:val="22"/>
        </w:rPr>
      </w:pPr>
      <w:r>
        <w:rPr>
          <w:rFonts w:ascii="Times New Roman" w:hAnsi="Times New Roman" w:cs="Times New Roman"/>
          <w:b/>
          <w:bCs/>
          <w:sz w:val="22"/>
        </w:rPr>
        <w:t>S1.3 Curation workflow, quality-control criteria and final library</w:t>
      </w:r>
    </w:p>
    <w:p>
      <w:pPr>
        <w:ind w:firstLine="420"/>
        <w:rPr>
          <w:rFonts w:ascii="Times New Roman" w:hAnsi="Times New Roman" w:cs="Times New Roman"/>
          <w:sz w:val="20"/>
          <w:szCs w:val="20"/>
        </w:rPr>
      </w:pPr>
      <w:r>
        <w:rPr>
          <w:rFonts w:ascii="Times New Roman" w:hAnsi="Times New Roman" w:cs="Times New Roman"/>
          <w:sz w:val="20"/>
          <w:szCs w:val="20"/>
        </w:rPr>
        <w:t>The 15,333 structures were processed through five sequential curation stages. Structures with missing or zero-valued geometric descriptors. This step removed 5,170 structures and retained 10,163. The remaining structures were processed using the open_metal_site_detector workflow as an additional structure-quality and processability check. Structures that could not be processed reliably were excluded, removing 783 structures and leaving 9,380 structures.</w:t>
      </w:r>
    </w:p>
    <w:p>
      <w:pPr>
        <w:ind w:firstLine="420"/>
        <w:rPr>
          <w:rFonts w:ascii="Times New Roman" w:hAnsi="Times New Roman" w:cs="Times New Roman"/>
          <w:sz w:val="20"/>
          <w:szCs w:val="20"/>
        </w:rPr>
      </w:pPr>
      <w:r>
        <w:rPr>
          <w:rFonts w:ascii="Times New Roman" w:hAnsi="Times New Roman" w:cs="Times New Roman"/>
          <w:sz w:val="20"/>
          <w:szCs w:val="20"/>
        </w:rPr>
        <w:t>The retained CIF files were subsequently checked using pymatgen and Zeo++. Pymatgen was used to parse each CIF into a valid Structure object, whereas Zeo++ was used to test geometry-processing availability. The combined checks removed 327 structures and retained 9,053. A stricter CIF quality-control workflow was then applied, combining automated crystallographic checks with composition-based sanity checks. Each structure was assigned an issue level of OK, WARN or ERROR, and only structures classified as OK were retained. This stage removed 1,433 structures, including 731 WARN and 702 ERROR entries, leaving 7,620 structures.</w:t>
      </w:r>
    </w:p>
    <w:p>
      <w:pPr>
        <w:ind w:firstLine="420"/>
        <w:rPr>
          <w:rFonts w:ascii="Times New Roman" w:hAnsi="Times New Roman" w:cs="Times New Roman"/>
          <w:sz w:val="20"/>
          <w:szCs w:val="20"/>
        </w:rPr>
      </w:pPr>
      <w:r>
        <w:rPr>
          <w:rFonts w:ascii="Times New Roman" w:hAnsi="Times New Roman" w:cs="Times New Roman"/>
          <w:sz w:val="20"/>
          <w:szCs w:val="20"/>
        </w:rPr>
        <w:t>Structures retained for dataset analysis and retrospective multi-objective Bayesian optimization. A structure was excluded if its density was below 100 kg m⁻</w:t>
      </w:r>
      <w:r>
        <w:rPr>
          <w:rFonts w:ascii="Times New Roman" w:hAnsi="Times New Roman" w:cs="Times New Roman"/>
          <w:sz w:val="20"/>
          <w:szCs w:val="20"/>
          <w:vertAlign w:val="superscript"/>
        </w:rPr>
        <w:t>3</w:t>
      </w:r>
      <w:r>
        <w:rPr>
          <w:rFonts w:ascii="Times New Roman" w:hAnsi="Times New Roman" w:cs="Times New Roman"/>
          <w:sz w:val="20"/>
          <w:szCs w:val="20"/>
        </w:rPr>
        <w:t>; if either LCD or PLD exceeded 50 Å while the density was below 300 kg m⁻³; if Mean Metal Coord exceeded 12; or if Mean Metal Coord was below 2. This stage removed 88 structures and yielded the final library of 7,532 MOFs. Supplementary Table 2 summarizes the complete dataset attrition.</w:t>
      </w:r>
    </w:p>
    <w:p>
      <w:pPr>
        <w:pStyle w:val="50"/>
        <w:jc w:val="center"/>
        <w:rPr>
          <w:rFonts w:cs="Times New Roman"/>
        </w:rPr>
      </w:pPr>
      <w:r>
        <w:rPr>
          <w:rFonts w:cs="Times New Roman"/>
          <w:b/>
        </w:rPr>
        <w:t xml:space="preserve">Supplementary Table </w:t>
      </w:r>
      <w:r>
        <w:rPr>
          <w:rFonts w:cs="Times New Roman" w:eastAsiaTheme="minorEastAsia"/>
          <w:b/>
          <w:lang w:eastAsia="zh-CN"/>
        </w:rPr>
        <w:t>2</w:t>
      </w:r>
      <w:r>
        <w:rPr>
          <w:rFonts w:cs="Times New Roman"/>
          <w:b/>
        </w:rPr>
        <w:t xml:space="preserve"> | Dataset curation workflow</w:t>
      </w:r>
    </w:p>
    <w:tbl>
      <w:tblPr>
        <w:tblStyle w:val="21"/>
        <w:tblW w:w="8789"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21"/>
        <w:gridCol w:w="2924"/>
        <w:gridCol w:w="1276"/>
        <w:gridCol w:w="1134"/>
        <w:gridCol w:w="1134"/>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1" w:type="dxa"/>
            <w:tcBorders>
              <w:top w:val="single" w:color="auto" w:sz="8" w:space="0"/>
              <w:bottom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b/>
                <w:kern w:val="0"/>
                <w:sz w:val="20"/>
                <w:szCs w:val="20"/>
                <w:lang w:eastAsia="en-US"/>
              </w:rPr>
              <w:t>Curation step</w:t>
            </w:r>
          </w:p>
        </w:tc>
        <w:tc>
          <w:tcPr>
            <w:tcW w:w="2924" w:type="dxa"/>
            <w:tcBorders>
              <w:top w:val="single" w:color="auto" w:sz="8" w:space="0"/>
              <w:bottom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b/>
                <w:kern w:val="0"/>
                <w:sz w:val="20"/>
                <w:szCs w:val="20"/>
                <w:lang w:eastAsia="en-US"/>
              </w:rPr>
              <w:t>Main criterion</w:t>
            </w:r>
          </w:p>
        </w:tc>
        <w:tc>
          <w:tcPr>
            <w:tcW w:w="1276" w:type="dxa"/>
            <w:tcBorders>
              <w:top w:val="single" w:color="auto" w:sz="8" w:space="0"/>
              <w:bottom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b/>
                <w:kern w:val="0"/>
                <w:sz w:val="20"/>
                <w:szCs w:val="20"/>
                <w:lang w:eastAsia="en-US"/>
              </w:rPr>
              <w:t>Structures before step</w:t>
            </w:r>
          </w:p>
        </w:tc>
        <w:tc>
          <w:tcPr>
            <w:tcW w:w="1134" w:type="dxa"/>
            <w:tcBorders>
              <w:top w:val="single" w:color="auto" w:sz="8" w:space="0"/>
              <w:bottom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b/>
                <w:kern w:val="0"/>
                <w:sz w:val="20"/>
                <w:szCs w:val="20"/>
                <w:lang w:eastAsia="en-US"/>
              </w:rPr>
              <w:t>Structures excluded</w:t>
            </w:r>
          </w:p>
        </w:tc>
        <w:tc>
          <w:tcPr>
            <w:tcW w:w="1134" w:type="dxa"/>
            <w:tcBorders>
              <w:top w:val="single" w:color="auto" w:sz="8" w:space="0"/>
              <w:bottom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b/>
                <w:kern w:val="0"/>
                <w:sz w:val="20"/>
                <w:szCs w:val="20"/>
                <w:lang w:eastAsia="en-US"/>
              </w:rPr>
              <w:t>Structures retained</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1" w:type="dxa"/>
            <w:tcBorders>
              <w:top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Initial CoRE MOF 2019 library</w:t>
            </w:r>
          </w:p>
        </w:tc>
        <w:tc>
          <w:tcPr>
            <w:tcW w:w="2924" w:type="dxa"/>
            <w:tcBorders>
              <w:top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Raw structure collection</w:t>
            </w:r>
          </w:p>
        </w:tc>
        <w:tc>
          <w:tcPr>
            <w:tcW w:w="1276" w:type="dxa"/>
            <w:tcBorders>
              <w:top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15,333</w:t>
            </w:r>
          </w:p>
        </w:tc>
        <w:tc>
          <w:tcPr>
            <w:tcW w:w="1134" w:type="dxa"/>
            <w:tcBorders>
              <w:top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w:t>
            </w:r>
          </w:p>
        </w:tc>
        <w:tc>
          <w:tcPr>
            <w:tcW w:w="1134" w:type="dxa"/>
            <w:tcBorders>
              <w:top w:val="single" w:color="auto" w:sz="4" w:space="0"/>
            </w:tcBorders>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15,333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1"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Zero-value geometry filter</w:t>
            </w:r>
          </w:p>
        </w:tc>
        <w:tc>
          <w:tcPr>
            <w:tcW w:w="292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Removed structures with zero porosity, VSA, PLD, LCD or density</w:t>
            </w:r>
          </w:p>
        </w:tc>
        <w:tc>
          <w:tcPr>
            <w:tcW w:w="1276"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15,333</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5,170</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10,163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1"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Open-metal-site analysis check</w:t>
            </w:r>
          </w:p>
        </w:tc>
        <w:tc>
          <w:tcPr>
            <w:tcW w:w="292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Removed structures not reliably processed by the open-metal-site analysis workflow</w:t>
            </w:r>
          </w:p>
        </w:tc>
        <w:tc>
          <w:tcPr>
            <w:tcW w:w="1276"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10,163</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783</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9,380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1"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pymatgen and Zeo++ processing check</w:t>
            </w:r>
          </w:p>
        </w:tc>
        <w:tc>
          <w:tcPr>
            <w:tcW w:w="292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Removed structures with pymatgen parsing failures or Zeo++ processing failures</w:t>
            </w:r>
          </w:p>
        </w:tc>
        <w:tc>
          <w:tcPr>
            <w:tcW w:w="1276"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9,380</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327</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9,053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1"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CIF quality-control workflow</w:t>
            </w:r>
          </w:p>
        </w:tc>
        <w:tc>
          <w:tcPr>
            <w:tcW w:w="292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Removed WARN or ERROR structures after crystallographic and composition sanity checks</w:t>
            </w:r>
          </w:p>
        </w:tc>
        <w:tc>
          <w:tcPr>
            <w:tcW w:w="1276"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9,053</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1,433</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7,620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1"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Edge-case structure filter</w:t>
            </w:r>
          </w:p>
        </w:tc>
        <w:tc>
          <w:tcPr>
            <w:tcW w:w="292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Removed structures with extreme density, pore-size or metal-coordination values</w:t>
            </w:r>
          </w:p>
        </w:tc>
        <w:tc>
          <w:tcPr>
            <w:tcW w:w="1276"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7,620</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88</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7,532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321"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Final curated pool</w:t>
            </w:r>
          </w:p>
        </w:tc>
        <w:tc>
          <w:tcPr>
            <w:tcW w:w="292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Structures retained for modelling and retrospective multi-objective Bayesian optimization</w:t>
            </w:r>
          </w:p>
        </w:tc>
        <w:tc>
          <w:tcPr>
            <w:tcW w:w="1276"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7,532</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w:t>
            </w:r>
          </w:p>
        </w:tc>
        <w:tc>
          <w:tcPr>
            <w:tcW w:w="1134" w:type="dxa"/>
          </w:tcPr>
          <w:p>
            <w:pPr>
              <w:rPr>
                <w:rFonts w:ascii="Times New Roman" w:hAnsi="Times New Roman" w:cs="Times New Roman"/>
                <w:kern w:val="0"/>
                <w:sz w:val="20"/>
                <w:szCs w:val="20"/>
                <w:lang w:eastAsia="en-US"/>
              </w:rPr>
            </w:pPr>
            <w:r>
              <w:rPr>
                <w:rFonts w:ascii="Times New Roman" w:hAnsi="Times New Roman" w:eastAsia="Times New Roman" w:cs="Times New Roman"/>
                <w:kern w:val="0"/>
                <w:sz w:val="20"/>
                <w:szCs w:val="20"/>
                <w:lang w:eastAsia="en-US"/>
              </w:rPr>
              <w:t>7,532</w:t>
            </w:r>
          </w:p>
        </w:tc>
      </w:tr>
    </w:tbl>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CIF quality-control stage was applied to the 9,053 structures that passed the preceding processability checks. The workflow screened for parsing failures, invalid element symbols, invalid lattice parameters, non-positive unit-cell volumes, invalid or partial occupancies, crystallographic disorder, close interatomic contacts, absence of carbon or metal atoms, disagreement between the reported formula and parsed composition, and negative TDU values. Each structure was assigned a final status of OK, WARN or ERROR. Of the 9,053 structures, 7,620 were classified as OK and retained, whereas 731 WARN and 702 ERROR structures were excluded, giving 1,433 unique exclusions at this stage.</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Minimum interatomic distances below 0.50 Å were classified as severe close contacts, whereas distances from 0.50 to 0.80 Å generated a warning. Carbon-free structures were flagged before carbon-normalized TDU values were calculated. TDU-based quantities were used as composition-level quality-control indicators rather than as formal assignments of bond order or oxidation state.</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A single structure could trigger more than one issue flag. Supplementary Table 3 therefore reports the frequencies of selected issue flags rather than mutually exclusive exclusion categories, and the reported counts are not expected to sum to the 1,433 structures excluded during CIF quality control.</w:t>
      </w:r>
    </w:p>
    <w:p>
      <w:pPr>
        <w:pStyle w:val="50"/>
        <w:jc w:val="center"/>
        <w:rPr>
          <w:rFonts w:cs="Times New Roman"/>
        </w:rPr>
      </w:pPr>
      <w:r>
        <w:rPr>
          <w:rFonts w:cs="Times New Roman"/>
          <w:b/>
        </w:rPr>
        <w:t xml:space="preserve">Supplementary Table </w:t>
      </w:r>
      <w:r>
        <w:rPr>
          <w:rFonts w:cs="Times New Roman" w:eastAsiaTheme="minorEastAsia"/>
          <w:b/>
          <w:lang w:eastAsia="zh-CN"/>
        </w:rPr>
        <w:t>3</w:t>
      </w:r>
      <w:r>
        <w:rPr>
          <w:rFonts w:cs="Times New Roman"/>
          <w:b/>
        </w:rPr>
        <w:t xml:space="preserve"> | Frequencies of selected issue flags identified during CIF quality control</w:t>
      </w:r>
    </w:p>
    <w:tbl>
      <w:tblPr>
        <w:tblStyle w:val="20"/>
        <w:tblW w:w="8931"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94"/>
        <w:gridCol w:w="4536"/>
        <w:gridCol w:w="170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694"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Issue category</w:t>
            </w:r>
          </w:p>
        </w:tc>
        <w:tc>
          <w:tcPr>
            <w:tcW w:w="4536"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Criterion</w:t>
            </w:r>
          </w:p>
        </w:tc>
        <w:tc>
          <w:tcPr>
            <w:tcW w:w="1701"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Number of flagged structures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94" w:type="dxa"/>
            <w:tcBorders>
              <w:top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Severe close contact</w:t>
            </w:r>
          </w:p>
        </w:tc>
        <w:tc>
          <w:tcPr>
            <w:tcW w:w="4536" w:type="dxa"/>
            <w:tcBorders>
              <w:top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Minimum interatomic distance &lt; 0.50 Å</w:t>
            </w:r>
          </w:p>
        </w:tc>
        <w:tc>
          <w:tcPr>
            <w:tcW w:w="1701" w:type="dxa"/>
            <w:tcBorders>
              <w:top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702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94"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Close-contact warning</w:t>
            </w:r>
          </w:p>
        </w:tc>
        <w:tc>
          <w:tcPr>
            <w:tcW w:w="453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Minimum interatomic distance from 0.50 to 0.80 Å</w:t>
            </w:r>
          </w:p>
        </w:tc>
        <w:tc>
          <w:tcPr>
            <w:tcW w:w="1701"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1,210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94"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Missing carbon</w:t>
            </w:r>
          </w:p>
        </w:tc>
        <w:tc>
          <w:tcPr>
            <w:tcW w:w="453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No carbon atom detected in the parsed structure</w:t>
            </w:r>
          </w:p>
        </w:tc>
        <w:tc>
          <w:tcPr>
            <w:tcW w:w="1701"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196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94"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Negative TDU</w:t>
            </w:r>
          </w:p>
        </w:tc>
        <w:tc>
          <w:tcPr>
            <w:tcW w:w="453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TDU or Normalized_TDU &lt; 0</w:t>
            </w:r>
          </w:p>
        </w:tc>
        <w:tc>
          <w:tcPr>
            <w:tcW w:w="1701"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694"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CIF syntax or atom-label issue</w:t>
            </w:r>
          </w:p>
        </w:tc>
        <w:tc>
          <w:tcPr>
            <w:tcW w:w="453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Duplicate atom labels or related CIF syntax problems</w:t>
            </w:r>
          </w:p>
        </w:tc>
        <w:tc>
          <w:tcPr>
            <w:tcW w:w="1701"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12</w:t>
            </w:r>
          </w:p>
        </w:tc>
      </w:tr>
    </w:tbl>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final curated library contained 7,532 MOFs with complete values for all 14 Manual descriptors. No descriptor imputation was applied, and no additional representation-specific or search-policy-specific filtering was performed after the library had been fixed. The same candidate set was used for dataset-level analyses, representation benchmarking and retrospective multi-objective Bayesian optimization.</w:t>
      </w:r>
    </w:p>
    <w:p>
      <w:pPr>
        <w:rPr>
          <w:rFonts w:ascii="Times New Roman" w:hAnsi="Times New Roman" w:cs="Times New Roman"/>
        </w:rPr>
      </w:pPr>
      <w:r>
        <w:rPr>
          <w:rFonts w:ascii="Times New Roman" w:hAnsi="Times New Roman" w:cs="Times New Roman"/>
        </w:rPr>
        <w:br w:type="page"/>
      </w:r>
    </w:p>
    <w:p>
      <w:pPr>
        <w:pStyle w:val="2"/>
        <w:spacing w:before="0" w:after="0"/>
        <w:rPr>
          <w:rFonts w:ascii="Times New Roman" w:hAnsi="Times New Roman" w:cs="Times New Roman"/>
          <w:color w:val="auto"/>
          <w:sz w:val="28"/>
          <w:szCs w:val="28"/>
        </w:rPr>
      </w:pPr>
      <w:r>
        <w:rPr>
          <w:rFonts w:ascii="Times New Roman" w:hAnsi="Times New Roman" w:cs="Times New Roman"/>
          <w:b/>
          <w:bCs/>
          <w:color w:val="auto"/>
          <w:sz w:val="28"/>
          <w:szCs w:val="28"/>
        </w:rPr>
        <w:t>Supplementary Note 2 — GCMC simulation protocols and adsorption-label construction</w:t>
      </w:r>
    </w:p>
    <w:p>
      <w:pPr>
        <w:rPr>
          <w:rFonts w:ascii="Times New Roman" w:hAnsi="Times New Roman" w:cs="Times New Roman"/>
          <w:b/>
          <w:bCs/>
          <w:sz w:val="22"/>
        </w:rPr>
      </w:pPr>
      <w:r>
        <w:rPr>
          <w:rFonts w:ascii="Times New Roman" w:hAnsi="Times New Roman" w:cs="Times New Roman"/>
          <w:b/>
          <w:bCs/>
          <w:sz w:val="22"/>
        </w:rPr>
        <w:t>S2.1 Target vapours and GCMC simulation setup</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three adsorption targets were 2-chloroethyl ethyl sulfide (CEES), dimethyl methylphosphonate (DMMP) and chloroethane (EtCl; ethyl chloride). Each target was simulated separately as the trace component of an air-like ternary mixture containing N₂, O₂ and one target vapour. The production-averaged absolute uptake of the target component was used as the corresponding adsorption label.</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All adsorption simulations were performed using RASPA 2.0.47 in the grand canonical ensemble at 298 K and a total pressure of 101.325 kPa. The gas-phase mole fractions were 0.789 for N₂, 0.210 for O₂ and 0.001 for the target vapour, corresponding to a target-vapour concentration of 1,000 ppm. The fugacity coefficient of each gas-phase component was set to unity, corresponding to an ideal-gas treatment of the gas-phase reservoir. MOF frameworks were treated as rigid, with framework atoms fixed at their crystallographic positions. Intraframework bonded interactions were therefore not sampled during GCMC. This approximation preserved the crystallographic pore geometry while making high-throughput simulations computationally tractable.</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Each simulation comprised 50,000 equilibration cycles followed by 50,000 production cycles. Translation, rotation, reinsertion, insertion and deletion moves were used to sample the adsorbate configurations. The same simulation settings were applied to all 7,532 MOFs and to each of the three target-vapour mixtures. Framework and adsorbate force-field assignments, combining rules and non-bonded interaction treatments are described in Sections S2.2.</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CEES, DMMP and EtCl adsorption labels were aligned with the final curated library using the unique MOF identifiers. The resulting label table contained 7,532 rows and three adsorption-target columns. All uptake values were reported in mol kg⁻¹ and treated as maximization objectives. Every curated MOF had complete labels for all three targets, and label alignment did not result in any additional material exclusion.</w:t>
      </w:r>
    </w:p>
    <w:p>
      <w:pPr>
        <w:spacing w:line="276" w:lineRule="auto"/>
        <w:ind w:firstLine="420"/>
        <w:jc w:val="center"/>
        <w:rPr>
          <w:rFonts w:ascii="Times New Roman" w:hAnsi="Times New Roman" w:cs="Times New Roman"/>
          <w:sz w:val="20"/>
          <w:szCs w:val="20"/>
        </w:rPr>
      </w:pPr>
      <w:r>
        <w:rPr>
          <w:rFonts w:ascii="Times New Roman" w:hAnsi="Times New Roman" w:cs="Times New Roman"/>
          <w:b/>
          <w:sz w:val="20"/>
          <w:szCs w:val="20"/>
        </w:rPr>
        <w:t>Supplementary Table 4 | Target-vapour and adsorption-label definitions</w:t>
      </w:r>
    </w:p>
    <w:tbl>
      <w:tblPr>
        <w:tblStyle w:val="20"/>
        <w:tblW w:w="0" w:type="auto"/>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46"/>
        <w:gridCol w:w="2551"/>
        <w:gridCol w:w="1701"/>
        <w:gridCol w:w="2318"/>
        <w:gridCol w:w="1224"/>
      </w:tblGrid>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PrEx>
        <w:trPr>
          <w:cantSplit/>
          <w:tblHeader/>
          <w:jc w:val="center"/>
        </w:trPr>
        <w:tc>
          <w:tcPr>
            <w:tcW w:w="846"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Target</w:t>
            </w:r>
          </w:p>
        </w:tc>
        <w:tc>
          <w:tcPr>
            <w:tcW w:w="2551"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Full name</w:t>
            </w:r>
          </w:p>
        </w:tc>
        <w:tc>
          <w:tcPr>
            <w:tcW w:w="1701"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Mixture</w:t>
            </w:r>
          </w:p>
        </w:tc>
        <w:tc>
          <w:tcPr>
            <w:tcW w:w="2318"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Reported label</w:t>
            </w:r>
          </w:p>
        </w:tc>
        <w:tc>
          <w:tcPr>
            <w:tcW w:w="1224"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Unit</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846" w:type="dxa"/>
            <w:tcBorders>
              <w:top w:val="single" w:color="000000"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CEES</w:t>
            </w:r>
          </w:p>
        </w:tc>
        <w:tc>
          <w:tcPr>
            <w:tcW w:w="2551" w:type="dxa"/>
            <w:tcBorders>
              <w:top w:val="single" w:color="000000"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2-Chloroethyl ethyl sulfide</w:t>
            </w:r>
          </w:p>
        </w:tc>
        <w:tc>
          <w:tcPr>
            <w:tcW w:w="1701"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N₂/O₂/CEES</w:t>
            </w:r>
          </w:p>
        </w:tc>
        <w:tc>
          <w:tcPr>
            <w:tcW w:w="2318"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Absolute CEES uptake</w:t>
            </w:r>
          </w:p>
        </w:tc>
        <w:tc>
          <w:tcPr>
            <w:tcW w:w="1224"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mol kg⁻¹</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84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DMMP</w:t>
            </w:r>
          </w:p>
        </w:tc>
        <w:tc>
          <w:tcPr>
            <w:tcW w:w="2551"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Dimethyl methylphosphonate</w:t>
            </w:r>
          </w:p>
        </w:tc>
        <w:tc>
          <w:tcPr>
            <w:tcW w:w="1701"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N₂/O₂/DMMP</w:t>
            </w:r>
          </w:p>
        </w:tc>
        <w:tc>
          <w:tcPr>
            <w:tcW w:w="2318"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Absolute DMMP uptake</w:t>
            </w:r>
          </w:p>
        </w:tc>
        <w:tc>
          <w:tcPr>
            <w:tcW w:w="122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mol kg⁻¹</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84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EtCl</w:t>
            </w:r>
          </w:p>
        </w:tc>
        <w:tc>
          <w:tcPr>
            <w:tcW w:w="2551"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Chloroethane (ethyl chloride)</w:t>
            </w:r>
          </w:p>
        </w:tc>
        <w:tc>
          <w:tcPr>
            <w:tcW w:w="1701"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N₂/O₂/EtCl</w:t>
            </w:r>
          </w:p>
        </w:tc>
        <w:tc>
          <w:tcPr>
            <w:tcW w:w="2318"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Absolute EtCl uptake</w:t>
            </w:r>
          </w:p>
        </w:tc>
        <w:tc>
          <w:tcPr>
            <w:tcW w:w="122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mol kg⁻¹</w:t>
            </w:r>
          </w:p>
        </w:tc>
      </w:tr>
    </w:tbl>
    <w:p>
      <w:pPr>
        <w:rPr>
          <w:rFonts w:ascii="Times New Roman" w:hAnsi="Times New Roman" w:cs="Times New Roman"/>
          <w:b/>
          <w:bCs/>
          <w:sz w:val="22"/>
        </w:rPr>
      </w:pPr>
    </w:p>
    <w:p>
      <w:pPr>
        <w:rPr>
          <w:rFonts w:ascii="Times New Roman" w:hAnsi="Times New Roman" w:cs="Times New Roman"/>
          <w:b/>
          <w:bCs/>
          <w:sz w:val="22"/>
        </w:rPr>
      </w:pPr>
      <w:r>
        <w:rPr>
          <w:rFonts w:ascii="Times New Roman" w:hAnsi="Times New Roman" w:cs="Times New Roman"/>
          <w:b/>
          <w:bCs/>
          <w:sz w:val="22"/>
        </w:rPr>
        <w:t>S2.2 Force-field models and non-bonded interactions</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Framework Lennard–Jones parameters were assigned from the Universal Force Field</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{"citationID":"P69edgEg","properties":{"unsorted":false,"formattedCitation":"\\super 7\\nosupersub{}","plainCitation":"7","noteIndex":0},"citationItems":[{"id":8952,"uris":["http://zotero.org/users/10807631/items/32UMHRGX"],"itemData":{"id":8952,"type":"article-journal","abstract":"A new molecular mechanics force field, the Universal force field (UFF), is described wherein the force field parameters are estimated using general rules based only on the element, its hybridization, and its connectivity. The force field functional forms, parameters, and generating formulas for the full periodic table are presented.","container-title":"Journal of the American Chemical Society","DOI":"10.1021/ja00051a040","ISSN":"0002-7863, 1520-5126","issue":"25","journalAbbreviation":"J. Am. Chem. Soc.","language":"en","page":"10024-10035","source":"DOI.org (Crossref)","title":"UFF, a Full Periodic Table Force Field for Molecular Mechanics and Molecular Dynamics Simulations","URL":"https://pubs.acs.org/doi/abs/10.1021/ja00051a040","volume":"114","author":[{"family":"Rappe","given":"A. K."},{"family":"Casewit","given":"C. J."},{"family":"Colwell","given":"K. S."},{"family":"Goddard","given":"W. A."},{"family":"Skiff","given":"W. M."}],"accessed":{"date-parts":[["2024",8,28]]},"issued":{"date-parts":[["1992",12]]}}}],"schema":"https://github.com/citation-style-language/schema/raw/master/csl-citation.json"}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7</w:t>
      </w:r>
      <w:r>
        <w:rPr>
          <w:rFonts w:ascii="Times New Roman" w:hAnsi="Times New Roman" w:cs="Times New Roman"/>
          <w:sz w:val="20"/>
          <w:szCs w:val="20"/>
        </w:rPr>
        <w:fldChar w:fldCharType="end"/>
      </w:r>
      <w:r>
        <w:rPr>
          <w:rFonts w:ascii="Times New Roman" w:hAnsi="Times New Roman" w:cs="Times New Roman"/>
          <w:sz w:val="20"/>
          <w:szCs w:val="20"/>
        </w:rPr>
        <w:t>, and framework partial charges were assigned using the EQeq method</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{"citationID":"3RhIXQ6b","properties":{"unsorted":false,"formattedCitation":"\\super 8\\nosupersub{}","plainCitation":"8","noteIndex":0},"citationItems":[{"id":8941,"uris":["http://zotero.org/users/10807631/items/63IZZIT5"],"itemData":{"id":8941,"type":"article-journal","container-title":"The Journal of Physical Chemistry Letters","DOI":"10.1021/jz3008485","ISSN":"1948-7185, 1948-7185","issue":"17","journalAbbreviation":"J. Phys. Chem. Lett.","language":"en","note":"TLDR: For the purpose of ranking MOFs from best to worst for carbon capture applications, EQeq charges perform as well as charges derived from electrostatic potentials, but EQeq requires only a tiny fraction of the computational cost.","page":"2506-2511","source":"DOI.org (Crossref)","title":"An Extended Charge Equilibration Method","URL":"https://pubs.acs.org/doi/10.1021/jz3008485","volume":"3","author":[{"family":"Wilmer","given":"Christopher E."},{"family":"Kim","given":"Ki Chul"},{"family":"Snurr","given":"Randall Q."}],"accessed":{"date-parts":[["2024",8,25]]},"issued":{"date-parts":[["2012",9,6]]}}}],"schema":"https://github.com/citation-style-language/schema/raw/master/csl-citation.json"}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8</w:t>
      </w:r>
      <w:r>
        <w:rPr>
          <w:rFonts w:ascii="Times New Roman" w:hAnsi="Times New Roman" w:cs="Times New Roman"/>
          <w:sz w:val="20"/>
          <w:szCs w:val="20"/>
        </w:rPr>
        <w:fldChar w:fldCharType="end"/>
      </w:r>
      <w:r>
        <w:rPr>
          <w:rFonts w:ascii="Times New Roman" w:hAnsi="Times New Roman" w:cs="Times New Roman"/>
          <w:sz w:val="20"/>
          <w:szCs w:val="20"/>
        </w:rPr>
        <w:t>. N</w:t>
      </w:r>
      <w:r>
        <w:rPr>
          <w:rFonts w:ascii="Times New Roman" w:hAnsi="Times New Roman" w:cs="Times New Roman"/>
          <w:sz w:val="20"/>
          <w:szCs w:val="20"/>
          <w:vertAlign w:val="subscript"/>
        </w:rPr>
        <w:t>2</w:t>
      </w:r>
      <w:r>
        <w:rPr>
          <w:rFonts w:ascii="Times New Roman" w:hAnsi="Times New Roman" w:cs="Times New Roman"/>
          <w:color w:val="FF0000"/>
          <w:sz w:val="20"/>
          <w:szCs w:val="20"/>
        </w:rPr>
        <w:fldChar w:fldCharType="begin"/>
      </w:r>
      <w:r>
        <w:rPr>
          <w:rFonts w:ascii="Times New Roman" w:hAnsi="Times New Roman" w:cs="Times New Roman"/>
          <w:color w:val="FF0000"/>
          <w:sz w:val="20"/>
          <w:szCs w:val="20"/>
        </w:rPr>
        <w:instrText xml:space="preserve"> ADDIN ZOTERO_ITEM CSL_CITATION {"citationID":"sRhhcgMx","properties":{"unsorted":false,"formattedCitation":"\\super 9\\nosupersub{}","plainCitation":"9","noteIndex":0},"citationItems":[{"id":11496,"uris":["http://zotero.org/users/10807631/items/MIHLGF8F"],"itemData":{"id":11496,"type":"article-journal","abstract":"Abstract\n            \n              New force fields for carbon dioxide and nitrogen are introduced that quantitatively reproduce the vapor–liquid equilibria (VLE) of the neat systems and their mixtures with alkanes. In addition to the usual VLE calculations for pure CO\n              2\n              and N\n              2\n              , calculations of the binary mixtures with propane were used in the force‐field development to achieve a good balance between dispersive and electrostatic (quadrupole–quadrupole) interactions. The transferability of the force fields was then assessed from calculations of the VLE for the binary mixtures with n‐hexane, the binary mixture of CO\n              2\n              /N\n              2\n              , and the ternary mixture of CO\n              2\n              /N\n              2\n              /propane. The VLE calculations were carried out using configurational‐bias Monte Carlo simulations in either the grand canonical ensemble with histogram–reweighting or in the Gibbs ensemble.","container-title":"AIChE Journal","DOI":"10.1002/aic.690470719","ISSN":"0001-1541, 1547-5905","issue":"7","journalAbbreviation":"AIChE J.","language":"en","license":"http://onlinelibrary.wiley.com/termsAndConditions#vor","note":"JCR分区: Q2\n中科院分区升级版: 工程技术3区\n影响因子: 4.4\n5年影响因子: 3.9\nEI: 是\n南农高质量: B","page":"1676-1682","source":"DOI.org (Crossref)","title":"Vapor–liquid equilibria of mixtures containing alkanes, carbon dioxide, and nitrogen","URL":"https://aiche.onlinelibrary.wiley.com/doi/10.1002/aic.690470719","volume":"47","author":[{"family":"Potoff","given":"Jeffrey J."},{"family":"Siepmann","given":"J. Ilja"}],"accessed":{"date-parts":[["2026",8,16]]},"issued":{"date-parts":[["2001",7]]}}}],"schema":"https://github.com/citation-style-language/schema/raw/master/csl-citation.json"} </w:instrText>
      </w:r>
      <w:r>
        <w:rPr>
          <w:rFonts w:ascii="Times New Roman" w:hAnsi="Times New Roman" w:cs="Times New Roman"/>
          <w:color w:val="FF0000"/>
          <w:sz w:val="20"/>
          <w:szCs w:val="20"/>
        </w:rPr>
        <w:fldChar w:fldCharType="separate"/>
      </w:r>
      <w:r>
        <w:rPr>
          <w:rFonts w:ascii="Times New Roman" w:hAnsi="Times New Roman" w:cs="Times New Roman"/>
          <w:kern w:val="0"/>
          <w:sz w:val="20"/>
          <w:vertAlign w:val="superscript"/>
        </w:rPr>
        <w:t>9</w:t>
      </w:r>
      <w:r>
        <w:rPr>
          <w:rFonts w:ascii="Times New Roman" w:hAnsi="Times New Roman" w:cs="Times New Roman"/>
          <w:color w:val="FF0000"/>
          <w:sz w:val="20"/>
          <w:szCs w:val="20"/>
        </w:rPr>
        <w:fldChar w:fldCharType="end"/>
      </w:r>
      <w:r>
        <w:rPr>
          <w:rFonts w:ascii="Times New Roman" w:hAnsi="Times New Roman" w:cs="Times New Roman"/>
          <w:sz w:val="20"/>
          <w:szCs w:val="20"/>
        </w:rPr>
        <w:t>, O</w:t>
      </w:r>
      <w:r>
        <w:rPr>
          <w:rFonts w:ascii="Times New Roman" w:hAnsi="Times New Roman" w:cs="Times New Roman"/>
          <w:sz w:val="20"/>
          <w:szCs w:val="20"/>
          <w:vertAlign w:val="subscript"/>
        </w:rPr>
        <w:t>2</w:t>
      </w:r>
      <w:r>
        <w:rPr>
          <w:rFonts w:ascii="Times New Roman" w:hAnsi="Times New Roman" w:cs="Times New Roman"/>
          <w:color w:val="FF0000"/>
          <w:sz w:val="20"/>
          <w:szCs w:val="20"/>
        </w:rPr>
        <w:fldChar w:fldCharType="begin"/>
      </w:r>
      <w:r>
        <w:rPr>
          <w:rFonts w:ascii="Times New Roman" w:hAnsi="Times New Roman" w:cs="Times New Roman"/>
          <w:color w:val="FF0000"/>
          <w:sz w:val="20"/>
          <w:szCs w:val="20"/>
        </w:rPr>
        <w:instrText xml:space="preserve"> ADDIN ZOTERO_ITEM CSL_CITATION {"citationID":"hAXVF2la","properties":{"unsorted":false,"formattedCitation":"\\super 10\\nosupersub{}","plainCitation":"10","noteIndex":0},"citationItems":[{"id":11497,"uris":["http://zotero.org/users/10807631/items/9QZPEBM8"],"itemData":{"id":11497,"type":"article-journal","abstract":"New force ﬁelds for nitrous oxide and oxygen, based on a Lennard–Jones plus point charge functional form are reported. The Lennard–Jones parameters of size and energy as well as the point charges were determined by ﬁtting to single-component vapor–liquid equilibrium data. The new force ﬁelds accurately describe the vapor–liquid coexistance curves of nitrous oxide and oxygen. It is shown that properties not included in the parameterization process could also be reproduced. In addition to single component phase coexistance simulations, the phase equilibria of four binary mixtures (N2–O2, CO2–O2, N2O–O2, N2O–N2) and one ternary mixture (CO2–N2–O2) have been simulated without further adjustment of the model parameters. Good agreement with experimental data was achieved over a wide range of conditions.","container-title":"Fluid Phase Equilibria","DOI":"10.1016/j.fluid.2007.07.014","ISSN":"03783812","issue":"2","journalAbbreviation":"Fluid Phase Equilib.","language":"en","license":"https://www.elsevier.com/tdm/userlicense/1.0/","note":"JCR分区: Q2\n中科院分区升级版: 工程技术3区\n影响因子: 2.7\n5年影响因子: 2.5\nEI: 是\n南农高质量: B","page":"181-188","source":"DOI.org (Crossref)","title":"New force fields for nitrous oxide and oxygen and their application to phase equilibria simulations","URL":"https://linkinghub.elsevier.com/retrieve/pii/S0378381207003822","volume":"259","author":[{"family":"Hansen","given":"Niels"},{"family":"Agbor","given":"Felix A.B."},{"family":"Keil","given":"Frerich J."}],"accessed":{"date-parts":[["2026",8,16]]},"issued":{"date-parts":[["2007",10]]}}}],"schema":"https://github.com/citation-style-language/schema/raw/master/csl-citation.json"} </w:instrText>
      </w:r>
      <w:r>
        <w:rPr>
          <w:rFonts w:ascii="Times New Roman" w:hAnsi="Times New Roman" w:cs="Times New Roman"/>
          <w:color w:val="FF0000"/>
          <w:sz w:val="20"/>
          <w:szCs w:val="20"/>
        </w:rPr>
        <w:fldChar w:fldCharType="separate"/>
      </w:r>
      <w:r>
        <w:rPr>
          <w:rFonts w:ascii="Times New Roman" w:hAnsi="Times New Roman" w:cs="Times New Roman"/>
          <w:kern w:val="0"/>
          <w:sz w:val="20"/>
          <w:vertAlign w:val="superscript"/>
        </w:rPr>
        <w:t>10</w:t>
      </w:r>
      <w:r>
        <w:rPr>
          <w:rFonts w:ascii="Times New Roman" w:hAnsi="Times New Roman" w:cs="Times New Roman"/>
          <w:color w:val="FF0000"/>
          <w:sz w:val="20"/>
          <w:szCs w:val="20"/>
        </w:rPr>
        <w:fldChar w:fldCharType="end"/>
      </w:r>
      <w:r>
        <w:rPr>
          <w:rFonts w:ascii="Times New Roman" w:hAnsi="Times New Roman" w:cs="Times New Roman"/>
          <w:sz w:val="20"/>
          <w:szCs w:val="20"/>
        </w:rPr>
        <w:t>, CEES</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{"citationID":"SA8T6gFg","properties":{"unsorted":false,"formattedCitation":"\\super 11\\nosupersub{}","plainCitation":"11","noteIndex":0},"citationItems":[{"id":3,"uris":["http://zotero.org/users/10807631/items/YYWI2AZI"],"itemData":{"id":3,"type":"article-journal","abstract":"The removal of chemical warfare agents from humid air is particularly important for the battlefield and warfare agent leakage scenarios. In this work, the capture efficiency of hydrophobic Computation-Ready, Experimentalmetal–organic frameworks (CORE-MOFs) toward four warfare agents (mustard gas (HD), 2-chloroethyl ethyl sulfide (2-CEES), Soman, and Dimethyl methanephosphonate (DMMP)) in air were obtained by combining highthroughput computational screening (HTCS) and machine learning (ML). First, the relationships between the structures and performance indicators (adsorption capacity (N), selectivity (S), and comprehensive trade-off between S and N (TSN)) of the MOFs were established through HTCS. After comparison, there was a strong correlation between the porosity, Henry’s coefficient (KH), and the capture performance. Then, three machine learning algorithms, decision tree (DT), random forest (RF), and extreme gradient boosting (XGB), were used to predict the performances of the MOFs. Compared with N and S, TSN had a better prediction effect (average correlation coefficient (R) &gt; 0.95) for the four warfare agents, and the XGB model was suitable for the prediction of the MOF–warfare agent system behavior. KH had the highest relative importance based on big data analysis. Finally, based on TSN, 10 MOFs with the highest performances were screened for the adsorption of four warfare agents, showing that MOF materials with open metal sites had excellent adsorption performances toward the four warfare agents. HTCS and ML were used to understand the relationships between the MOFs and four warfare agents from different perspectives, which provides a new direction for the efficient screening of MOFs to capture these four warfare agents in air.","archive":"Q1","archive_location":"工程技术1区 Top","call-number":"8.6631","collection-title":"无","container-title":"Applied Materials Today","DOI":"10.1016/j.apmt.2023.101738","ISSN":"23529407","journalAbbreviation":"Appl. Mater. Today","language":"en","license":"9.5511","note":"sessionIDs: [\"XwBCey0f\"]\nJCR分区: Q1\n中科院分区升级版: 材料科学2区\n影响因子: 8.3\n5年影响因子: 9.0\nEI: 是\n南农高质量: A","page":"101738","source":"材料科学：综合2区","title":"Computational screening and machine learning of hydrophobic metal-organic frameworks for removal of chemical warfare agents from air","URL":"https://linkinghub.elsevier.com/retrieve/pii/S2352940723000082","volume":"31","author":[{"family":"Yang","given":"Xiao"},{"family":"Huang","given":"Qiuhong"},{"family":"Zhang","given":"Lulu"},{"family":"Li","given":"Lifeng"},{"family":"Chen","given":"Yu"},{"family":"Wang","given":"Wei"},{"family":"Liang","given":"Hong"},{"family":"Wu","given":"Yufang"},{"family":"Zheng","given":"He"},{"family":"Zhao","given":"Yue"},{"family":"Qiao","given":"Zhiwei"}],"accessed":{"date-parts":[["2023",3,12]]},"issued":{"date-parts":[["2023",4]]}}}],"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11</w:t>
      </w:r>
      <w:r>
        <w:rPr>
          <w:rFonts w:ascii="Times New Roman" w:hAnsi="Times New Roman" w:cs="Times New Roman"/>
          <w:sz w:val="20"/>
          <w:szCs w:val="20"/>
        </w:rPr>
        <w:fldChar w:fldCharType="end"/>
      </w:r>
      <w:r>
        <w:rPr>
          <w:rFonts w:ascii="Times New Roman" w:hAnsi="Times New Roman" w:cs="Times New Roman"/>
          <w:sz w:val="20"/>
          <w:szCs w:val="20"/>
        </w:rPr>
        <w:t>, DMMP</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{"citationID":"2ZsWG4cG","properties":{"unsorted":false,"formattedCitation":"\\super 12\\nosupersub{}","plainCitation":"12","noteIndex":0},"citationItems":[{"id":7643,"uris":["http://zotero.org/users/10807631/items/WTEKDQIG"],"itemData":{"id":7643,"type":"article-journal","container-title":"The Journal of Physical Chemistry B","DOI":"10.1021/jp903110e","ISSN":"1520-6106, 1520-5207","issue":"30","journalAbbreviation":"J. Phys. Chem. B","language":"en","page":"10292-10297","source":"DOI.org (Crossref)","title":"Extension of the transferable potentials for phase equilibria force field to dimethylmethyl phosphonate, sarin, and soman","URL":"https://pubs.acs.org/doi/10.1021/jp903110e","volume":"113","author":[{"family":"Sokkalingam","given":"Nandhini"},{"family":"Kamath","given":"Ganesh"},{"family":"Coscione","given":"Maria"},{"family":"Potoff","given":"Jeffrey J."}],"accessed":{"date-parts":[["2024",5,2]]},"issued":{"date-parts":[["2009",7,30]]}}}],"schema":"https://github.com/citation-style-language/schema/raw/master/csl-citation.json"}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12</w:t>
      </w:r>
      <w:r>
        <w:rPr>
          <w:rFonts w:ascii="Times New Roman" w:hAnsi="Times New Roman" w:cs="Times New Roman"/>
          <w:sz w:val="20"/>
          <w:szCs w:val="20"/>
        </w:rPr>
        <w:fldChar w:fldCharType="end"/>
      </w:r>
      <w:r>
        <w:rPr>
          <w:rFonts w:ascii="Times New Roman" w:hAnsi="Times New Roman" w:cs="Times New Roman"/>
          <w:sz w:val="20"/>
          <w:szCs w:val="20"/>
        </w:rPr>
        <w:t xml:space="preserve"> and EtCl</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{"citationID":"aQLI6GGB","properties":{"unsorted":false,"formattedCitation":"\\super 13\\nosupersub{}","plainCitation":"13","noteIndex":0},"citationItems":[{"id":11498,"uris":["http://zotero.org/users/10807631/items/G54ECL9J"],"itemData":{"id":11498,"type":"article-journal","container-title":"Langmuir","DOI":"10.1021/la063518a","ISSN":"0743-7463, 1520-5827","issue":"13","journalAbbreviation":"Langmuir","language":"en","note":"JCR分区: Q2\n中科院分区升级版: 化学2区\n影响因子: 4.4\n5年影响因子: 4.0\nEI: 是\n南农高质量: B","page":"7299-7305","source":"DOI.org (Crossref)","title":"Selective adsorption of volatile organic compounds in micropore aluminum methylphosphonate-α: A combined molecular simulation−experimental approach","title-short":"Selective Adsorption of Volatile Organic Compounds in Micropore Aluminum Methylphosphonate-α","URL":"https://pubs.acs.org/doi/10.1021/la063518a","volume":"23","author":[{"family":"Herdes","given":"Carmelo"},{"family":"Valente","given":"Anabela"},{"family":"Lin","given":"Zhi"},{"family":"Rocha","given":"João"},{"family":"Coutinho","given":"João A. P."},{"family":"Medina","given":"Francisco"},{"family":"Vega","given":"Lourdes F."}],"accessed":{"date-parts":[["2026",8,16]]},"issued":{"date-parts":[["2007",6,1]]}}}],"schema":"https://github.com/citation-style-language/schema/raw/master/csl-citation.json"}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13</w:t>
      </w:r>
      <w:r>
        <w:rPr>
          <w:rFonts w:ascii="Times New Roman" w:hAnsi="Times New Roman" w:cs="Times New Roman"/>
          <w:sz w:val="20"/>
          <w:szCs w:val="20"/>
        </w:rPr>
        <w:fldChar w:fldCharType="end"/>
      </w:r>
      <w:r>
        <w:rPr>
          <w:rFonts w:ascii="Times New Roman" w:hAnsi="Times New Roman" w:cs="Times New Roman"/>
          <w:sz w:val="20"/>
          <w:szCs w:val="20"/>
        </w:rPr>
        <w:t xml:space="preserve"> were represented using published molecule-specific fixed interaction-site models, including TraPPE-family models for N</w:t>
      </w:r>
      <w:r>
        <w:rPr>
          <w:rFonts w:ascii="Times New Roman" w:hAnsi="Times New Roman" w:cs="Times New Roman"/>
          <w:sz w:val="20"/>
          <w:szCs w:val="20"/>
          <w:vertAlign w:val="subscript"/>
        </w:rPr>
        <w:t>2</w:t>
      </w:r>
      <w:r>
        <w:rPr>
          <w:rFonts w:ascii="Times New Roman" w:hAnsi="Times New Roman" w:cs="Times New Roman"/>
          <w:sz w:val="20"/>
          <w:szCs w:val="20"/>
        </w:rPr>
        <w:t xml:space="preserve"> and DMMP. All adsorbate models employed Lennard–Jones parameters and fixed partial charges. Short-range dispersion and repulsion were described by the Lennard–Jones potential:</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U</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d>
          <m:dPr>
            <m:ctrlPr>
              <w:rPr>
                <w:rFonts w:ascii="Cambria Math" w:hAnsi="Cambria Math" w:cs="Times New Roman"/>
                <w:i/>
                <w:sz w:val="20"/>
                <w:szCs w:val="20"/>
              </w:rPr>
            </m:ctrlPr>
          </m:dPr>
          <m:e>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ctrlPr>
              <w:rPr>
                <w:rFonts w:ascii="Cambria Math" w:hAnsi="Cambria Math" w:cs="Times New Roman"/>
                <w:i/>
                <w:sz w:val="20"/>
                <w:szCs w:val="20"/>
              </w:rPr>
            </m:ctrlPr>
          </m:e>
        </m:d>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U</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LJ</m:t>
                </m:r>
                <m:ctrlPr>
                  <w:rPr>
                    <w:rFonts w:ascii="Cambria Math" w:hAnsi="Cambria Math" w:cs="Times New Roman"/>
                    <w:sz w:val="20"/>
                    <w:szCs w:val="20"/>
                  </w:rPr>
                </m:ctrlPr>
              </m:e>
            </m:phant>
            <m:ctrlPr>
              <w:rPr>
                <w:rFonts w:ascii="Cambria Math" w:hAnsi="Cambria Math" w:cs="Times New Roman"/>
                <w:sz w:val="20"/>
                <w:szCs w:val="20"/>
              </w:rPr>
            </m:ctrlPr>
          </m:sup>
        </m:sSubSup>
        <m:d>
          <m:dPr>
            <m:ctrlPr>
              <w:rPr>
                <w:rFonts w:ascii="Cambria Math" w:hAnsi="Cambria Math" w:cs="Times New Roman"/>
                <w:i/>
                <w:sz w:val="20"/>
                <w:szCs w:val="20"/>
              </w:rPr>
            </m:ctrlPr>
          </m:dPr>
          <m:e>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ctrlPr>
              <w:rPr>
                <w:rFonts w:ascii="Cambria Math" w:hAnsi="Cambria Math" w:cs="Times New Roman"/>
                <w:i/>
                <w:sz w:val="20"/>
                <w:szCs w:val="20"/>
              </w:rPr>
            </m:ctrlPr>
          </m:e>
        </m:d>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U</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elec</m:t>
                </m:r>
                <m:ctrlPr>
                  <w:rPr>
                    <w:rFonts w:ascii="Cambria Math" w:hAnsi="Cambria Math" w:cs="Times New Roman"/>
                    <w:sz w:val="20"/>
                    <w:szCs w:val="20"/>
                  </w:rPr>
                </m:ctrlPr>
              </m:e>
            </m:phant>
            <m:ctrlPr>
              <w:rPr>
                <w:rFonts w:ascii="Cambria Math" w:hAnsi="Cambria Math" w:cs="Times New Roman"/>
                <w:sz w:val="20"/>
                <w:szCs w:val="20"/>
              </w:rPr>
            </m:ctrlPr>
          </m:sup>
        </m:sSubSup>
        <m:d>
          <m:dPr>
            <m:ctrlPr>
              <w:rPr>
                <w:rFonts w:ascii="Cambria Math" w:hAnsi="Cambria Math" w:cs="Times New Roman"/>
                <w:i/>
                <w:sz w:val="20"/>
                <w:szCs w:val="20"/>
              </w:rPr>
            </m:ctrlPr>
          </m:dPr>
          <m:e>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ctrlPr>
              <w:rPr>
                <w:rFonts w:ascii="Cambria Math" w:hAnsi="Cambria Math" w:cs="Times New Roman"/>
                <w:i/>
                <w:sz w:val="20"/>
                <w:szCs w:val="20"/>
              </w:rPr>
            </m:ctrlPr>
          </m:e>
        </m:d>
        <m:r>
          <m:rPr/>
          <w:rPr>
            <w:rFonts w:ascii="Cambria Math" w:hAnsi="Cambria Math" w:cs="Times New Roman"/>
            <w:sz w:val="20"/>
            <w:szCs w:val="20"/>
          </w:rPr>
          <m:t>=4</m:t>
        </m:r>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d>
          <m:dPr>
            <m:begChr m:val="["/>
            <m:sepChr m:val="−"/>
            <m:endChr m:val="]"/>
            <m:ctrlPr>
              <w:rPr>
                <w:rFonts w:ascii="Cambria Math" w:hAnsi="Cambria Math" w:cs="Times New Roman"/>
                <w:sz w:val="20"/>
                <w:szCs w:val="20"/>
              </w:rPr>
            </m:ctrlPr>
          </m:dPr>
          <m:e>
            <m:sSup>
              <m:sSupPr>
                <m:ctrlPr>
                  <w:rPr>
                    <w:rFonts w:ascii="Cambria Math" w:hAnsi="Cambria Math" w:cs="Times New Roman"/>
                    <w:sz w:val="20"/>
                    <w:szCs w:val="20"/>
                  </w:rPr>
                </m:ctrlPr>
              </m:sSupPr>
              <m:e>
                <m:d>
                  <m:dPr>
                    <m:ctrlPr>
                      <w:rPr>
                        <w:rFonts w:ascii="Cambria Math" w:hAnsi="Cambria Math" w:cs="Times New Roman"/>
                        <w:sz w:val="20"/>
                        <w:szCs w:val="20"/>
                      </w:rPr>
                    </m:ctrlPr>
                  </m:dPr>
                  <m:e>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w:rPr>
                                <w:rFonts w:ascii="Cambria Math" w:hAnsi="Cambria Math" w:cs="Times New Roman"/>
                                <w:sz w:val="20"/>
                                <w:szCs w:val="20"/>
                              </w:rPr>
                              <m:t>σ</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ctrlPr>
                          <w:rPr>
                            <w:rFonts w:ascii="Cambria Math" w:hAnsi="Cambria Math" w:cs="Times New Roman"/>
                            <w:sz w:val="20"/>
                            <w:szCs w:val="20"/>
                          </w:rPr>
                        </m:ctrlPr>
                      </m:num>
                      <m:den>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ctrlPr>
                          <w:rPr>
                            <w:rFonts w:ascii="Cambria Math" w:hAnsi="Cambria Math" w:cs="Times New Roman"/>
                            <w:sz w:val="20"/>
                            <w:szCs w:val="20"/>
                          </w:rPr>
                        </m:ctrlPr>
                      </m:den>
                    </m:f>
                    <m:ctrlPr>
                      <w:rPr>
                        <w:rFonts w:ascii="Cambria Math" w:hAnsi="Cambria Math" w:cs="Times New Roman"/>
                        <w:sz w:val="20"/>
                        <w:szCs w:val="20"/>
                      </w:rPr>
                    </m:ctrlPr>
                  </m:e>
                </m:d>
                <m:ctrlPr>
                  <w:rPr>
                    <w:rFonts w:ascii="Cambria Math" w:hAnsi="Cambria Math" w:cs="Times New Roman"/>
                    <w:sz w:val="20"/>
                    <w:szCs w:val="20"/>
                  </w:rPr>
                </m:ctrlPr>
              </m:e>
              <m:sup>
                <m:r>
                  <m:rPr/>
                  <w:rPr>
                    <w:rFonts w:ascii="Cambria Math" w:hAnsi="Cambria Math" w:cs="Times New Roman"/>
                    <w:sz w:val="20"/>
                    <w:szCs w:val="20"/>
                  </w:rPr>
                  <m:t>12</m:t>
                </m:r>
                <m:ctrlPr>
                  <w:rPr>
                    <w:rFonts w:ascii="Cambria Math" w:hAnsi="Cambria Math" w:cs="Times New Roman"/>
                    <w:sz w:val="20"/>
                    <w:szCs w:val="20"/>
                  </w:rPr>
                </m:ctrlPr>
              </m:sup>
            </m:sSup>
            <m:ctrlPr>
              <w:rPr>
                <w:rFonts w:ascii="Cambria Math" w:hAnsi="Cambria Math" w:cs="Times New Roman"/>
                <w:sz w:val="20"/>
                <w:szCs w:val="20"/>
              </w:rPr>
            </m:ctrlPr>
          </m:e>
          <m:e>
            <m:sSup>
              <m:sSupPr>
                <m:ctrlPr>
                  <w:rPr>
                    <w:rFonts w:ascii="Cambria Math" w:hAnsi="Cambria Math" w:cs="Times New Roman"/>
                    <w:sz w:val="20"/>
                    <w:szCs w:val="20"/>
                  </w:rPr>
                </m:ctrlPr>
              </m:sSupPr>
              <m:e>
                <m:d>
                  <m:dPr>
                    <m:ctrlPr>
                      <w:rPr>
                        <w:rFonts w:ascii="Cambria Math" w:hAnsi="Cambria Math" w:cs="Times New Roman"/>
                        <w:sz w:val="20"/>
                        <w:szCs w:val="20"/>
                      </w:rPr>
                    </m:ctrlPr>
                  </m:dPr>
                  <m:e>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w:rPr>
                                <w:rFonts w:ascii="Cambria Math" w:hAnsi="Cambria Math" w:cs="Times New Roman"/>
                                <w:sz w:val="20"/>
                                <w:szCs w:val="20"/>
                              </w:rPr>
                              <m:t>σ</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ctrlPr>
                          <w:rPr>
                            <w:rFonts w:ascii="Cambria Math" w:hAnsi="Cambria Math" w:cs="Times New Roman"/>
                            <w:sz w:val="20"/>
                            <w:szCs w:val="20"/>
                          </w:rPr>
                        </m:ctrlPr>
                      </m:num>
                      <m:den>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ctrlPr>
                          <w:rPr>
                            <w:rFonts w:ascii="Cambria Math" w:hAnsi="Cambria Math" w:cs="Times New Roman"/>
                            <w:sz w:val="20"/>
                            <w:szCs w:val="20"/>
                          </w:rPr>
                        </m:ctrlPr>
                      </m:den>
                    </m:f>
                    <m:ctrlPr>
                      <w:rPr>
                        <w:rFonts w:ascii="Cambria Math" w:hAnsi="Cambria Math" w:cs="Times New Roman"/>
                        <w:sz w:val="20"/>
                        <w:szCs w:val="20"/>
                      </w:rPr>
                    </m:ctrlPr>
                  </m:e>
                </m:d>
                <m:ctrlPr>
                  <w:rPr>
                    <w:rFonts w:ascii="Cambria Math" w:hAnsi="Cambria Math" w:cs="Times New Roman"/>
                    <w:sz w:val="20"/>
                    <w:szCs w:val="20"/>
                  </w:rPr>
                </m:ctrlPr>
              </m:e>
              <m:sup>
                <m:r>
                  <m:rPr/>
                  <w:rPr>
                    <w:rFonts w:ascii="Cambria Math" w:hAnsi="Cambria Math" w:cs="Times New Roman"/>
                    <w:sz w:val="20"/>
                    <w:szCs w:val="20"/>
                  </w:rPr>
                  <m:t>6</m:t>
                </m:r>
                <m:ctrlPr>
                  <w:rPr>
                    <w:rFonts w:ascii="Cambria Math" w:hAnsi="Cambria Math" w:cs="Times New Roman"/>
                    <w:sz w:val="20"/>
                    <w:szCs w:val="20"/>
                  </w:rPr>
                </m:ctrlPr>
              </m:sup>
            </m:sSup>
            <m:ctrlPr>
              <w:rPr>
                <w:rFonts w:ascii="Cambria Math" w:hAnsi="Cambria Math" w:cs="Times New Roman"/>
                <w:sz w:val="20"/>
                <w:szCs w:val="20"/>
              </w:rPr>
            </m:ctrlPr>
          </m:e>
        </m:d>
        <m:r>
          <m:rPr/>
          <w:rPr>
            <w:rFonts w:ascii="Cambria Math" w:hAnsi="Cambria Math" w:cs="Times New Roman"/>
            <w:sz w:val="20"/>
            <w:szCs w:val="20"/>
          </w:rPr>
          <m:t>+</m:t>
        </m:r>
        <m:f>
          <m:fPr>
            <m:ctrlPr>
              <w:rPr>
                <w:rFonts w:ascii="Cambria Math" w:hAnsi="Cambria Math" w:cs="Times New Roman"/>
                <w:sz w:val="20"/>
                <w:szCs w:val="20"/>
              </w:rPr>
            </m:ctrlPr>
          </m:fPr>
          <m:num>
            <m:r>
              <m:rPr/>
              <w:rPr>
                <w:rFonts w:ascii="Cambria Math" w:hAnsi="Cambria Math" w:cs="Times New Roman"/>
                <w:sz w:val="20"/>
                <w:szCs w:val="20"/>
              </w:rPr>
              <m:t>1</m:t>
            </m:r>
            <m:ctrlPr>
              <w:rPr>
                <w:rFonts w:ascii="Cambria Math" w:hAnsi="Cambria Math" w:cs="Times New Roman"/>
                <w:sz w:val="20"/>
                <w:szCs w:val="20"/>
              </w:rPr>
            </m:ctrlPr>
          </m:num>
          <m:den>
            <m:r>
              <m:rPr/>
              <w:rPr>
                <w:rFonts w:ascii="Cambria Math" w:hAnsi="Cambria Math" w:cs="Times New Roman"/>
                <w:sz w:val="20"/>
                <w:szCs w:val="20"/>
              </w:rPr>
              <m:t>4π</m:t>
            </m:r>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0</m:t>
                </m:r>
                <m:ctrlPr>
                  <w:rPr>
                    <w:rFonts w:ascii="Cambria Math" w:hAnsi="Cambria Math" w:cs="Times New Roman"/>
                    <w:sz w:val="20"/>
                    <w:szCs w:val="20"/>
                  </w:rPr>
                </m:ctrlPr>
              </m:sub>
            </m:sSub>
            <m:ctrlPr>
              <w:rPr>
                <w:rFonts w:ascii="Cambria Math" w:hAnsi="Cambria Math" w:cs="Times New Roman"/>
                <w:sz w:val="20"/>
                <w:szCs w:val="20"/>
              </w:rPr>
            </m:ctrlPr>
          </m:den>
        </m:f>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w:rPr>
                    <w:rFonts w:ascii="Cambria Math" w:hAnsi="Cambria Math" w:cs="Times New Roman"/>
                    <w:sz w:val="20"/>
                    <w:szCs w:val="20"/>
                  </w:rPr>
                  <m:t>q</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sSub>
              <m:sSubPr>
                <m:ctrlPr>
                  <w:rPr>
                    <w:rFonts w:ascii="Cambria Math" w:hAnsi="Cambria Math" w:cs="Times New Roman"/>
                    <w:sz w:val="20"/>
                    <w:szCs w:val="20"/>
                  </w:rPr>
                </m:ctrlPr>
              </m:sSubPr>
              <m:e>
                <m:r>
                  <m:rPr/>
                  <w:rPr>
                    <w:rFonts w:ascii="Cambria Math" w:hAnsi="Cambria Math" w:cs="Times New Roman"/>
                    <w:sz w:val="20"/>
                    <w:szCs w:val="20"/>
                  </w:rPr>
                  <m:t>q</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num>
          <m:den>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ctrlPr>
              <w:rPr>
                <w:rFonts w:ascii="Cambria Math" w:hAnsi="Cambria Math" w:cs="Times New Roman"/>
                <w:sz w:val="20"/>
                <w:szCs w:val="20"/>
              </w:rPr>
            </m:ctrlPr>
          </m:den>
        </m:f>
      </m:oMath>
      <w:r>
        <w:rPr>
          <w:rFonts w:ascii="Times New Roman" w:hAnsi="Times New Roman" w:cs="Times New Roman"/>
          <w:sz w:val="20"/>
          <w:szCs w:val="20"/>
        </w:rPr>
        <w:tab/>
      </w:r>
      <w:r>
        <w:rPr>
          <w:rFonts w:ascii="Times New Roman" w:hAnsi="Times New Roman" w:cs="Times New Roman"/>
          <w:sz w:val="20"/>
          <w:szCs w:val="20"/>
        </w:rPr>
        <w:t>(1)</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 xml:space="preserve">Here, </w:t>
      </w:r>
      <m:oMath>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oMath>
      <w:r>
        <w:rPr>
          <w:rFonts w:ascii="Times New Roman" w:hAnsi="Times New Roman" w:cs="Times New Roman"/>
          <w:sz w:val="20"/>
          <w:szCs w:val="20"/>
        </w:rPr>
        <w:t xml:space="preserve">is the distance between interaction sites </w:t>
      </w:r>
      <m:oMath>
        <m:r>
          <m:rPr/>
          <w:rPr>
            <w:rFonts w:ascii="Cambria Math" w:hAnsi="Cambria Math" w:cs="Times New Roman"/>
            <w:sz w:val="20"/>
            <w:szCs w:val="20"/>
          </w:rPr>
          <m:t>i</m:t>
        </m:r>
      </m:oMath>
      <w:r>
        <w:rPr>
          <w:rFonts w:ascii="Times New Roman" w:hAnsi="Times New Roman" w:cs="Times New Roman"/>
          <w:sz w:val="20"/>
          <w:szCs w:val="20"/>
        </w:rPr>
        <w:t xml:space="preserve">and </w:t>
      </w:r>
      <m:oMath>
        <m:r>
          <m:rPr/>
          <w:rPr>
            <w:rFonts w:ascii="Cambria Math" w:hAnsi="Cambria Math" w:cs="Times New Roman"/>
            <w:sz w:val="20"/>
            <w:szCs w:val="20"/>
          </w:rPr>
          <m:t>j</m:t>
        </m:r>
      </m:oMath>
      <w:r>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oMath>
      <w:r>
        <w:rPr>
          <w:rFonts w:ascii="Times New Roman" w:hAnsi="Times New Roman" w:cs="Times New Roman"/>
          <w:sz w:val="20"/>
          <w:szCs w:val="20"/>
        </w:rPr>
        <w:t xml:space="preserve">is the Lennard–Jones well depth and </w:t>
      </w:r>
      <m:oMath>
        <m:sSub>
          <m:sSubPr>
            <m:ctrlPr>
              <w:rPr>
                <w:rFonts w:ascii="Cambria Math" w:hAnsi="Cambria Math" w:cs="Times New Roman"/>
                <w:sz w:val="20"/>
                <w:szCs w:val="20"/>
              </w:rPr>
            </m:ctrlPr>
          </m:sSubPr>
          <m:e>
            <m:r>
              <m:rPr/>
              <w:rPr>
                <w:rFonts w:ascii="Cambria Math" w:hAnsi="Cambria Math" w:cs="Times New Roman"/>
                <w:sz w:val="20"/>
                <w:szCs w:val="20"/>
              </w:rPr>
              <m:t>σ</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oMath>
      <w:r>
        <w:rPr>
          <w:rFonts w:ascii="Times New Roman" w:hAnsi="Times New Roman" w:cs="Times New Roman"/>
          <w:sz w:val="20"/>
          <w:szCs w:val="20"/>
        </w:rPr>
        <w:t>is the Lennard–Jones size parameter. Cross Lennard–Jones parameters for unlike interaction sites were obtained using the Lorentz–Berthelot combining rules: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σ</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r>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w:rPr>
                    <w:rFonts w:ascii="Cambria Math" w:hAnsi="Cambria Math" w:cs="Times New Roman"/>
                    <w:sz w:val="20"/>
                    <w:szCs w:val="20"/>
                  </w:rPr>
                  <m:t>σ</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σ</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num>
          <m:den>
            <m:r>
              <m:rPr/>
              <w:rPr>
                <w:rFonts w:ascii="Cambria Math" w:hAnsi="Cambria Math" w:cs="Times New Roman"/>
                <w:sz w:val="20"/>
                <w:szCs w:val="20"/>
              </w:rPr>
              <m:t>2</m:t>
            </m:r>
            <m:ctrlPr>
              <w:rPr>
                <w:rFonts w:ascii="Cambria Math" w:hAnsi="Cambria Math" w:cs="Times New Roman"/>
                <w:sz w:val="20"/>
                <w:szCs w:val="20"/>
              </w:rPr>
            </m:ctrlPr>
          </m:den>
        </m:f>
      </m:oMath>
      <w:r>
        <w:rPr>
          <w:rFonts w:ascii="Times New Roman" w:hAnsi="Times New Roman" w:cs="Times New Roman"/>
          <w:sz w:val="20"/>
          <w:szCs w:val="20"/>
        </w:rPr>
        <w:tab/>
      </w:r>
      <w:r>
        <w:rPr>
          <w:rFonts w:ascii="Times New Roman" w:hAnsi="Times New Roman" w:cs="Times New Roman"/>
          <w:sz w:val="20"/>
          <w:szCs w:val="20"/>
        </w:rPr>
        <w:t>(2)</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r>
          <m:rPr/>
          <w:rPr>
            <w:rFonts w:ascii="Cambria Math" w:hAnsi="Cambria Math" w:cs="Times New Roman"/>
            <w:sz w:val="20"/>
            <w:szCs w:val="20"/>
          </w:rPr>
          <m:t>=</m:t>
        </m:r>
        <m:rad>
          <m:radPr>
            <m:degHide m:val="1"/>
            <m:ctrlPr>
              <w:rPr>
                <w:rFonts w:ascii="Cambria Math" w:hAnsi="Cambria Math" w:cs="Times New Roman"/>
                <w:sz w:val="20"/>
                <w:szCs w:val="20"/>
              </w:rPr>
            </m:ctrlPr>
          </m:radPr>
          <m:deg>
            <m:ctrlPr>
              <w:rPr>
                <w:rFonts w:ascii="Cambria Math" w:hAnsi="Cambria Math" w:cs="Times New Roman"/>
                <w:sz w:val="20"/>
                <w:szCs w:val="20"/>
              </w:rPr>
            </m:ctrlPr>
          </m:deg>
          <m:e>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e>
        </m:rad>
      </m:oMath>
      <w:r>
        <w:rPr>
          <w:rFonts w:ascii="Times New Roman" w:hAnsi="Times New Roman" w:cs="Times New Roman"/>
          <w:sz w:val="20"/>
          <w:szCs w:val="20"/>
        </w:rPr>
        <w:tab/>
      </w:r>
      <w:r>
        <w:rPr>
          <w:rFonts w:ascii="Times New Roman" w:hAnsi="Times New Roman" w:cs="Times New Roman"/>
          <w:sz w:val="20"/>
          <w:szCs w:val="20"/>
        </w:rPr>
        <w:t>(3)</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 xml:space="preserve">Lennard–Jones interactions were truncated at 12 Å, and long-range Lennard–Jones tail corrections were not applied. Electrostatic interactions were evaluated separately using Ewald summation with a 12 Å real-space cutoff. Supplementary Table 5 lists the Lennard–Jones parameters assigned to all framework atom types in the RASPA force-field definition. The well depth </w:t>
      </w:r>
      <m:oMath>
        <m:r>
          <m:rPr/>
          <w:rPr>
            <w:rFonts w:ascii="Cambria Math" w:hAnsi="Cambria Math" w:cs="Times New Roman"/>
            <w:sz w:val="20"/>
            <w:szCs w:val="20"/>
          </w:rPr>
          <m:t>ε</m:t>
        </m:r>
      </m:oMath>
      <w:r>
        <w:rPr>
          <w:rFonts w:ascii="Times New Roman" w:hAnsi="Times New Roman" w:cs="Times New Roman"/>
          <w:sz w:val="20"/>
          <w:szCs w:val="20"/>
        </w:rPr>
        <w:t xml:space="preserve">is reported as </w:t>
      </w:r>
      <m:oMath>
        <m:r>
          <m:rPr/>
          <w:rPr>
            <w:rFonts w:ascii="Cambria Math" w:hAnsi="Cambria Math" w:cs="Times New Roman"/>
            <w:sz w:val="20"/>
            <w:szCs w:val="20"/>
          </w:rPr>
          <m:t>ε</m:t>
        </m:r>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k</m:t>
            </m:r>
            <m:ctrlPr>
              <w:rPr>
                <w:rFonts w:ascii="Cambria Math" w:hAnsi="Cambria Math" w:cs="Times New Roman"/>
                <w:sz w:val="20"/>
                <w:szCs w:val="20"/>
              </w:rPr>
            </m:ctrlPr>
          </m:e>
          <m:sub>
            <m:r>
              <m:rPr>
                <m:sty m:val="p"/>
              </m:rPr>
              <w:rPr>
                <w:rFonts w:ascii="Cambria Math" w:hAnsi="Cambria Math" w:cs="Times New Roman"/>
                <w:sz w:val="20"/>
                <w:szCs w:val="20"/>
              </w:rPr>
              <m:t>B</m:t>
            </m:r>
            <m:ctrlPr>
              <w:rPr>
                <w:rFonts w:ascii="Cambria Math" w:hAnsi="Cambria Math" w:cs="Times New Roman"/>
                <w:sz w:val="20"/>
                <w:szCs w:val="20"/>
              </w:rPr>
            </m:ctrlPr>
          </m:sub>
        </m:sSub>
      </m:oMath>
      <w:r>
        <w:rPr>
          <w:rFonts w:ascii="Times New Roman" w:hAnsi="Times New Roman" w:cs="Times New Roman"/>
          <w:sz w:val="20"/>
          <w:szCs w:val="20"/>
        </w:rPr>
        <w:t xml:space="preserve">in kelvin (K), where </w:t>
      </w:r>
      <m:oMath>
        <m:sSub>
          <m:sSubPr>
            <m:ctrlPr>
              <w:rPr>
                <w:rFonts w:ascii="Cambria Math" w:hAnsi="Cambria Math" w:cs="Times New Roman"/>
                <w:sz w:val="20"/>
                <w:szCs w:val="20"/>
              </w:rPr>
            </m:ctrlPr>
          </m:sSubPr>
          <m:e>
            <m:r>
              <m:rPr/>
              <w:rPr>
                <w:rFonts w:ascii="Cambria Math" w:hAnsi="Cambria Math" w:cs="Times New Roman"/>
                <w:sz w:val="20"/>
                <w:szCs w:val="20"/>
              </w:rPr>
              <m:t>k</m:t>
            </m:r>
            <m:ctrlPr>
              <w:rPr>
                <w:rFonts w:ascii="Cambria Math" w:hAnsi="Cambria Math" w:cs="Times New Roman"/>
                <w:sz w:val="20"/>
                <w:szCs w:val="20"/>
              </w:rPr>
            </m:ctrlPr>
          </m:e>
          <m:sub>
            <m:r>
              <m:rPr>
                <m:sty m:val="p"/>
              </m:rPr>
              <w:rPr>
                <w:rFonts w:ascii="Cambria Math" w:hAnsi="Cambria Math" w:cs="Times New Roman"/>
                <w:sz w:val="20"/>
                <w:szCs w:val="20"/>
              </w:rPr>
              <m:t>B</m:t>
            </m:r>
            <m:ctrlPr>
              <w:rPr>
                <w:rFonts w:ascii="Cambria Math" w:hAnsi="Cambria Math" w:cs="Times New Roman"/>
                <w:sz w:val="20"/>
                <w:szCs w:val="20"/>
              </w:rPr>
            </m:ctrlPr>
          </m:sub>
        </m:sSub>
      </m:oMath>
      <w:r>
        <w:rPr>
          <w:rFonts w:ascii="Times New Roman" w:hAnsi="Times New Roman" w:cs="Times New Roman"/>
          <w:sz w:val="20"/>
          <w:szCs w:val="20"/>
        </w:rPr>
        <w:t xml:space="preserve">is the Boltzmann constant, and the size parameter </w:t>
      </w:r>
      <m:oMath>
        <m:r>
          <m:rPr/>
          <w:rPr>
            <w:rFonts w:ascii="Cambria Math" w:hAnsi="Cambria Math" w:cs="Times New Roman"/>
            <w:sz w:val="20"/>
            <w:szCs w:val="20"/>
          </w:rPr>
          <m:t>σ</m:t>
        </m:r>
      </m:oMath>
      <w:r>
        <w:rPr>
          <w:rFonts w:ascii="Times New Roman" w:hAnsi="Times New Roman" w:cs="Times New Roman"/>
          <w:sz w:val="20"/>
          <w:szCs w:val="20"/>
        </w:rPr>
        <w:t>is reported in ångströms (Å).</w:t>
      </w:r>
    </w:p>
    <w:p>
      <w:pPr>
        <w:pStyle w:val="50"/>
        <w:jc w:val="center"/>
        <w:rPr>
          <w:rFonts w:cs="Times New Roman"/>
        </w:rPr>
      </w:pPr>
      <w:r>
        <w:rPr>
          <w:rFonts w:cs="Times New Roman"/>
          <w:b/>
        </w:rPr>
        <w:t xml:space="preserve">Supplementary Table </w:t>
      </w:r>
      <w:r>
        <w:rPr>
          <w:rFonts w:cs="Times New Roman" w:eastAsiaTheme="minorEastAsia"/>
          <w:b/>
          <w:lang w:eastAsia="zh-CN"/>
        </w:rPr>
        <w:t>5</w:t>
      </w:r>
      <w:r>
        <w:rPr>
          <w:rFonts w:cs="Times New Roman"/>
          <w:b/>
        </w:rPr>
        <w:t xml:space="preserve"> | Framework Lennard–Jones parameters</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080"/>
        <w:gridCol w:w="776"/>
        <w:gridCol w:w="848"/>
        <w:gridCol w:w="1072"/>
        <w:gridCol w:w="768"/>
        <w:gridCol w:w="840"/>
        <w:gridCol w:w="1120"/>
        <w:gridCol w:w="10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single" w:color="auto" w:sz="4" w:space="0"/>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Atom </w:t>
            </w:r>
          </w:p>
        </w:tc>
        <w:tc>
          <w:tcPr>
            <w:tcW w:w="1080" w:type="dxa"/>
            <w:tcBorders>
              <w:top w:val="single" w:color="auto" w:sz="4" w:space="0"/>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ε/kB [K] </w:t>
            </w:r>
          </w:p>
        </w:tc>
        <w:tc>
          <w:tcPr>
            <w:tcW w:w="776" w:type="dxa"/>
            <w:tcBorders>
              <w:top w:val="single" w:color="auto" w:sz="4" w:space="0"/>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σ [Å] </w:t>
            </w:r>
          </w:p>
        </w:tc>
        <w:tc>
          <w:tcPr>
            <w:tcW w:w="848" w:type="dxa"/>
            <w:tcBorders>
              <w:top w:val="single" w:color="auto" w:sz="4" w:space="0"/>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Atom </w:t>
            </w:r>
          </w:p>
        </w:tc>
        <w:tc>
          <w:tcPr>
            <w:tcW w:w="1072" w:type="dxa"/>
            <w:tcBorders>
              <w:top w:val="single" w:color="auto" w:sz="4" w:space="0"/>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ε/kB [K] </w:t>
            </w:r>
          </w:p>
        </w:tc>
        <w:tc>
          <w:tcPr>
            <w:tcW w:w="768" w:type="dxa"/>
            <w:tcBorders>
              <w:top w:val="single" w:color="auto" w:sz="4" w:space="0"/>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σ [Å] </w:t>
            </w:r>
          </w:p>
        </w:tc>
        <w:tc>
          <w:tcPr>
            <w:tcW w:w="840" w:type="dxa"/>
            <w:tcBorders>
              <w:top w:val="single" w:color="auto" w:sz="4" w:space="0"/>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Atom </w:t>
            </w:r>
          </w:p>
        </w:tc>
        <w:tc>
          <w:tcPr>
            <w:tcW w:w="1120" w:type="dxa"/>
            <w:tcBorders>
              <w:top w:val="single" w:color="auto" w:sz="4" w:space="0"/>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ε/kB [K] </w:t>
            </w:r>
          </w:p>
        </w:tc>
        <w:tc>
          <w:tcPr>
            <w:tcW w:w="1023" w:type="dxa"/>
            <w:tcBorders>
              <w:top w:val="single" w:color="auto" w:sz="4" w:space="0"/>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σ [Å]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769" w:type="dxa"/>
            <w:tcBorders>
              <w:top w:val="single" w:color="auto" w:sz="4" w:space="0"/>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Ac </w:t>
            </w:r>
          </w:p>
        </w:tc>
        <w:tc>
          <w:tcPr>
            <w:tcW w:w="1080" w:type="dxa"/>
            <w:tcBorders>
              <w:top w:val="single" w:color="auto" w:sz="4" w:space="0"/>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16.60 </w:t>
            </w:r>
          </w:p>
        </w:tc>
        <w:tc>
          <w:tcPr>
            <w:tcW w:w="776" w:type="dxa"/>
            <w:tcBorders>
              <w:top w:val="single" w:color="auto" w:sz="4" w:space="0"/>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3.10 </w:t>
            </w:r>
          </w:p>
        </w:tc>
        <w:tc>
          <w:tcPr>
            <w:tcW w:w="848" w:type="dxa"/>
            <w:tcBorders>
              <w:top w:val="single" w:color="auto" w:sz="4" w:space="0"/>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Ge </w:t>
            </w:r>
          </w:p>
        </w:tc>
        <w:tc>
          <w:tcPr>
            <w:tcW w:w="1072" w:type="dxa"/>
            <w:tcBorders>
              <w:top w:val="single" w:color="auto" w:sz="4" w:space="0"/>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190.69 </w:t>
            </w:r>
          </w:p>
        </w:tc>
        <w:tc>
          <w:tcPr>
            <w:tcW w:w="768" w:type="dxa"/>
            <w:tcBorders>
              <w:top w:val="single" w:color="auto" w:sz="4" w:space="0"/>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3.81 </w:t>
            </w:r>
          </w:p>
        </w:tc>
        <w:tc>
          <w:tcPr>
            <w:tcW w:w="840" w:type="dxa"/>
            <w:tcBorders>
              <w:top w:val="single" w:color="auto" w:sz="4" w:space="0"/>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Po </w:t>
            </w:r>
          </w:p>
        </w:tc>
        <w:tc>
          <w:tcPr>
            <w:tcW w:w="1120" w:type="dxa"/>
            <w:tcBorders>
              <w:top w:val="single" w:color="auto" w:sz="4" w:space="0"/>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163.52 </w:t>
            </w:r>
          </w:p>
        </w:tc>
        <w:tc>
          <w:tcPr>
            <w:tcW w:w="1023" w:type="dxa"/>
            <w:tcBorders>
              <w:top w:val="single" w:color="auto" w:sz="4" w:space="0"/>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Ag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18.11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2.80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Gd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4.53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3.00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Pr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5.03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3.21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Al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254.09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4.01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H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22.14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2.57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Pt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40.25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2.45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Am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7.04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3.01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Hf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36.23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2.80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Pu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8.05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Ar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93.08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3.45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Hg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193.71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2.41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Ra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203.27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As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155.47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3.77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Ho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3.52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3.04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Rb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20.13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3.67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At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142.89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4.23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I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170.57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4.01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Re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33.21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Au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19.62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2.93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In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301.39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3.98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Rh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26.67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B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90.57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3.64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Ir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36.73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2.53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Rn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124.78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4.25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Ba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183.15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3.30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K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17.61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3.40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Ru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28.18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Be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42.77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2.45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Kr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110.69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3.69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S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137.86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3.59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Bi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260.63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3.89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La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8.55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3.14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Sb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225.91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3.94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Bk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6.54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2.97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Li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12.58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2.18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Sc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9.56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Br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126.29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3.73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Lu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20.63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3.24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Se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146.42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3.75 </w:t>
            </w:r>
          </w:p>
        </w:tc>
      </w:tr>
      <w:tr>
        <w:tblPrEx>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52.83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3.43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Lr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5.53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2.88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Si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202.27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3.83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Ca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119.75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3.03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Md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5.53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2.92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Sm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4.03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3.14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Cd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114.72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2.54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Mg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55.85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2.69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Sn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285.28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3.91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Ce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6.54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3.17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Mn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6.54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2.64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Sr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118.24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3.24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Cf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6.54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2.95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Mo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28.18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2.72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Ta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40.75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Cl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114.21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3.52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N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34.72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3.26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Tb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3.52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Cm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6.54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2.96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Na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15.09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2.66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Tc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24.15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Co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7.04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2.56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Ne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21.13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2.66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Te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200.25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3.98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Cr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7.55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2.69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Nb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29.69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2.82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Th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13.08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Cu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2.52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3.11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Nd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5.03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3.18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Ti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8.55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Cs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22.64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4.02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No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5.53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2.89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TI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342.14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3.87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Dy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3.52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3.05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Ni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7.55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2.52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Tm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3.02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Eu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4.03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3.11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Np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9.56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3.05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U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11.07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Er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3.52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3.02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O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30.19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3.12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V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8.05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2.80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Es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6.04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2.94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Os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18.62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2.78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W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33.71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2.73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F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25.16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3.00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P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153.46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3.69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Xe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167.04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3.92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Fe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6.54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2.59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Pa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11.07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3.05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Y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36.23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Fm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6.04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2.93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Pb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333.59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3.83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Yb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114.72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2.99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Fr </w:t>
            </w:r>
          </w:p>
        </w:tc>
        <w:tc>
          <w:tcPr>
            <w:tcW w:w="108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25.16 </w:t>
            </w:r>
          </w:p>
        </w:tc>
        <w:tc>
          <w:tcPr>
            <w:tcW w:w="776"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4.37 </w:t>
            </w:r>
          </w:p>
        </w:tc>
        <w:tc>
          <w:tcPr>
            <w:tcW w:w="84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Pd </w:t>
            </w:r>
          </w:p>
        </w:tc>
        <w:tc>
          <w:tcPr>
            <w:tcW w:w="1072"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24.15 </w:t>
            </w:r>
          </w:p>
        </w:tc>
        <w:tc>
          <w:tcPr>
            <w:tcW w:w="768"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2.58 </w:t>
            </w:r>
          </w:p>
        </w:tc>
        <w:tc>
          <w:tcPr>
            <w:tcW w:w="84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Zn </w:t>
            </w:r>
          </w:p>
        </w:tc>
        <w:tc>
          <w:tcPr>
            <w:tcW w:w="1120"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62.39 </w:t>
            </w:r>
          </w:p>
        </w:tc>
        <w:tc>
          <w:tcPr>
            <w:tcW w:w="1023" w:type="dxa"/>
            <w:tcBorders>
              <w:top w:val="nil"/>
              <w:left w:val="nil"/>
              <w:bottom w:val="nil"/>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2.46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9" w:type="dxa"/>
            <w:tcBorders>
              <w:top w:val="nil"/>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Ga </w:t>
            </w:r>
          </w:p>
        </w:tc>
        <w:tc>
          <w:tcPr>
            <w:tcW w:w="1080" w:type="dxa"/>
            <w:tcBorders>
              <w:top w:val="nil"/>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208.81 </w:t>
            </w:r>
          </w:p>
        </w:tc>
        <w:tc>
          <w:tcPr>
            <w:tcW w:w="776" w:type="dxa"/>
            <w:tcBorders>
              <w:top w:val="nil"/>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3.90 </w:t>
            </w:r>
          </w:p>
        </w:tc>
        <w:tc>
          <w:tcPr>
            <w:tcW w:w="848" w:type="dxa"/>
            <w:tcBorders>
              <w:top w:val="nil"/>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Pm </w:t>
            </w:r>
          </w:p>
        </w:tc>
        <w:tc>
          <w:tcPr>
            <w:tcW w:w="1072" w:type="dxa"/>
            <w:tcBorders>
              <w:top w:val="nil"/>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4.53 </w:t>
            </w:r>
          </w:p>
        </w:tc>
        <w:tc>
          <w:tcPr>
            <w:tcW w:w="768" w:type="dxa"/>
            <w:tcBorders>
              <w:top w:val="nil"/>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3.16 </w:t>
            </w:r>
          </w:p>
        </w:tc>
        <w:tc>
          <w:tcPr>
            <w:tcW w:w="840" w:type="dxa"/>
            <w:tcBorders>
              <w:top w:val="nil"/>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Zr </w:t>
            </w:r>
          </w:p>
        </w:tc>
        <w:tc>
          <w:tcPr>
            <w:tcW w:w="1120" w:type="dxa"/>
            <w:tcBorders>
              <w:top w:val="nil"/>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34.72 </w:t>
            </w:r>
          </w:p>
        </w:tc>
        <w:tc>
          <w:tcPr>
            <w:tcW w:w="1023" w:type="dxa"/>
            <w:tcBorders>
              <w:top w:val="nil"/>
              <w:left w:val="nil"/>
              <w:bottom w:val="single" w:color="auto" w:sz="4" w:space="0"/>
              <w:right w:val="nil"/>
            </w:tcBorders>
          </w:tcPr>
          <w:p>
            <w:pPr>
              <w:rPr>
                <w:rFonts w:ascii="Times New Roman" w:hAnsi="Times New Roman" w:eastAsia="宋体" w:cs="Times New Roman"/>
                <w:sz w:val="20"/>
                <w:szCs w:val="20"/>
                <w:lang w:eastAsia="en-US"/>
              </w:rPr>
            </w:pPr>
            <w:r>
              <w:rPr>
                <w:rFonts w:ascii="Times New Roman" w:hAnsi="Times New Roman" w:eastAsia="宋体" w:cs="Times New Roman"/>
                <w:sz w:val="20"/>
                <w:szCs w:val="20"/>
                <w:lang w:eastAsia="en-US"/>
              </w:rPr>
              <w:t xml:space="preserve">2.78 </w:t>
            </w:r>
          </w:p>
        </w:tc>
      </w:tr>
    </w:tbl>
    <w:p>
      <w:pPr>
        <w:widowControl/>
        <w:spacing w:line="276" w:lineRule="auto"/>
        <w:ind w:firstLine="420"/>
        <w:jc w:val="left"/>
        <w:rPr>
          <w:rFonts w:ascii="Times New Roman" w:hAnsi="Times New Roman" w:cs="Times New Roman"/>
          <w:sz w:val="20"/>
          <w:szCs w:val="20"/>
        </w:rPr>
      </w:pPr>
      <w:r>
        <w:rPr>
          <w:rFonts w:ascii="Times New Roman" w:hAnsi="Times New Roman" w:cs="Times New Roman"/>
          <w:sz w:val="20"/>
          <w:szCs w:val="20"/>
        </w:rPr>
        <w:t>The interaction sites, multiplicities, Lennard–Jones parameters and partial charges used for N₂, O₂, CEES, DMMP and EtCl are listed in Supplementary Table 6. The centre-of-mass pseudo-sites in N</w:t>
      </w:r>
      <w:r>
        <w:rPr>
          <w:rFonts w:ascii="Times New Roman" w:hAnsi="Times New Roman" w:cs="Times New Roman"/>
          <w:sz w:val="20"/>
          <w:szCs w:val="20"/>
          <w:vertAlign w:val="subscript"/>
        </w:rPr>
        <w:t>2</w:t>
      </w:r>
      <w:r>
        <w:rPr>
          <w:rFonts w:ascii="Times New Roman" w:hAnsi="Times New Roman" w:cs="Times New Roman"/>
          <w:sz w:val="20"/>
          <w:szCs w:val="20"/>
        </w:rPr>
        <w:t xml:space="preserve"> and O</w:t>
      </w:r>
      <w:r>
        <w:rPr>
          <w:rFonts w:ascii="Times New Roman" w:hAnsi="Times New Roman" w:cs="Times New Roman"/>
          <w:sz w:val="20"/>
          <w:szCs w:val="20"/>
          <w:vertAlign w:val="subscript"/>
        </w:rPr>
        <w:t>2</w:t>
      </w:r>
      <w:r>
        <w:rPr>
          <w:rFonts w:ascii="Times New Roman" w:hAnsi="Times New Roman" w:cs="Times New Roman"/>
          <w:sz w:val="20"/>
          <w:szCs w:val="20"/>
        </w:rPr>
        <w:t xml:space="preserve"> carried charge but no Lennard</w:t>
      </w:r>
      <w:r>
        <w:rPr>
          <w:rFonts w:ascii="Times New Roman" w:hAnsi="Times New Roman" w:eastAsia="等线" w:cs="Times New Roman"/>
          <w:sz w:val="20"/>
          <w:szCs w:val="20"/>
        </w:rPr>
        <w:t>–</w:t>
      </w:r>
      <w:r>
        <w:rPr>
          <w:rFonts w:ascii="Times New Roman" w:hAnsi="Times New Roman" w:cs="Times New Roman"/>
          <w:sz w:val="20"/>
          <w:szCs w:val="20"/>
        </w:rPr>
        <w:t>Jones interaction. The site order and intramolecular geometry of CEES, DMMP and EtCl were specified in the corresponding RASPA molecule-definition files.</w:t>
      </w:r>
    </w:p>
    <w:p>
      <w:pPr>
        <w:pStyle w:val="50"/>
        <w:jc w:val="center"/>
        <w:rPr>
          <w:rFonts w:cs="Times New Roman"/>
        </w:rPr>
      </w:pPr>
      <w:r>
        <w:rPr>
          <w:rFonts w:cs="Times New Roman"/>
          <w:b/>
        </w:rPr>
        <w:t xml:space="preserve">Supplementary Table </w:t>
      </w:r>
      <w:r>
        <w:rPr>
          <w:rFonts w:cs="Times New Roman" w:eastAsiaTheme="minorEastAsia"/>
          <w:b/>
          <w:lang w:eastAsia="zh-CN"/>
        </w:rPr>
        <w:t>6</w:t>
      </w:r>
      <w:r>
        <w:rPr>
          <w:rFonts w:cs="Times New Roman"/>
          <w:b/>
        </w:rPr>
        <w:t xml:space="preserve"> | Adsorbate Lennard–Jones parameters and partial charges</w:t>
      </w:r>
    </w:p>
    <w:tbl>
      <w:tblPr>
        <w:tblStyle w:val="20"/>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76"/>
        <w:gridCol w:w="1985"/>
        <w:gridCol w:w="1426"/>
        <w:gridCol w:w="1584"/>
        <w:gridCol w:w="1296"/>
        <w:gridCol w:w="1080"/>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276"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Molecule</w:t>
            </w:r>
          </w:p>
        </w:tc>
        <w:tc>
          <w:tcPr>
            <w:tcW w:w="1985"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Site</w:t>
            </w:r>
          </w:p>
        </w:tc>
        <w:tc>
          <w:tcPr>
            <w:tcW w:w="1426"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Multiplicity</w:t>
            </w:r>
          </w:p>
        </w:tc>
        <w:tc>
          <w:tcPr>
            <w:tcW w:w="1584"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ε/kB (K)</w:t>
            </w:r>
          </w:p>
        </w:tc>
        <w:tc>
          <w:tcPr>
            <w:tcW w:w="1296"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σ (Å)</w:t>
            </w:r>
          </w:p>
        </w:tc>
        <w:tc>
          <w:tcPr>
            <w:tcW w:w="1080"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Charge (e)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tcBorders>
              <w:top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N₂</w:t>
            </w:r>
          </w:p>
        </w:tc>
        <w:tc>
          <w:tcPr>
            <w:tcW w:w="1985" w:type="dxa"/>
            <w:tcBorders>
              <w:top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N_n2</w:t>
            </w:r>
          </w:p>
        </w:tc>
        <w:tc>
          <w:tcPr>
            <w:tcW w:w="1426" w:type="dxa"/>
            <w:tcBorders>
              <w:top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1584" w:type="dxa"/>
            <w:tcBorders>
              <w:top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36.00</w:t>
            </w:r>
          </w:p>
        </w:tc>
        <w:tc>
          <w:tcPr>
            <w:tcW w:w="1296" w:type="dxa"/>
            <w:tcBorders>
              <w:top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3.31</w:t>
            </w:r>
          </w:p>
        </w:tc>
        <w:tc>
          <w:tcPr>
            <w:tcW w:w="1080" w:type="dxa"/>
            <w:tcBorders>
              <w:top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-0.482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N₂</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N_com</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0.00</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0.964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O₂</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O_o2</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49.00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3.02</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-0.113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O₂</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O_com</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0.00</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0.226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DMMP</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CH3_O_DMMP</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98.00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3.75</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0.28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DMMP</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O_CH3_DMMP</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2</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55.00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2.80</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-0.53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DMMP</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P_DMMP</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86.00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4.00</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1.44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DMMP</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O_P_DMMP</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79.00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3.05</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DMMP</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CH3_P_DMMP</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98.00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3.75</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-0.14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CEES</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CH2_CEES</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48.70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3.36</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0.14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CEES</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CH3_CEES</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98.00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3.75</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0.086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CEES</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S_CEES</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228.70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3.33</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-0.376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CEES</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Cl_CEES</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150.67</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3.47</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-0.13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EtCl</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CH3_C2H5Cl</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98.00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3.75</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EtCl</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CH2_C2H5Cl</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46.00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3.95</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0.13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276"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EtCl</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Cl_C2H5Cl</w:t>
            </w:r>
          </w:p>
        </w:tc>
        <w:tc>
          <w:tcPr>
            <w:tcW w:w="14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w:t>
            </w:r>
          </w:p>
        </w:tc>
        <w:tc>
          <w:tcPr>
            <w:tcW w:w="158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149.00</w:t>
            </w:r>
          </w:p>
        </w:tc>
        <w:tc>
          <w:tcPr>
            <w:tcW w:w="12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3.42</w:t>
            </w:r>
          </w:p>
        </w:tc>
        <w:tc>
          <w:tcPr>
            <w:tcW w:w="1080"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-0.13</w:t>
            </w:r>
          </w:p>
        </w:tc>
      </w:tr>
    </w:tbl>
    <w:p>
      <w:pPr>
        <w:pStyle w:val="50"/>
        <w:jc w:val="center"/>
        <w:rPr>
          <w:rFonts w:cs="Times New Roman" w:eastAsiaTheme="minorEastAsia"/>
          <w:b/>
          <w:lang w:eastAsia="zh-CN"/>
        </w:rPr>
      </w:pPr>
    </w:p>
    <w:p>
      <w:pPr>
        <w:rPr>
          <w:rFonts w:ascii="Times New Roman" w:hAnsi="Times New Roman" w:cs="Times New Roman"/>
          <w:b/>
          <w:bCs/>
          <w:sz w:val="22"/>
        </w:rPr>
      </w:pPr>
      <w:r>
        <w:rPr>
          <w:rFonts w:ascii="Times New Roman" w:hAnsi="Times New Roman" w:cs="Times New Roman"/>
          <w:b/>
          <w:bCs/>
          <w:sz w:val="22"/>
        </w:rPr>
        <w:t>S2.3 Adsorption-label extraction and alignment</w:t>
      </w:r>
    </w:p>
    <w:p>
      <w:pPr>
        <w:ind w:firstLine="420"/>
        <w:rPr>
          <w:rFonts w:ascii="Times New Roman" w:hAnsi="Times New Roman" w:cs="Times New Roman"/>
          <w:sz w:val="20"/>
          <w:szCs w:val="20"/>
        </w:rPr>
      </w:pPr>
      <w:r>
        <w:rPr>
          <w:rFonts w:ascii="Times New Roman" w:hAnsi="Times New Roman" w:cs="Times New Roman"/>
          <w:sz w:val="20"/>
          <w:szCs w:val="20"/>
        </w:rPr>
        <w:t>For each simulation, the production-stage average absolute loading of the target vapour was extracted from the RASPA output. The CEES loading from the N₂/O₂/CEES mixture, the DMMP loading from the N₂/O₂/DMMP mixture and the EtCl loading from the N₂/O₂/EtCl mixture were used as the corresponding adsorption labels. Background N₂ and O₂ loadings were not used as optimization targets.</w:t>
      </w:r>
    </w:p>
    <w:p>
      <w:pPr>
        <w:ind w:firstLine="420"/>
        <w:rPr>
          <w:rFonts w:ascii="Times New Roman" w:hAnsi="Times New Roman" w:cs="Times New Roman"/>
          <w:sz w:val="20"/>
          <w:szCs w:val="20"/>
        </w:rPr>
      </w:pPr>
      <w:r>
        <w:rPr>
          <w:rFonts w:ascii="Times New Roman" w:hAnsi="Times New Roman" w:cs="Times New Roman"/>
          <w:sz w:val="20"/>
          <w:szCs w:val="20"/>
        </w:rPr>
        <w:t>Simulation outputs were checked for normal termination, file availability and successful parsing of the target-vapour loading. The extracted labels were aligned to the curated structure table by MOF identifier and stored as mass-normalized absolute uptake in mol kg⁻¹. The final aligned dataset contained complete CEES, DMMP and EtCl labels for all 7,532 curated MOFs.</w:t>
      </w:r>
    </w:p>
    <w:p>
      <w:pPr>
        <w:rPr>
          <w:rFonts w:ascii="Times New Roman" w:hAnsi="Times New Roman" w:cs="Times New Roman"/>
          <w:b/>
          <w:bCs/>
        </w:rPr>
      </w:pPr>
      <w:r>
        <w:rPr>
          <w:rFonts w:ascii="Times New Roman" w:hAnsi="Times New Roman" w:cs="Times New Roman"/>
          <w:b/>
          <w:bCs/>
        </w:rPr>
        <w:br w:type="page"/>
      </w:r>
    </w:p>
    <w:p>
      <w:pPr>
        <w:pStyle w:val="2"/>
        <w:spacing w:before="0" w:after="0"/>
        <w:rPr>
          <w:rFonts w:ascii="Times New Roman" w:hAnsi="Times New Roman" w:cs="Times New Roman"/>
          <w:color w:val="auto"/>
          <w:sz w:val="28"/>
          <w:szCs w:val="28"/>
        </w:rPr>
      </w:pPr>
      <w:r>
        <w:rPr>
          <w:rFonts w:ascii="Times New Roman" w:hAnsi="Times New Roman" w:cs="Times New Roman"/>
          <w:b/>
          <w:bCs/>
          <w:color w:val="auto"/>
          <w:sz w:val="28"/>
          <w:szCs w:val="28"/>
        </w:rPr>
        <w:t>Supplementary Note 3 — Single-vapour statistics and oracle Pareto definitions</w:t>
      </w:r>
    </w:p>
    <w:p>
      <w:pPr>
        <w:rPr>
          <w:rFonts w:ascii="Times New Roman" w:hAnsi="Times New Roman" w:cs="Times New Roman"/>
          <w:b/>
          <w:bCs/>
          <w:sz w:val="22"/>
        </w:rPr>
      </w:pPr>
    </w:p>
    <w:p>
      <w:pPr>
        <w:rPr>
          <w:rFonts w:ascii="Times New Roman" w:hAnsi="Times New Roman" w:cs="Times New Roman"/>
          <w:b/>
          <w:bCs/>
          <w:sz w:val="22"/>
        </w:rPr>
      </w:pPr>
      <w:r>
        <w:rPr>
          <w:rFonts w:ascii="Times New Roman" w:hAnsi="Times New Roman" w:cs="Times New Roman"/>
          <w:b/>
          <w:bCs/>
          <w:sz w:val="22"/>
        </w:rPr>
        <w:t>S3.1 Full-library multi-objective problem and oracle reference</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 xml:space="preserve">The curated library contained </w:t>
      </w:r>
      <m:oMath>
        <m:r>
          <m:rPr/>
          <w:rPr>
            <w:rFonts w:ascii="Cambria Math" w:hAnsi="Cambria Math" w:cs="Times New Roman"/>
            <w:sz w:val="20"/>
            <w:szCs w:val="20"/>
          </w:rPr>
          <m:t>N=7,532</m:t>
        </m:r>
      </m:oMath>
      <w:r>
        <w:rPr>
          <w:rFonts w:ascii="Times New Roman" w:hAnsi="Times New Roman" w:cs="Times New Roman"/>
          <w:sz w:val="20"/>
          <w:szCs w:val="20"/>
        </w:rPr>
        <w:t xml:space="preserve"> MOFs with complete GCMC-derived adsorption labels for CEES, DMMP and EtCl. We denote the finite candidate library by </w:t>
      </w:r>
      <m:oMath>
        <m:r>
          <m:rPr>
            <m:scr m:val="script"/>
          </m:rPr>
          <w:rPr>
            <w:rFonts w:ascii="Cambria Math" w:hAnsi="Cambria Math" w:eastAsia="MS Mincho" w:cs="Times New Roman"/>
            <w:sz w:val="20"/>
            <w:szCs w:val="20"/>
          </w:rPr>
          <m:t>ℳ</m:t>
        </m:r>
        <m:r>
          <m:rPr/>
          <w:rPr>
            <w:rFonts w:ascii="Cambria Math" w:hAnsi="Cambria Math" w:cs="Times New Roman"/>
            <w:sz w:val="20"/>
            <w:szCs w:val="20"/>
          </w:rPr>
          <m:t>={1,…,N}</m:t>
        </m:r>
      </m:oMath>
      <w:r>
        <w:rPr>
          <w:rFonts w:ascii="Times New Roman" w:hAnsi="Times New Roman" w:cs="Times New Roman"/>
          <w:sz w:val="20"/>
          <w:szCs w:val="20"/>
        </w:rPr>
        <w:t xml:space="preserve">. For each MOF </w:t>
      </w:r>
      <m:oMath>
        <m:r>
          <m:rPr/>
          <w:rPr>
            <w:rFonts w:ascii="Cambria Math" w:hAnsi="Cambria Math" w:cs="Times New Roman"/>
            <w:sz w:val="20"/>
            <w:szCs w:val="20"/>
          </w:rPr>
          <m:t>i</m:t>
        </m:r>
        <m:r>
          <m:rPr>
            <m:scr m:val="script"/>
          </m:rPr>
          <w:rPr>
            <w:rFonts w:ascii="Cambria Math" w:hAnsi="Cambria Math" w:eastAsia="MS Mincho" w:cs="Times New Roman"/>
            <w:sz w:val="20"/>
            <w:szCs w:val="20"/>
          </w:rPr>
          <m:t>∈ℳ</m:t>
        </m:r>
      </m:oMath>
      <w:r>
        <w:rPr>
          <w:rFonts w:ascii="Times New Roman" w:hAnsi="Times New Roman" w:cs="Times New Roman"/>
          <w:sz w:val="20"/>
          <w:szCs w:val="20"/>
        </w:rPr>
        <w:t xml:space="preserve">, the three-objective adsorption vector was defined as </w:t>
      </w:r>
      <m:oMath>
        <m:sSub>
          <m:sSubPr>
            <m:ctrlPr>
              <w:rPr>
                <w:rFonts w:ascii="Cambria Math" w:hAnsi="Cambria Math" w:cs="Times New Roman"/>
                <w:sz w:val="20"/>
                <w:szCs w:val="20"/>
              </w:rPr>
            </m:ctrlPr>
          </m:sSubPr>
          <m:e>
            <m:r>
              <m:rPr>
                <m:sty m:val="p"/>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r>
              <m:rPr>
                <m:sty m:val="p"/>
              </m:rPr>
              <w:rPr>
                <w:rFonts w:ascii="Cambria Math" w:hAnsi="Cambria Math" w:cs="Times New Roman"/>
                <w:sz w:val="20"/>
                <w:szCs w:val="20"/>
              </w:rPr>
              <m:t>CEES</m:t>
            </m:r>
            <m:ctrlPr>
              <w:rPr>
                <w:rFonts w:ascii="Cambria Math" w:hAnsi="Cambria Math" w:cs="Times New Roman"/>
                <w:sz w:val="20"/>
                <w:szCs w:val="20"/>
              </w:rPr>
            </m:ctrlPr>
          </m:sup>
        </m:sSubSup>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r>
              <m:rPr>
                <m:sty m:val="p"/>
              </m:rPr>
              <w:rPr>
                <w:rFonts w:ascii="Cambria Math" w:hAnsi="Cambria Math" w:cs="Times New Roman"/>
                <w:sz w:val="20"/>
                <w:szCs w:val="20"/>
              </w:rPr>
              <m:t>DMMP</m:t>
            </m:r>
            <m:ctrlPr>
              <w:rPr>
                <w:rFonts w:ascii="Cambria Math" w:hAnsi="Cambria Math" w:cs="Times New Roman"/>
                <w:sz w:val="20"/>
                <w:szCs w:val="20"/>
              </w:rPr>
            </m:ctrlPr>
          </m:sup>
        </m:sSubSup>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r>
              <m:rPr>
                <m:sty m:val="p"/>
              </m:rPr>
              <w:rPr>
                <w:rFonts w:ascii="Cambria Math" w:hAnsi="Cambria Math" w:cs="Times New Roman"/>
                <w:sz w:val="20"/>
                <w:szCs w:val="20"/>
              </w:rPr>
              <m:t>EtCl</m:t>
            </m:r>
            <m:ctrlPr>
              <w:rPr>
                <w:rFonts w:ascii="Cambria Math" w:hAnsi="Cambria Math" w:cs="Times New Roman"/>
                <w:sz w:val="20"/>
                <w:szCs w:val="20"/>
              </w:rPr>
            </m:ctrlPr>
          </m:sup>
        </m:sSubSup>
        <m:r>
          <m:rPr/>
          <w:rPr>
            <w:rFonts w:ascii="Cambria Math" w:hAnsi="Cambria Math" w:cs="Times New Roman"/>
            <w:sz w:val="20"/>
            <w:szCs w:val="20"/>
          </w:rPr>
          <m:t>)</m:t>
        </m:r>
      </m:oMath>
      <w:r>
        <w:rPr>
          <w:rFonts w:ascii="Times New Roman" w:hAnsi="Times New Roman" w:cs="Times New Roman"/>
          <w:sz w:val="20"/>
          <w:szCs w:val="20"/>
        </w:rPr>
        <w:t>. All three objectives were maximized. No weighted scalarization was used to determine Pareto membership because such a transformation would impose a predefined trade-off among CEES, DMMP and EtCl uptake.</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 xml:space="preserve">The complete </w:t>
      </w:r>
      <m:oMath>
        <m:r>
          <m:rPr/>
          <w:rPr>
            <w:rFonts w:ascii="Cambria Math" w:hAnsi="Cambria Math" w:cs="Times New Roman"/>
            <w:sz w:val="20"/>
            <w:szCs w:val="20"/>
          </w:rPr>
          <m:t>7,532×3</m:t>
        </m:r>
      </m:oMath>
      <w:r>
        <w:rPr>
          <w:rFonts w:ascii="Times New Roman" w:hAnsi="Times New Roman" w:cs="Times New Roman"/>
          <w:sz w:val="20"/>
          <w:szCs w:val="20"/>
        </w:rPr>
        <w:t>adsorption-label table was treated as the full-library oracle. It was used to define the target-specific rankings, oracle Pareto set and oracle Pareto layers reported in the dataset-level analysis. During retrospective Bayesian-optimization runs, candidate-specific objective values were revealed only for the initially evaluated and subsequently queried MOFs.</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non-dominated subset of the materials evaluated at a given optimization round therefore formed a current, budget-dependent Pareto approximation. In contrast, the Pareto set computed from all 7,532 labelled MOFs was fixed and served as the oracle reference for evaluating discovery performance.</w:t>
      </w:r>
    </w:p>
    <w:p>
      <w:pPr>
        <w:spacing w:line="276" w:lineRule="auto"/>
        <w:ind w:firstLine="420"/>
        <w:rPr>
          <w:rFonts w:ascii="Times New Roman" w:hAnsi="Times New Roman" w:cs="Times New Roman"/>
          <w:sz w:val="20"/>
          <w:szCs w:val="20"/>
        </w:rPr>
      </w:pPr>
    </w:p>
    <w:p>
      <w:pPr>
        <w:rPr>
          <w:rFonts w:ascii="Times New Roman" w:hAnsi="Times New Roman" w:cs="Times New Roman"/>
          <w:b/>
          <w:bCs/>
          <w:sz w:val="22"/>
        </w:rPr>
      </w:pPr>
      <w:r>
        <w:rPr>
          <w:rFonts w:ascii="Times New Roman" w:hAnsi="Times New Roman" w:cs="Times New Roman"/>
          <w:b/>
          <w:bCs/>
          <w:sz w:val="22"/>
        </w:rPr>
        <w:t>S3.2 Pareto dominance, Pareto front and non-dominated layers</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For two MOFs </w:t>
      </w:r>
      <m:oMath>
        <m:r>
          <m:rPr/>
          <w:rPr>
            <w:rFonts w:ascii="Cambria Math" w:hAnsi="Cambria Math" w:cs="Times New Roman"/>
            <w:sz w:val="20"/>
            <w:szCs w:val="20"/>
          </w:rPr>
          <m:t>i,j</m:t>
        </m:r>
        <m:r>
          <m:rPr>
            <m:scr m:val="script"/>
          </m:rPr>
          <w:rPr>
            <w:rFonts w:ascii="Cambria Math" w:hAnsi="Cambria Math" w:eastAsia="MS Mincho" w:cs="Times New Roman"/>
            <w:sz w:val="20"/>
            <w:szCs w:val="20"/>
          </w:rPr>
          <m:t>∈ℳ</m:t>
        </m:r>
      </m:oMath>
      <w:r>
        <w:rPr>
          <w:rFonts w:ascii="Times New Roman" w:hAnsi="Times New Roman" w:cs="Times New Roman"/>
          <w:sz w:val="20"/>
          <w:szCs w:val="20"/>
        </w:rPr>
        <w:t xml:space="preserve">, MOF </w:t>
      </w:r>
      <m:oMath>
        <m:r>
          <m:rPr/>
          <w:rPr>
            <w:rFonts w:ascii="Cambria Math" w:hAnsi="Cambria Math" w:cs="Times New Roman"/>
            <w:sz w:val="20"/>
            <w:szCs w:val="20"/>
          </w:rPr>
          <m:t>i</m:t>
        </m:r>
      </m:oMath>
      <w:r>
        <w:rPr>
          <w:rFonts w:ascii="Times New Roman" w:hAnsi="Times New Roman" w:cs="Times New Roman"/>
          <w:sz w:val="20"/>
          <w:szCs w:val="20"/>
        </w:rPr>
        <w:t xml:space="preserve">was defined to Pareto-dominate MOF </w:t>
      </w:r>
      <m:oMath>
        <m:r>
          <m:rPr/>
          <w:rPr>
            <w:rFonts w:ascii="Cambria Math" w:hAnsi="Cambria Math" w:cs="Times New Roman"/>
            <w:sz w:val="20"/>
            <w:szCs w:val="20"/>
          </w:rPr>
          <m:t>j</m:t>
        </m:r>
      </m:oMath>
      <w:r>
        <w:rPr>
          <w:rFonts w:ascii="Times New Roman" w:hAnsi="Times New Roman" w:cs="Times New Roman"/>
          <w:sz w:val="20"/>
          <w:szCs w:val="20"/>
        </w:rPr>
        <w:t xml:space="preserve">, denoted </w:t>
      </w:r>
      <m:oMath>
        <m:r>
          <m:rPr/>
          <w:rPr>
            <w:rFonts w:ascii="Cambria Math" w:hAnsi="Cambria Math" w:cs="Times New Roman"/>
            <w:sz w:val="20"/>
            <w:szCs w:val="20"/>
          </w:rPr>
          <m:t>i≻j</m:t>
        </m:r>
      </m:oMath>
      <w:r>
        <w:rPr>
          <w:rFonts w:ascii="Times New Roman" w:hAnsi="Times New Roman" w:cs="Times New Roman"/>
          <w:sz w:val="20"/>
          <w:szCs w:val="20"/>
        </w:rPr>
        <w:t xml:space="preserve">, when </w:t>
      </w:r>
      <m:oMath>
        <m:r>
          <m:rPr/>
          <w:rPr>
            <w:rFonts w:ascii="Cambria Math" w:hAnsi="Cambria Math" w:cs="Times New Roman"/>
            <w:sz w:val="20"/>
            <w:szCs w:val="20"/>
          </w:rPr>
          <m:t>i</m:t>
        </m:r>
      </m:oMath>
      <w:r>
        <w:rPr>
          <w:rFonts w:ascii="Times New Roman" w:hAnsi="Times New Roman" w:cs="Times New Roman"/>
          <w:sz w:val="20"/>
          <w:szCs w:val="20"/>
        </w:rPr>
        <w:t xml:space="preserve">was no worse than </w:t>
      </w:r>
      <m:oMath>
        <m:r>
          <m:rPr/>
          <w:rPr>
            <w:rFonts w:ascii="Cambria Math" w:hAnsi="Cambria Math" w:cs="Times New Roman"/>
            <w:sz w:val="20"/>
            <w:szCs w:val="20"/>
          </w:rPr>
          <m:t>j</m:t>
        </m:r>
      </m:oMath>
      <w:r>
        <w:rPr>
          <w:rFonts w:ascii="Times New Roman" w:hAnsi="Times New Roman" w:cs="Times New Roman"/>
          <w:sz w:val="20"/>
          <w:szCs w:val="20"/>
        </w:rPr>
        <w:t>for every adsorption objective and strictly better for at least one objective:</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r>
          <m:rPr/>
          <w:rPr>
            <w:rFonts w:ascii="Cambria Math" w:hAnsi="Cambria Math" w:cs="Times New Roman"/>
            <w:sz w:val="20"/>
            <w:szCs w:val="20"/>
          </w:rPr>
          <m:t>i≻j⟺</m:t>
        </m:r>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k</m:t>
                </m:r>
                <m:ctrlPr>
                  <w:rPr>
                    <w:rFonts w:ascii="Cambria Math" w:hAnsi="Cambria Math" w:cs="Times New Roman"/>
                    <w:sz w:val="20"/>
                    <w:szCs w:val="20"/>
                  </w:rPr>
                </m:ctrlPr>
              </m:e>
            </m:d>
            <m:ctrlPr>
              <w:rPr>
                <w:rFonts w:ascii="Cambria Math" w:hAnsi="Cambria Math" w:cs="Times New Roman"/>
                <w:sz w:val="20"/>
                <w:szCs w:val="20"/>
              </w:rPr>
            </m:ctrlPr>
          </m:sup>
        </m:sSubSup>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k</m:t>
                </m:r>
                <m:ctrlPr>
                  <w:rPr>
                    <w:rFonts w:ascii="Cambria Math" w:hAnsi="Cambria Math" w:cs="Times New Roman"/>
                    <w:sz w:val="20"/>
                    <w:szCs w:val="20"/>
                  </w:rPr>
                </m:ctrlPr>
              </m:e>
            </m:d>
            <m:ctrlPr>
              <w:rPr>
                <w:rFonts w:ascii="Cambria Math" w:hAnsi="Cambria Math" w:cs="Times New Roman"/>
                <w:sz w:val="20"/>
                <w:szCs w:val="20"/>
              </w:rPr>
            </m:ctrlPr>
          </m:sup>
        </m:sSubSup>
        <m:r>
          <m:rPr>
            <m:nor/>
            <m:sty m:val="p"/>
          </m:rPr>
          <w:rPr>
            <w:rFonts w:ascii="Times New Roman" w:hAnsi="Times New Roman" w:cs="Times New Roman"/>
            <w:sz w:val="20"/>
            <w:szCs w:val="20"/>
          </w:rPr>
          <m:t xml:space="preserve">for all </m:t>
        </m:r>
        <m:r>
          <m:rPr/>
          <w:rPr>
            <w:rFonts w:ascii="Cambria Math" w:hAnsi="Cambria Math" w:cs="Times New Roman"/>
            <w:sz w:val="20"/>
            <w:szCs w:val="20"/>
          </w:rPr>
          <m:t>k∈</m:t>
        </m:r>
        <m:r>
          <m:rPr>
            <m:scr m:val="script"/>
          </m:rPr>
          <w:rPr>
            <w:rFonts w:ascii="Cambria Math" w:hAnsi="Cambria Math" w:eastAsia="MS Mincho" w:cs="Times New Roman"/>
            <w:sz w:val="20"/>
            <w:szCs w:val="20"/>
          </w:rPr>
          <m:t>K,</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(4)</w:t>
      </w:r>
    </w:p>
    <w:p>
      <w:pPr>
        <w:rPr>
          <w:rFonts w:ascii="Times New Roman" w:hAnsi="Times New Roman" w:cs="Times New Roman"/>
          <w:sz w:val="20"/>
          <w:szCs w:val="20"/>
        </w:rPr>
      </w:pPr>
      <w:r>
        <w:rPr>
          <w:rFonts w:ascii="Times New Roman" w:hAnsi="Times New Roman" w:cs="Times New Roman"/>
          <w:sz w:val="20"/>
          <w:szCs w:val="20"/>
        </w:rPr>
        <w:t>and</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k</m:t>
                </m:r>
                <m:ctrlPr>
                  <w:rPr>
                    <w:rFonts w:ascii="Cambria Math" w:hAnsi="Cambria Math" w:cs="Times New Roman"/>
                    <w:sz w:val="20"/>
                    <w:szCs w:val="20"/>
                  </w:rPr>
                </m:ctrlPr>
              </m:e>
            </m:d>
            <m:ctrlPr>
              <w:rPr>
                <w:rFonts w:ascii="Cambria Math" w:hAnsi="Cambria Math" w:cs="Times New Roman"/>
                <w:sz w:val="20"/>
                <w:szCs w:val="20"/>
              </w:rPr>
            </m:ctrlPr>
          </m:sup>
        </m:sSubSup>
        <m:r>
          <m:rPr/>
          <w:rPr>
            <w:rFonts w:ascii="Cambria Math" w:hAnsi="Cambria Math" w:cs="Times New Roman"/>
            <w:sz w:val="20"/>
            <w:szCs w:val="20"/>
          </w:rPr>
          <m:t>&gt;</m:t>
        </m:r>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k</m:t>
                </m:r>
                <m:ctrlPr>
                  <w:rPr>
                    <w:rFonts w:ascii="Cambria Math" w:hAnsi="Cambria Math" w:cs="Times New Roman"/>
                    <w:sz w:val="20"/>
                    <w:szCs w:val="20"/>
                  </w:rPr>
                </m:ctrlPr>
              </m:e>
            </m:d>
            <m:ctrlPr>
              <w:rPr>
                <w:rFonts w:ascii="Cambria Math" w:hAnsi="Cambria Math" w:cs="Times New Roman"/>
                <w:sz w:val="20"/>
                <w:szCs w:val="20"/>
              </w:rPr>
            </m:ctrlPr>
          </m:sup>
        </m:sSubSup>
        <m:r>
          <m:rPr>
            <m:nor/>
            <m:sty m:val="p"/>
          </m:rPr>
          <w:rPr>
            <w:rFonts w:ascii="Times New Roman" w:hAnsi="Times New Roman" w:cs="Times New Roman"/>
            <w:sz w:val="20"/>
            <w:szCs w:val="20"/>
          </w:rPr>
          <m:t xml:space="preserve">for at least one </m:t>
        </m:r>
        <m:r>
          <m:rPr/>
          <w:rPr>
            <w:rFonts w:ascii="Cambria Math" w:hAnsi="Cambria Math" w:cs="Times New Roman"/>
            <w:sz w:val="20"/>
            <w:szCs w:val="20"/>
          </w:rPr>
          <m:t>k∈</m:t>
        </m:r>
        <m:r>
          <m:rPr>
            <m:scr m:val="script"/>
          </m:rPr>
          <w:rPr>
            <w:rFonts w:ascii="Cambria Math" w:hAnsi="Cambria Math" w:eastAsia="MS Mincho" w:cs="Times New Roman"/>
            <w:sz w:val="20"/>
            <w:szCs w:val="20"/>
          </w:rPr>
          <m:t>K,</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(5)</w:t>
      </w:r>
    </w:p>
    <w:p>
      <w:pPr>
        <w:rPr>
          <w:rFonts w:ascii="Times New Roman" w:hAnsi="Times New Roman" w:cs="Times New Roman"/>
          <w:sz w:val="20"/>
          <w:szCs w:val="20"/>
        </w:rPr>
      </w:pPr>
      <w:r>
        <w:rPr>
          <w:rFonts w:ascii="Times New Roman" w:hAnsi="Times New Roman" w:cs="Times New Roman"/>
          <w:sz w:val="20"/>
          <w:szCs w:val="20"/>
        </w:rPr>
        <w:t>where</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r>
          <m:rPr>
            <m:scr m:val="script"/>
          </m:rPr>
          <w:rPr>
            <w:rFonts w:ascii="Cambria Math" w:hAnsi="Cambria Math" w:eastAsia="MS Mincho" w:cs="Times New Roman"/>
            <w:sz w:val="20"/>
            <w:szCs w:val="20"/>
          </w:rPr>
          <m:t>K={</m:t>
        </m:r>
        <m:phant>
          <m:phantPr>
            <m:ctrlPr>
              <w:rPr>
                <w:rFonts w:ascii="Cambria Math" w:hAnsi="Cambria Math" w:cs="Times New Roman"/>
                <w:sz w:val="20"/>
                <w:szCs w:val="20"/>
              </w:rPr>
            </m:ctrlPr>
          </m:phantPr>
          <m:e>
            <m:r>
              <m:rPr>
                <m:sty m:val="p"/>
              </m:rPr>
              <w:rPr>
                <w:rFonts w:ascii="Cambria Math" w:hAnsi="Cambria Math" w:cs="Times New Roman"/>
                <w:sz w:val="20"/>
                <w:szCs w:val="20"/>
              </w:rPr>
              <m:t>CEES</m:t>
            </m:r>
            <m:ctrlPr>
              <w:rPr>
                <w:rFonts w:ascii="Cambria Math" w:hAnsi="Cambria Math" w:cs="Times New Roman"/>
                <w:sz w:val="20"/>
                <w:szCs w:val="20"/>
              </w:rPr>
            </m:ctrlPr>
          </m:e>
        </m:phant>
        <m:r>
          <m:rPr/>
          <w:rPr>
            <w:rFonts w:ascii="Cambria Math" w:hAnsi="Cambria Math" w:cs="Times New Roman"/>
            <w:sz w:val="20"/>
            <w:szCs w:val="20"/>
          </w:rPr>
          <m:t>,</m:t>
        </m:r>
        <m:phant>
          <m:phantPr>
            <m:ctrlPr>
              <w:rPr>
                <w:rFonts w:ascii="Cambria Math" w:hAnsi="Cambria Math" w:cs="Times New Roman"/>
                <w:sz w:val="20"/>
                <w:szCs w:val="20"/>
              </w:rPr>
            </m:ctrlPr>
          </m:phantPr>
          <m:e>
            <m:r>
              <m:rPr>
                <m:sty m:val="p"/>
              </m:rPr>
              <w:rPr>
                <w:rFonts w:ascii="Cambria Math" w:hAnsi="Cambria Math" w:cs="Times New Roman"/>
                <w:sz w:val="20"/>
                <w:szCs w:val="20"/>
              </w:rPr>
              <m:t>DMMP</m:t>
            </m:r>
            <m:ctrlPr>
              <w:rPr>
                <w:rFonts w:ascii="Cambria Math" w:hAnsi="Cambria Math" w:cs="Times New Roman"/>
                <w:sz w:val="20"/>
                <w:szCs w:val="20"/>
              </w:rPr>
            </m:ctrlPr>
          </m:e>
        </m:phant>
        <m:r>
          <m:rPr/>
          <w:rPr>
            <w:rFonts w:ascii="Cambria Math" w:hAnsi="Cambria Math" w:cs="Times New Roman"/>
            <w:sz w:val="20"/>
            <w:szCs w:val="20"/>
          </w:rPr>
          <m:t>,</m:t>
        </m:r>
        <m:phant>
          <m:phantPr>
            <m:ctrlPr>
              <w:rPr>
                <w:rFonts w:ascii="Cambria Math" w:hAnsi="Cambria Math" w:cs="Times New Roman"/>
                <w:sz w:val="20"/>
                <w:szCs w:val="20"/>
              </w:rPr>
            </m:ctrlPr>
          </m:phantPr>
          <m:e>
            <m:r>
              <m:rPr>
                <m:sty m:val="p"/>
              </m:rPr>
              <w:rPr>
                <w:rFonts w:ascii="Cambria Math" w:hAnsi="Cambria Math" w:cs="Times New Roman"/>
                <w:sz w:val="20"/>
                <w:szCs w:val="20"/>
              </w:rPr>
              <m:t>EtCl</m:t>
            </m:r>
            <m:ctrlPr>
              <w:rPr>
                <w:rFonts w:ascii="Cambria Math" w:hAnsi="Cambria Math" w:cs="Times New Roman"/>
                <w:sz w:val="20"/>
                <w:szCs w:val="20"/>
              </w:rPr>
            </m:ctrlPr>
          </m:e>
        </m:phant>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(6)</w:t>
      </w:r>
    </w:p>
    <w:p>
      <w:pPr>
        <w:rPr>
          <w:rFonts w:ascii="Times New Roman" w:hAnsi="Times New Roman" w:cs="Times New Roman"/>
          <w:sz w:val="20"/>
          <w:szCs w:val="20"/>
        </w:rPr>
      </w:pPr>
      <w:r>
        <w:rPr>
          <w:rFonts w:ascii="Times New Roman" w:hAnsi="Times New Roman" w:cs="Times New Roman"/>
          <w:sz w:val="20"/>
          <w:szCs w:val="20"/>
        </w:rPr>
        <w:t>The strict oracle Pareto set was defined as the set of materials that were not dominated by any other MOF in the complete library:</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1</m:t>
            </m:r>
            <m:ctrlPr>
              <w:rPr>
                <w:rFonts w:ascii="Cambria Math" w:hAnsi="Cambria Math" w:cs="Times New Roman"/>
                <w:sz w:val="20"/>
                <w:szCs w:val="20"/>
              </w:rPr>
            </m:ctrlPr>
          </m:sub>
        </m:sSub>
        <m:r>
          <m:rPr/>
          <w:rPr>
            <w:rFonts w:ascii="Cambria Math" w:hAnsi="Cambria Math" w:cs="Times New Roman"/>
            <w:sz w:val="20"/>
            <w:szCs w:val="20"/>
          </w:rPr>
          <m:t>=</m:t>
        </m:r>
        <m:d>
          <m:dPr>
            <m:begChr m:val="{"/>
            <m:endChr m:val="}"/>
            <m:ctrlPr>
              <w:rPr>
                <w:rFonts w:ascii="Cambria Math" w:hAnsi="Cambria Math" w:cs="Times New Roman"/>
                <w:sz w:val="20"/>
                <w:szCs w:val="20"/>
              </w:rPr>
            </m:ctrlPr>
          </m:dPr>
          <m:e>
            <m:r>
              <m:rPr/>
              <w:rPr>
                <w:rFonts w:ascii="Cambria Math" w:hAnsi="Cambria Math" w:cs="Times New Roman"/>
                <w:sz w:val="20"/>
                <w:szCs w:val="20"/>
              </w:rPr>
              <m:t>i</m:t>
            </m:r>
            <m:r>
              <m:rPr>
                <m:scr m:val="script"/>
              </m:rPr>
              <w:rPr>
                <w:rFonts w:ascii="Cambria Math" w:hAnsi="Cambria Math" w:eastAsia="MS Mincho" w:cs="Times New Roman"/>
                <w:sz w:val="20"/>
                <w:szCs w:val="20"/>
              </w:rPr>
              <m:t>∈ℳ:∄</m:t>
            </m:r>
            <m:r>
              <m:rPr/>
              <w:rPr>
                <w:rFonts w:ascii="Cambria Math" w:hAnsi="Cambria Math" w:cs="Times New Roman"/>
                <w:sz w:val="20"/>
                <w:szCs w:val="20"/>
              </w:rPr>
              <m:t>j</m:t>
            </m:r>
            <m:r>
              <m:rPr>
                <m:scr m:val="script"/>
              </m:rPr>
              <w:rPr>
                <w:rFonts w:ascii="Cambria Math" w:hAnsi="Cambria Math" w:eastAsia="MS Mincho" w:cs="Times New Roman"/>
                <w:sz w:val="20"/>
                <w:szCs w:val="20"/>
              </w:rPr>
              <m:t>∈ℳ∖{</m:t>
            </m:r>
            <m:r>
              <m:rPr/>
              <w:rPr>
                <w:rFonts w:ascii="Cambria Math" w:hAnsi="Cambria Math" w:cs="Times New Roman"/>
                <w:sz w:val="20"/>
                <w:szCs w:val="20"/>
              </w:rPr>
              <m:t>i}</m:t>
            </m:r>
            <m:r>
              <m:rPr>
                <m:sty m:val="p"/>
              </m:rPr>
              <w:rPr>
                <w:rFonts w:ascii="Cambria Math" w:hAnsi="Cambria Math" w:cs="Times New Roman"/>
                <w:sz w:val="20"/>
                <w:szCs w:val="20"/>
              </w:rPr>
              <m:t xml:space="preserve"> such that </m:t>
            </m:r>
            <m:r>
              <m:rPr/>
              <w:rPr>
                <w:rFonts w:ascii="Cambria Math" w:hAnsi="Cambria Math" w:cs="Times New Roman"/>
                <w:sz w:val="20"/>
                <w:szCs w:val="20"/>
              </w:rPr>
              <m:t>j≻i</m:t>
            </m:r>
            <m:ctrlPr>
              <w:rPr>
                <w:rFonts w:ascii="Cambria Math" w:hAnsi="Cambria Math" w:cs="Times New Roman"/>
                <w:sz w:val="20"/>
                <w:szCs w:val="20"/>
              </w:rPr>
            </m:ctrlPr>
          </m:e>
        </m:d>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(7)</w:t>
      </w:r>
    </w:p>
    <w:p>
      <w:pPr>
        <w:rPr>
          <w:rFonts w:ascii="Times New Roman" w:hAnsi="Times New Roman" w:cs="Times New Roman"/>
          <w:sz w:val="20"/>
          <w:szCs w:val="20"/>
        </w:rPr>
      </w:pPr>
      <w:r>
        <w:rPr>
          <w:rFonts w:ascii="Times New Roman" w:hAnsi="Times New Roman" w:cs="Times New Roman"/>
          <w:sz w:val="20"/>
          <w:szCs w:val="20"/>
        </w:rPr>
        <w:t>The corresponding objective vectors formed the strict oracle Pareto front:</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ℱ</m:t>
            </m:r>
            <m:ctrlPr>
              <w:rPr>
                <w:rFonts w:ascii="Cambria Math" w:hAnsi="Cambria Math" w:cs="Times New Roman"/>
                <w:sz w:val="20"/>
                <w:szCs w:val="20"/>
              </w:rPr>
            </m:ctrlPr>
          </m:e>
          <m:sub>
            <m:r>
              <m:rPr/>
              <w:rPr>
                <w:rFonts w:ascii="Cambria Math" w:hAnsi="Cambria Math" w:cs="Times New Roman"/>
                <w:sz w:val="20"/>
                <w:szCs w:val="20"/>
              </w:rPr>
              <m:t>1</m:t>
            </m:r>
            <m:ctrlPr>
              <w:rPr>
                <w:rFonts w:ascii="Cambria Math" w:hAnsi="Cambria Math" w:cs="Times New Roman"/>
                <w:sz w:val="20"/>
                <w:szCs w:val="20"/>
              </w:rPr>
            </m:ctrlPr>
          </m:sub>
        </m:sSub>
        <m:r>
          <m:rPr/>
          <w:rPr>
            <w:rFonts w:ascii="Cambria Math" w:hAnsi="Cambria Math" w:cs="Times New Roman"/>
            <w:sz w:val="20"/>
            <w:szCs w:val="20"/>
          </w:rPr>
          <m:t>=</m:t>
        </m:r>
        <m:d>
          <m:dPr>
            <m:begChr m:val="{"/>
            <m:endChr m:val="}"/>
            <m:ctrlPr>
              <w:rPr>
                <w:rFonts w:ascii="Cambria Math" w:hAnsi="Cambria Math" w:cs="Times New Roman"/>
                <w:sz w:val="20"/>
                <w:szCs w:val="20"/>
              </w:rPr>
            </m:ctrlPr>
          </m:dPr>
          <m:e>
            <m:sSub>
              <m:sSubPr>
                <m:ctrlPr>
                  <w:rPr>
                    <w:rFonts w:ascii="Cambria Math" w:hAnsi="Cambria Math" w:cs="Times New Roman"/>
                    <w:sz w:val="20"/>
                    <w:szCs w:val="20"/>
                  </w:rPr>
                </m:ctrlPr>
              </m:sSubPr>
              <m:e>
                <m:r>
                  <m:rPr>
                    <m:sty m:val="b"/>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:i∈</m:t>
            </m:r>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1</m:t>
                </m:r>
                <m:ctrlPr>
                  <w:rPr>
                    <w:rFonts w:ascii="Cambria Math" w:hAnsi="Cambria Math" w:cs="Times New Roman"/>
                    <w:sz w:val="20"/>
                    <w:szCs w:val="20"/>
                  </w:rPr>
                </m:ctrlPr>
              </m:sub>
            </m:sSub>
            <m:ctrlPr>
              <w:rPr>
                <w:rFonts w:ascii="Cambria Math" w:hAnsi="Cambria Math" w:cs="Times New Roman"/>
                <w:sz w:val="20"/>
                <w:szCs w:val="20"/>
              </w:rPr>
            </m:ctrlPr>
          </m:e>
        </m:d>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(8)</w:t>
      </w:r>
    </w:p>
    <w:p>
      <w:pPr>
        <w:rPr>
          <w:rFonts w:ascii="Times New Roman" w:hAnsi="Times New Roman" w:cs="Times New Roman"/>
          <w:sz w:val="20"/>
          <w:szCs w:val="20"/>
        </w:rPr>
      </w:pPr>
      <w:r>
        <w:rPr>
          <w:rFonts w:ascii="Times New Roman" w:hAnsi="Times New Roman" w:cs="Times New Roman"/>
          <w:sz w:val="20"/>
          <w:szCs w:val="20"/>
        </w:rPr>
        <w:t>Thus, the Pareto set refers to the identities of the non-dominated MOFs in the candidate library, whereas the Pareto front refers to their locations in the CEES–DMMP–EtCl objective space. For consistency with the main text, the term strict oracle Pareto front is also used when referring collectively to the corresponding oracle materials. Identical objective vectors did not dominate one another because Pareto dominance required strict improvement in at least one objective.</w:t>
      </w:r>
    </w:p>
    <w:p>
      <w:pPr>
        <w:rPr>
          <w:rFonts w:ascii="Times New Roman" w:hAnsi="Times New Roman" w:cs="Times New Roman"/>
          <w:sz w:val="20"/>
          <w:szCs w:val="20"/>
        </w:rPr>
      </w:pPr>
      <w:r>
        <w:rPr>
          <w:rFonts w:ascii="Times New Roman" w:hAnsi="Times New Roman" w:cs="Times New Roman"/>
          <w:sz w:val="20"/>
          <w:szCs w:val="20"/>
        </w:rPr>
        <w:t>Subsequent Pareto layers were constructed by iterative non-dominated peeling. The initial remaining set was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ℛ</m:t>
            </m:r>
            <m:ctrlPr>
              <w:rPr>
                <w:rFonts w:ascii="Cambria Math" w:hAnsi="Cambria Math" w:cs="Times New Roman"/>
                <w:sz w:val="20"/>
                <w:szCs w:val="20"/>
              </w:rPr>
            </m:ctrlPr>
          </m:e>
          <m:sub>
            <m:r>
              <m:rPr/>
              <w:rPr>
                <w:rFonts w:ascii="Cambria Math" w:hAnsi="Cambria Math" w:cs="Times New Roman"/>
                <w:sz w:val="20"/>
                <w:szCs w:val="20"/>
              </w:rPr>
              <m:t>1</m:t>
            </m:r>
            <m:ctrlPr>
              <w:rPr>
                <w:rFonts w:ascii="Cambria Math" w:hAnsi="Cambria Math" w:cs="Times New Roman"/>
                <w:sz w:val="20"/>
                <w:szCs w:val="20"/>
              </w:rPr>
            </m:ctrlPr>
          </m:sub>
        </m:sSub>
        <m:r>
          <m:rPr>
            <m:scr m:val="script"/>
          </m:rPr>
          <w:rPr>
            <w:rFonts w:ascii="Cambria Math" w:hAnsi="Cambria Math" w:eastAsia="MS Mincho" w:cs="Times New Roman"/>
            <w:sz w:val="20"/>
            <w:szCs w:val="20"/>
          </w:rPr>
          <m:t>=ℳ.</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(9)</w:t>
      </w:r>
    </w:p>
    <w:p>
      <w:pPr>
        <w:rPr>
          <w:rFonts w:ascii="Times New Roman" w:hAnsi="Times New Roman" w:cs="Times New Roman"/>
          <w:sz w:val="20"/>
          <w:szCs w:val="20"/>
        </w:rPr>
      </w:pPr>
      <w:r>
        <w:rPr>
          <w:rFonts w:ascii="Times New Roman" w:hAnsi="Times New Roman" w:cs="Times New Roman"/>
          <w:sz w:val="20"/>
          <w:szCs w:val="20"/>
        </w:rPr>
        <w:t xml:space="preserve">For layer </w:t>
      </w:r>
      <m:oMath>
        <m:r>
          <m:rPr>
            <m:sty m:val="p"/>
            <m:scr m:val="script"/>
          </m:rPr>
          <w:rPr>
            <w:rFonts w:ascii="Cambria Math" w:hAnsi="Cambria Math" w:eastAsia="MS Mincho" w:cs="Times New Roman"/>
            <w:sz w:val="20"/>
            <w:szCs w:val="20"/>
          </w:rPr>
          <m:t>l</m:t>
        </m:r>
      </m:oMath>
      <w:r>
        <w:rPr>
          <w:rFonts w:ascii="Times New Roman" w:hAnsi="Times New Roman" w:cs="Times New Roman"/>
          <w:sz w:val="20"/>
          <w:szCs w:val="20"/>
        </w:rPr>
        <w:t>, the non-dominated materials in the current remaining set were assigned to</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P</m:t>
            </m:r>
            <m:ctrlPr>
              <w:rPr>
                <w:rFonts w:ascii="Cambria Math" w:hAnsi="Cambria Math" w:cs="Times New Roman"/>
                <w:sz w:val="20"/>
                <w:szCs w:val="20"/>
              </w:rPr>
            </m:ctrlPr>
          </m:e>
          <m:sub>
            <m:r>
              <m:rPr>
                <m:scr m:val="script"/>
              </m:rPr>
              <w:rPr>
                <w:rFonts w:ascii="Cambria Math" w:hAnsi="Cambria Math" w:eastAsia="MS Mincho" w:cs="Times New Roman"/>
                <w:sz w:val="20"/>
                <w:szCs w:val="20"/>
              </w:rPr>
              <m:t>l</m:t>
            </m:r>
            <m:ctrlPr>
              <w:rPr>
                <w:rFonts w:ascii="Cambria Math" w:hAnsi="Cambria Math" w:cs="Times New Roman"/>
                <w:sz w:val="20"/>
                <w:szCs w:val="20"/>
              </w:rPr>
            </m:ctrlPr>
          </m:sub>
        </m:sSub>
        <m:r>
          <m:rPr/>
          <w:rPr>
            <w:rFonts w:ascii="Cambria Math" w:hAnsi="Cambria Math" w:cs="Times New Roman"/>
            <w:sz w:val="20"/>
            <w:szCs w:val="20"/>
          </w:rPr>
          <m:t>=</m:t>
        </m:r>
        <m:r>
          <m:rPr>
            <m:sty m:val="p"/>
          </m:rPr>
          <w:rPr>
            <w:rFonts w:ascii="Cambria Math" w:hAnsi="Cambria Math" w:cs="Times New Roman"/>
            <w:sz w:val="20"/>
            <w:szCs w:val="20"/>
          </w:rPr>
          <m:t>ND</m:t>
        </m:r>
        <m:r>
          <m:rPr/>
          <w:rPr>
            <w:rFonts w:ascii="Cambria Math" w:hAnsi="Cambria Math" w:cs="Times New Roman"/>
            <w:sz w:val="20"/>
            <w:szCs w:val="20"/>
          </w:rPr>
          <m:t>⁡</m:t>
        </m:r>
        <m:d>
          <m:dPr>
            <m:ctrlPr>
              <w:rPr>
                <w:rFonts w:ascii="Cambria Math" w:hAnsi="Cambria Math" w:cs="Times New Roman"/>
                <w:sz w:val="20"/>
                <w:szCs w:val="20"/>
              </w:rPr>
            </m:ctrlPr>
          </m:dPr>
          <m:e>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ℛ</m:t>
                </m:r>
                <m:ctrlPr>
                  <w:rPr>
                    <w:rFonts w:ascii="Cambria Math" w:hAnsi="Cambria Math" w:cs="Times New Roman"/>
                    <w:sz w:val="20"/>
                    <w:szCs w:val="20"/>
                  </w:rPr>
                </m:ctrlPr>
              </m:e>
              <m:sub>
                <m:r>
                  <m:rPr>
                    <m:scr m:val="script"/>
                  </m:rPr>
                  <w:rPr>
                    <w:rFonts w:ascii="Cambria Math" w:hAnsi="Cambria Math" w:eastAsia="MS Mincho" w:cs="Times New Roman"/>
                    <w:sz w:val="20"/>
                    <w:szCs w:val="20"/>
                  </w:rPr>
                  <m:t>l</m:t>
                </m:r>
                <m:ctrlPr>
                  <w:rPr>
                    <w:rFonts w:ascii="Cambria Math" w:hAnsi="Cambria Math" w:cs="Times New Roman"/>
                    <w:sz w:val="20"/>
                    <w:szCs w:val="20"/>
                  </w:rPr>
                </m:ctrlPr>
              </m:sub>
            </m:sSub>
            <m:ctrlPr>
              <w:rPr>
                <w:rFonts w:ascii="Cambria Math" w:hAnsi="Cambria Math" w:cs="Times New Roman"/>
                <w:sz w:val="20"/>
                <w:szCs w:val="20"/>
              </w:rPr>
            </m:ctrlPr>
          </m:e>
        </m:d>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(10)</w:t>
      </w:r>
    </w:p>
    <w:p>
      <w:pPr>
        <w:rPr>
          <w:rFonts w:ascii="Times New Roman" w:hAnsi="Times New Roman" w:cs="Times New Roman"/>
          <w:sz w:val="20"/>
          <w:szCs w:val="20"/>
        </w:rPr>
      </w:pPr>
      <w:r>
        <w:rPr>
          <w:rFonts w:ascii="Times New Roman" w:hAnsi="Times New Roman" w:cs="Times New Roman"/>
          <w:sz w:val="20"/>
          <w:szCs w:val="20"/>
        </w:rPr>
        <w:t xml:space="preserve">where </w:t>
      </w:r>
      <m:oMath>
        <m:r>
          <m:rPr>
            <m:sty m:val="p"/>
          </m:rPr>
          <w:rPr>
            <w:rFonts w:ascii="Cambria Math" w:hAnsi="Cambria Math" w:cs="Times New Roman"/>
            <w:sz w:val="20"/>
            <w:szCs w:val="20"/>
          </w:rPr>
          <m:t>ND</m:t>
        </m:r>
        <m:r>
          <m:rPr/>
          <w:rPr>
            <w:rFonts w:ascii="Cambria Math" w:hAnsi="Cambria Math" w:cs="Times New Roman"/>
            <w:sz w:val="20"/>
            <w:szCs w:val="20"/>
          </w:rPr>
          <m:t>⁡(⋅)</m:t>
        </m:r>
      </m:oMath>
      <w:r>
        <w:rPr>
          <w:rFonts w:ascii="Times New Roman" w:hAnsi="Times New Roman" w:cs="Times New Roman"/>
          <w:sz w:val="20"/>
          <w:szCs w:val="20"/>
        </w:rPr>
        <w:t>denotes the non-dominated subset. These materials were then removed before calculating the next layer:</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ℛ</m:t>
            </m:r>
            <m:ctrlPr>
              <w:rPr>
                <w:rFonts w:ascii="Cambria Math" w:hAnsi="Cambria Math" w:cs="Times New Roman"/>
                <w:sz w:val="20"/>
                <w:szCs w:val="20"/>
              </w:rPr>
            </m:ctrlPr>
          </m:e>
          <m:sub>
            <m:r>
              <m:rPr>
                <m:scr m:val="script"/>
              </m:rPr>
              <w:rPr>
                <w:rFonts w:ascii="Cambria Math" w:hAnsi="Cambria Math" w:eastAsia="MS Mincho" w:cs="Times New Roman"/>
                <w:sz w:val="20"/>
                <w:szCs w:val="20"/>
              </w:rPr>
              <m:t>l+</m:t>
            </m:r>
            <m:r>
              <m:rPr/>
              <w:rPr>
                <w:rFonts w:ascii="Cambria Math" w:hAnsi="Cambria Math" w:cs="Times New Roman"/>
                <w:sz w:val="20"/>
                <w:szCs w:val="20"/>
              </w:rPr>
              <m:t>1</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ℛ</m:t>
            </m:r>
            <m:ctrlPr>
              <w:rPr>
                <w:rFonts w:ascii="Cambria Math" w:hAnsi="Cambria Math" w:cs="Times New Roman"/>
                <w:sz w:val="20"/>
                <w:szCs w:val="20"/>
              </w:rPr>
            </m:ctrlPr>
          </m:e>
          <m:sub>
            <m:r>
              <m:rPr>
                <m:scr m:val="script"/>
              </m:rPr>
              <w:rPr>
                <w:rFonts w:ascii="Cambria Math" w:hAnsi="Cambria Math" w:eastAsia="MS Mincho" w:cs="Times New Roman"/>
                <w:sz w:val="20"/>
                <w:szCs w:val="20"/>
              </w:rPr>
              <m:t>l</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P</m:t>
            </m:r>
            <m:ctrlPr>
              <w:rPr>
                <w:rFonts w:ascii="Cambria Math" w:hAnsi="Cambria Math" w:cs="Times New Roman"/>
                <w:sz w:val="20"/>
                <w:szCs w:val="20"/>
              </w:rPr>
            </m:ctrlPr>
          </m:e>
          <m:sub>
            <m:r>
              <m:rPr>
                <m:scr m:val="script"/>
              </m:rPr>
              <w:rPr>
                <w:rFonts w:ascii="Cambria Math" w:hAnsi="Cambria Math" w:eastAsia="MS Mincho" w:cs="Times New Roman"/>
                <w:sz w:val="20"/>
                <w:szCs w:val="20"/>
              </w:rPr>
              <m:t>l</m:t>
            </m:r>
            <m:ctrlPr>
              <w:rPr>
                <w:rFonts w:ascii="Cambria Math" w:hAnsi="Cambria Math" w:cs="Times New Roman"/>
                <w:sz w:val="20"/>
                <w:szCs w:val="20"/>
              </w:rPr>
            </m:ctrlPr>
          </m:sub>
        </m:sSub>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(11)</w:t>
      </w:r>
    </w:p>
    <w:p>
      <w:pPr>
        <w:rPr>
          <w:rFonts w:ascii="Times New Roman" w:hAnsi="Times New Roman" w:cs="Times New Roman"/>
          <w:sz w:val="20"/>
          <w:szCs w:val="20"/>
        </w:rPr>
      </w:pPr>
      <w:r>
        <w:rPr>
          <w:rFonts w:ascii="Times New Roman" w:hAnsi="Times New Roman" w:cs="Times New Roman"/>
          <w:sz w:val="20"/>
          <w:szCs w:val="20"/>
        </w:rPr>
        <w:t>The combined top-3 Pareto set was defined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≤3</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1</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2</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3</m:t>
            </m:r>
            <m:ctrlPr>
              <w:rPr>
                <w:rFonts w:ascii="Cambria Math" w:hAnsi="Cambria Math" w:cs="Times New Roman"/>
                <w:sz w:val="20"/>
                <w:szCs w:val="20"/>
              </w:rPr>
            </m:ctrlPr>
          </m:sub>
        </m:sSub>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(12)</w:t>
      </w:r>
    </w:p>
    <w:p>
      <w:pPr>
        <w:rPr>
          <w:rFonts w:ascii="Times New Roman" w:hAnsi="Times New Roman" w:cs="Times New Roman"/>
          <w:sz w:val="20"/>
          <w:szCs w:val="20"/>
        </w:rPr>
      </w:pPr>
      <w:r>
        <w:rPr>
          <w:rFonts w:ascii="Times New Roman" w:hAnsi="Times New Roman" w:cs="Times New Roman"/>
          <w:sz w:val="20"/>
          <w:szCs w:val="20"/>
        </w:rPr>
        <w:t xml:space="preserve">The full-library oracle contained 15 strict Pareto-optimal MOFs in </w:t>
      </w:r>
      <m:oMath>
        <m:sSub>
          <m:sSubPr>
            <m:ctrlPr>
              <w:rPr>
                <w:rFonts w:ascii="Cambria Math" w:hAnsi="Cambria Math" w:cs="Times New Roman"/>
                <w:sz w:val="20"/>
                <w:szCs w:val="20"/>
              </w:rPr>
            </m:ctrlPr>
          </m:sSubPr>
          <m:e>
            <m:r>
              <m:rPr/>
              <w:rPr>
                <w:rFonts w:ascii="Cambria Math" w:hAnsi="Cambria Math"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1</m:t>
            </m:r>
            <m:ctrlPr>
              <w:rPr>
                <w:rFonts w:ascii="Cambria Math" w:hAnsi="Cambria Math" w:cs="Times New Roman"/>
                <w:sz w:val="20"/>
                <w:szCs w:val="20"/>
              </w:rPr>
            </m:ctrlPr>
          </m:sub>
        </m:sSub>
      </m:oMath>
      <w:r>
        <w:rPr>
          <w:rFonts w:ascii="Times New Roman" w:hAnsi="Times New Roman" w:cs="Times New Roman"/>
          <w:sz w:val="20"/>
          <w:szCs w:val="20"/>
        </w:rPr>
        <w:t xml:space="preserve">. Layers </w:t>
      </w:r>
      <m:oMath>
        <m:sSub>
          <m:sSubPr>
            <m:ctrlPr>
              <w:rPr>
                <w:rFonts w:ascii="Cambria Math" w:hAnsi="Cambria Math" w:cs="Times New Roman"/>
                <w:sz w:val="20"/>
                <w:szCs w:val="20"/>
              </w:rPr>
            </m:ctrlPr>
          </m:sSubPr>
          <m:e>
            <m:r>
              <m:rPr/>
              <w:rPr>
                <w:rFonts w:ascii="Cambria Math" w:hAnsi="Cambria Math"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2</m:t>
            </m:r>
            <m:ctrlPr>
              <w:rPr>
                <w:rFonts w:ascii="Cambria Math" w:hAnsi="Cambria Math" w:cs="Times New Roman"/>
                <w:sz w:val="20"/>
                <w:szCs w:val="20"/>
              </w:rPr>
            </m:ctrlPr>
          </m:sub>
        </m:sSub>
      </m:oMath>
      <w:r>
        <w:rPr>
          <w:rFonts w:ascii="Times New Roman" w:hAnsi="Times New Roman" w:cs="Times New Roman"/>
          <w:sz w:val="20"/>
          <w:szCs w:val="20"/>
        </w:rPr>
        <w:t xml:space="preserve">and </w:t>
      </w:r>
      <m:oMath>
        <m:sSub>
          <m:sSubPr>
            <m:ctrlPr>
              <w:rPr>
                <w:rFonts w:ascii="Cambria Math" w:hAnsi="Cambria Math" w:cs="Times New Roman"/>
                <w:sz w:val="20"/>
                <w:szCs w:val="20"/>
              </w:rPr>
            </m:ctrlPr>
          </m:sSubPr>
          <m:e>
            <m:r>
              <m:rPr/>
              <w:rPr>
                <w:rFonts w:ascii="Cambria Math" w:hAnsi="Cambria Math"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3</m:t>
            </m:r>
            <m:ctrlPr>
              <w:rPr>
                <w:rFonts w:ascii="Cambria Math" w:hAnsi="Cambria Math" w:cs="Times New Roman"/>
                <w:sz w:val="20"/>
                <w:szCs w:val="20"/>
              </w:rPr>
            </m:ctrlPr>
          </m:sub>
        </m:sSub>
      </m:oMath>
      <w:r>
        <w:rPr>
          <w:rFonts w:ascii="Times New Roman" w:hAnsi="Times New Roman" w:cs="Times New Roman"/>
          <w:sz w:val="20"/>
          <w:szCs w:val="20"/>
        </w:rPr>
        <w:t xml:space="preserve">contained a further 98 MOFs, giving 113 materials in </w:t>
      </w:r>
      <m:oMath>
        <m:sSub>
          <m:sSubPr>
            <m:ctrlPr>
              <w:rPr>
                <w:rFonts w:ascii="Cambria Math" w:hAnsi="Cambria Math" w:cs="Times New Roman"/>
                <w:sz w:val="20"/>
                <w:szCs w:val="20"/>
              </w:rPr>
            </m:ctrlPr>
          </m:sSubPr>
          <m:e>
            <m:r>
              <m:rPr/>
              <w:rPr>
                <w:rFonts w:ascii="Cambria Math" w:hAnsi="Cambria Math" w:cs="Times New Roman"/>
                <w:sz w:val="20"/>
                <w:szCs w:val="20"/>
              </w:rPr>
              <m:t>P</m:t>
            </m:r>
            <m:ctrlPr>
              <w:rPr>
                <w:rFonts w:ascii="Cambria Math" w:hAnsi="Cambria Math" w:cs="Times New Roman"/>
                <w:sz w:val="20"/>
                <w:szCs w:val="20"/>
              </w:rPr>
            </m:ctrlPr>
          </m:e>
          <m:sub>
            <m:r>
              <m:rPr/>
              <w:rPr>
                <w:rFonts w:ascii="Cambria Math" w:hAnsi="Cambria Math" w:cs="Times New Roman"/>
                <w:sz w:val="20"/>
                <w:szCs w:val="20"/>
              </w:rPr>
              <m:t>≤3</m:t>
            </m:r>
            <m:ctrlPr>
              <w:rPr>
                <w:rFonts w:ascii="Cambria Math" w:hAnsi="Cambria Math" w:cs="Times New Roman"/>
                <w:sz w:val="20"/>
                <w:szCs w:val="20"/>
              </w:rPr>
            </m:ctrlPr>
          </m:sub>
        </m:sSub>
      </m:oMath>
      <w:r>
        <w:rPr>
          <w:rFonts w:ascii="Times New Roman" w:hAnsi="Times New Roman" w:cs="Times New Roman"/>
          <w:sz w:val="20"/>
          <w:szCs w:val="20"/>
        </w:rPr>
        <w:t>. Supplementary Table 7 summarizes these oracle material groups.</w:t>
      </w:r>
    </w:p>
    <w:p>
      <w:pPr>
        <w:pStyle w:val="50"/>
        <w:jc w:val="center"/>
        <w:rPr>
          <w:rFonts w:cs="Times New Roman"/>
        </w:rPr>
      </w:pPr>
      <w:r>
        <w:rPr>
          <w:rFonts w:cs="Times New Roman"/>
          <w:b/>
        </w:rPr>
        <w:t xml:space="preserve">Supplementary Table </w:t>
      </w:r>
      <w:r>
        <w:rPr>
          <w:rFonts w:cs="Times New Roman" w:eastAsiaTheme="minorEastAsia"/>
          <w:b/>
          <w:lang w:eastAsia="zh-CN"/>
        </w:rPr>
        <w:t>7</w:t>
      </w:r>
      <w:r>
        <w:rPr>
          <w:rFonts w:cs="Times New Roman"/>
          <w:b/>
        </w:rPr>
        <w:t xml:space="preserve"> | Sizes of the oracle Pareto material groups</w:t>
      </w:r>
    </w:p>
    <w:tbl>
      <w:tblPr>
        <w:tblStyle w:val="20"/>
        <w:tblW w:w="7792"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10"/>
        <w:gridCol w:w="1701"/>
        <w:gridCol w:w="1696"/>
        <w:gridCol w:w="1985"/>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2410"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Material group</w:t>
            </w:r>
          </w:p>
        </w:tc>
        <w:tc>
          <w:tcPr>
            <w:tcW w:w="1701"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Definition</w:t>
            </w:r>
          </w:p>
        </w:tc>
        <w:tc>
          <w:tcPr>
            <w:tcW w:w="1696"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Number of MOFs</w:t>
            </w:r>
          </w:p>
        </w:tc>
        <w:tc>
          <w:tcPr>
            <w:tcW w:w="1985" w:type="dxa"/>
            <w:tcBorders>
              <w:top w:val="single" w:color="auto" w:sz="4" w:space="0"/>
              <w:bottom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Fraction of library</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0" w:type="dxa"/>
            <w:tcBorders>
              <w:top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Strict oracle Pareto front</w:t>
            </w:r>
          </w:p>
        </w:tc>
        <w:tc>
          <w:tcPr>
            <w:tcW w:w="1701" w:type="dxa"/>
            <w:tcBorders>
              <w:top w:val="single" w:color="auto"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P1</w:t>
            </w:r>
          </w:p>
        </w:tc>
        <w:tc>
          <w:tcPr>
            <w:tcW w:w="1696" w:type="dxa"/>
            <w:tcBorders>
              <w:top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15</w:t>
            </w:r>
          </w:p>
        </w:tc>
        <w:tc>
          <w:tcPr>
            <w:tcW w:w="1985" w:type="dxa"/>
            <w:tcBorders>
              <w:top w:val="single" w:color="auto"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0.20%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0"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Near-front layers</w:t>
            </w:r>
          </w:p>
        </w:tc>
        <w:tc>
          <w:tcPr>
            <w:tcW w:w="1701"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 xml:space="preserve">P2 </w:t>
            </w:r>
            <w:r>
              <w:rPr>
                <w:rFonts w:ascii="Cambria Math" w:hAnsi="Cambria Math" w:cs="Cambria Math"/>
                <w:sz w:val="20"/>
                <w:szCs w:val="20"/>
              </w:rPr>
              <w:t>∪</w:t>
            </w:r>
            <w:r>
              <w:rPr>
                <w:rFonts w:ascii="Times New Roman" w:hAnsi="Times New Roman" w:cs="Times New Roman"/>
                <w:sz w:val="20"/>
                <w:szCs w:val="20"/>
              </w:rPr>
              <w:t xml:space="preserve"> P3</w:t>
            </w:r>
          </w:p>
        </w:tc>
        <w:tc>
          <w:tcPr>
            <w:tcW w:w="16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98</w:t>
            </w:r>
          </w:p>
        </w:tc>
        <w:tc>
          <w:tcPr>
            <w:tcW w:w="1985"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1.30%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0"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Top-3 Pareto set</w:t>
            </w:r>
          </w:p>
        </w:tc>
        <w:tc>
          <w:tcPr>
            <w:tcW w:w="1701"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 xml:space="preserve">P1 </w:t>
            </w:r>
            <w:r>
              <w:rPr>
                <w:rFonts w:ascii="Cambria Math" w:hAnsi="Cambria Math" w:cs="Cambria Math"/>
                <w:sz w:val="20"/>
                <w:szCs w:val="20"/>
              </w:rPr>
              <w:t>∪</w:t>
            </w:r>
            <w:r>
              <w:rPr>
                <w:rFonts w:ascii="Times New Roman" w:hAnsi="Times New Roman" w:cs="Times New Roman"/>
                <w:sz w:val="20"/>
                <w:szCs w:val="20"/>
              </w:rPr>
              <w:t xml:space="preserve"> P2 </w:t>
            </w:r>
            <w:r>
              <w:rPr>
                <w:rFonts w:ascii="Cambria Math" w:hAnsi="Cambria Math" w:cs="Cambria Math"/>
                <w:sz w:val="20"/>
                <w:szCs w:val="20"/>
              </w:rPr>
              <w:t>∪</w:t>
            </w:r>
            <w:r>
              <w:rPr>
                <w:rFonts w:ascii="Times New Roman" w:hAnsi="Times New Roman" w:cs="Times New Roman"/>
                <w:sz w:val="20"/>
                <w:szCs w:val="20"/>
              </w:rPr>
              <w:t xml:space="preserve"> P3</w:t>
            </w:r>
          </w:p>
        </w:tc>
        <w:tc>
          <w:tcPr>
            <w:tcW w:w="16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113</w:t>
            </w:r>
          </w:p>
        </w:tc>
        <w:tc>
          <w:tcPr>
            <w:tcW w:w="1985"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1.50%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0"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Remaining library</w:t>
            </w:r>
          </w:p>
        </w:tc>
        <w:tc>
          <w:tcPr>
            <w:tcW w:w="1701"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 xml:space="preserve">M \ (P1 </w:t>
            </w:r>
            <w:r>
              <w:rPr>
                <w:rFonts w:ascii="Cambria Math" w:hAnsi="Cambria Math" w:cs="Cambria Math"/>
                <w:sz w:val="20"/>
                <w:szCs w:val="20"/>
              </w:rPr>
              <w:t>∪</w:t>
            </w:r>
            <w:r>
              <w:rPr>
                <w:rFonts w:ascii="Times New Roman" w:hAnsi="Times New Roman" w:cs="Times New Roman"/>
                <w:sz w:val="20"/>
                <w:szCs w:val="20"/>
              </w:rPr>
              <w:t xml:space="preserve"> P2 </w:t>
            </w:r>
            <w:r>
              <w:rPr>
                <w:rFonts w:ascii="Cambria Math" w:hAnsi="Cambria Math" w:cs="Cambria Math"/>
                <w:sz w:val="20"/>
                <w:szCs w:val="20"/>
              </w:rPr>
              <w:t>∪</w:t>
            </w:r>
            <w:r>
              <w:rPr>
                <w:rFonts w:ascii="Times New Roman" w:hAnsi="Times New Roman" w:cs="Times New Roman"/>
                <w:sz w:val="20"/>
                <w:szCs w:val="20"/>
              </w:rPr>
              <w:t xml:space="preserve"> P3)</w:t>
            </w:r>
          </w:p>
        </w:tc>
        <w:tc>
          <w:tcPr>
            <w:tcW w:w="169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7,419</w:t>
            </w:r>
          </w:p>
        </w:tc>
        <w:tc>
          <w:tcPr>
            <w:tcW w:w="1985"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98.50%</w:t>
            </w:r>
          </w:p>
        </w:tc>
      </w:tr>
    </w:tbl>
    <w:p>
      <w:pPr>
        <w:rPr>
          <w:rFonts w:ascii="Times New Roman" w:hAnsi="Times New Roman" w:cs="Times New Roman"/>
          <w:b/>
          <w:bCs/>
          <w:sz w:val="22"/>
        </w:rPr>
      </w:pPr>
    </w:p>
    <w:p>
      <w:pPr>
        <w:rPr>
          <w:rFonts w:ascii="Times New Roman" w:hAnsi="Times New Roman" w:cs="Times New Roman"/>
          <w:b/>
          <w:bCs/>
          <w:sz w:val="22"/>
        </w:rPr>
      </w:pPr>
      <w:r>
        <w:rPr>
          <w:rFonts w:ascii="Times New Roman" w:hAnsi="Times New Roman" w:cs="Times New Roman"/>
          <w:b/>
          <w:bCs/>
          <w:sz w:val="22"/>
        </w:rPr>
        <w:t>S3.3 Single-vapour tail statistics and target relationships</w:t>
      </w:r>
    </w:p>
    <w:p>
      <w:pPr>
        <w:ind w:firstLine="420"/>
        <w:rPr>
          <w:rFonts w:ascii="Times New Roman" w:hAnsi="Times New Roman" w:cs="Times New Roman"/>
          <w:sz w:val="20"/>
          <w:szCs w:val="20"/>
        </w:rPr>
      </w:pPr>
      <w:r>
        <w:rPr>
          <w:rFonts w:ascii="Times New Roman" w:hAnsi="Times New Roman" w:cs="Times New Roman"/>
          <w:sz w:val="20"/>
          <w:szCs w:val="20"/>
        </w:rPr>
        <w:t xml:space="preserve">For each target vapour </w:t>
      </w:r>
      <m:oMath>
        <m:r>
          <m:rPr/>
          <w:rPr>
            <w:rFonts w:ascii="Cambria Math" w:hAnsi="Cambria Math" w:cs="Times New Roman"/>
            <w:sz w:val="20"/>
            <w:szCs w:val="20"/>
          </w:rPr>
          <m:t>k</m:t>
        </m:r>
      </m:oMath>
      <w:r>
        <w:rPr>
          <w:rFonts w:ascii="Times New Roman" w:hAnsi="Times New Roman" w:cs="Times New Roman"/>
          <w:sz w:val="20"/>
          <w:szCs w:val="20"/>
        </w:rPr>
        <w:t xml:space="preserve">, the full set of 7,532 MOFs was ranked in descending order of the original GCMC uptake. The single-vapour Top-1% set contained the first </w:t>
      </w:r>
      <m:oMath>
        <m:r>
          <m:rPr/>
          <w:rPr>
            <w:rFonts w:ascii="Cambria Math" w:hAnsi="Cambria Math" w:cs="Times New Roman"/>
            <w:sz w:val="20"/>
            <w:szCs w:val="20"/>
          </w:rPr>
          <m:t>⌈0.01×7,532⌉=76</m:t>
        </m:r>
      </m:oMath>
      <w:r>
        <w:rPr>
          <w:rFonts w:ascii="Times New Roman" w:hAnsi="Times New Roman" w:cs="Times New Roman"/>
          <w:sz w:val="20"/>
          <w:szCs w:val="20"/>
        </w:rPr>
        <w:t>entries in this ranking. The target-specific set was defined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sz w:val="20"/>
                <w:szCs w:val="20"/>
              </w:rPr>
            </m:ctrlPr>
          </m:sSubSupPr>
          <m:e>
            <m:r>
              <m:rPr>
                <m:scr m:val="script"/>
              </m:rPr>
              <w:rPr>
                <w:rFonts w:ascii="Cambria Math" w:hAnsi="Cambria Math" w:eastAsia="MS Mincho"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k</m:t>
            </m:r>
            <m:ctrlPr>
              <w:rPr>
                <w:rFonts w:ascii="Cambria Math" w:hAnsi="Cambria Math" w:cs="Times New Roman"/>
                <w:sz w:val="20"/>
                <w:szCs w:val="20"/>
              </w:rPr>
            </m:ctrlPr>
          </m:sub>
          <m:sup>
            <m:r>
              <m:rPr/>
              <w:rPr>
                <w:rFonts w:ascii="Cambria Math" w:hAnsi="Cambria Math" w:cs="Times New Roman"/>
                <w:sz w:val="20"/>
                <w:szCs w:val="20"/>
              </w:rPr>
              <m:t>1%</m:t>
            </m:r>
            <m:ctrlPr>
              <w:rPr>
                <w:rFonts w:ascii="Cambria Math" w:hAnsi="Cambria Math" w:cs="Times New Roman"/>
                <w:sz w:val="20"/>
                <w:szCs w:val="20"/>
              </w:rPr>
            </m:ctrlPr>
          </m:sup>
        </m:sSubSup>
        <m:r>
          <m:rPr/>
          <w:rPr>
            <w:rFonts w:ascii="Cambria Math" w:hAnsi="Cambria Math" w:cs="Times New Roman"/>
            <w:sz w:val="20"/>
            <w:szCs w:val="20"/>
          </w:rPr>
          <m:t>=</m:t>
        </m:r>
        <m:d>
          <m:dPr>
            <m:begChr m:val="{"/>
            <m:endChr m:val="}"/>
            <m:ctrlPr>
              <w:rPr>
                <w:rFonts w:ascii="Cambria Math" w:hAnsi="Cambria Math" w:cs="Times New Roman"/>
                <w:sz w:val="20"/>
                <w:szCs w:val="20"/>
              </w:rPr>
            </m:ctrlPr>
          </m:dPr>
          <m:e>
            <m:r>
              <m:rPr/>
              <w:rPr>
                <w:rFonts w:ascii="Cambria Math" w:hAnsi="Cambria Math" w:cs="Times New Roman"/>
                <w:sz w:val="20"/>
                <w:szCs w:val="20"/>
              </w:rPr>
              <m:t>i</m:t>
            </m:r>
            <m:r>
              <m:rPr>
                <m:scr m:val="script"/>
              </m:rPr>
              <w:rPr>
                <w:rFonts w:ascii="Cambria Math" w:hAnsi="Cambria Math" w:eastAsia="MS Mincho" w:cs="Times New Roman"/>
                <w:sz w:val="20"/>
                <w:szCs w:val="20"/>
              </w:rPr>
              <m:t>∈ℳ:</m:t>
            </m:r>
            <m:sSub>
              <m:sSubPr>
                <m:ctrlPr>
                  <w:rPr>
                    <w:rFonts w:ascii="Cambria Math" w:hAnsi="Cambria Math" w:cs="Times New Roman"/>
                    <w:sz w:val="20"/>
                    <w:szCs w:val="20"/>
                  </w:rPr>
                </m:ctrlPr>
              </m:sSubPr>
              <m:e>
                <m:r>
                  <m:rPr>
                    <m:sty m:val="p"/>
                  </m:rPr>
                  <w:rPr>
                    <w:rFonts w:ascii="Cambria Math" w:hAnsi="Cambria Math" w:cs="Times New Roman"/>
                    <w:sz w:val="20"/>
                    <w:szCs w:val="20"/>
                  </w:rPr>
                  <m:t>rank</m:t>
                </m:r>
                <m:ctrlPr>
                  <w:rPr>
                    <w:rFonts w:ascii="Cambria Math" w:hAnsi="Cambria Math" w:cs="Times New Roman"/>
                    <w:sz w:val="20"/>
                    <w:szCs w:val="20"/>
                  </w:rPr>
                </m:ctrlPr>
              </m:e>
              <m:sub>
                <m:r>
                  <m:rPr/>
                  <w:rPr>
                    <w:rFonts w:ascii="Cambria Math" w:hAnsi="Cambria Math" w:cs="Times New Roman"/>
                    <w:sz w:val="20"/>
                    <w:szCs w:val="20"/>
                  </w:rPr>
                  <m:t>↓</m:t>
                </m:r>
                <m:ctrlPr>
                  <w:rPr>
                    <w:rFonts w:ascii="Cambria Math" w:hAnsi="Cambria Math" w:cs="Times New Roman"/>
                    <w:sz w:val="20"/>
                    <w:szCs w:val="20"/>
                  </w:rPr>
                </m:ctrlPr>
              </m:sub>
            </m:sSub>
            <m:r>
              <m:rPr/>
              <w:rPr>
                <w:rFonts w:ascii="Cambria Math" w:hAnsi="Cambria Math" w:cs="Times New Roman"/>
                <w:sz w:val="20"/>
                <w:szCs w:val="20"/>
              </w:rPr>
              <m:t>⁡</m:t>
            </m:r>
            <m:d>
              <m:dPr>
                <m:ctrlPr>
                  <w:rPr>
                    <w:rFonts w:ascii="Cambria Math" w:hAnsi="Cambria Math" w:cs="Times New Roman"/>
                    <w:sz w:val="20"/>
                    <w:szCs w:val="20"/>
                  </w:rPr>
                </m:ctrlPr>
              </m:dPr>
              <m:e>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k</m:t>
                        </m:r>
                        <m:ctrlPr>
                          <w:rPr>
                            <w:rFonts w:ascii="Cambria Math" w:hAnsi="Cambria Math" w:cs="Times New Roman"/>
                            <w:sz w:val="20"/>
                            <w:szCs w:val="20"/>
                          </w:rPr>
                        </m:ctrlPr>
                      </m:e>
                    </m:d>
                    <m:ctrlPr>
                      <w:rPr>
                        <w:rFonts w:ascii="Cambria Math" w:hAnsi="Cambria Math" w:cs="Times New Roman"/>
                        <w:sz w:val="20"/>
                        <w:szCs w:val="20"/>
                      </w:rPr>
                    </m:ctrlPr>
                  </m:sup>
                </m:sSubSup>
                <m:ctrlPr>
                  <w:rPr>
                    <w:rFonts w:ascii="Cambria Math" w:hAnsi="Cambria Math" w:cs="Times New Roman"/>
                    <w:sz w:val="20"/>
                    <w:szCs w:val="20"/>
                  </w:rPr>
                </m:ctrlPr>
              </m:e>
            </m:d>
            <m:r>
              <m:rPr/>
              <w:rPr>
                <w:rFonts w:ascii="Cambria Math" w:hAnsi="Cambria Math" w:cs="Times New Roman"/>
                <w:sz w:val="20"/>
                <w:szCs w:val="20"/>
              </w:rPr>
              <m:t>≤76</m:t>
            </m:r>
            <m:ctrlPr>
              <w:rPr>
                <w:rFonts w:ascii="Cambria Math" w:hAnsi="Cambria Math" w:cs="Times New Roman"/>
                <w:sz w:val="20"/>
                <w:szCs w:val="20"/>
              </w:rPr>
            </m:ctrlPr>
          </m:e>
        </m:d>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(13)</w:t>
      </w:r>
    </w:p>
    <w:p>
      <w:pPr>
        <w:rPr>
          <w:rFonts w:ascii="Times New Roman" w:hAnsi="Times New Roman" w:cs="Times New Roman"/>
          <w:sz w:val="20"/>
          <w:szCs w:val="20"/>
        </w:rPr>
      </w:pPr>
      <w:r>
        <w:rPr>
          <w:rFonts w:ascii="Times New Roman" w:hAnsi="Times New Roman" w:cs="Times New Roman"/>
          <w:sz w:val="20"/>
          <w:szCs w:val="20"/>
        </w:rPr>
        <w:t xml:space="preserve">where rank denotes the descending uptake rank and </w:t>
      </w:r>
      <m:oMath>
        <m:r>
          <m:rPr>
            <m:scr m:val="script"/>
          </m:rPr>
          <w:rPr>
            <w:rFonts w:ascii="Cambria Math" w:hAnsi="Cambria Math" w:eastAsia="MS Mincho" w:cs="Times New Roman"/>
            <w:sz w:val="20"/>
            <w:szCs w:val="20"/>
          </w:rPr>
          <m:t>ℳ</m:t>
        </m:r>
      </m:oMath>
      <w:r>
        <w:rPr>
          <w:rFonts w:ascii="Times New Roman" w:hAnsi="Times New Roman" w:cs="Times New Roman"/>
          <w:sz w:val="20"/>
          <w:szCs w:val="20"/>
        </w:rPr>
        <w:t xml:space="preserve">denotes the complete candidate library. The first 76 ranked entries were retained so that each target-specific set had the same fixed size. The corresponding Top-1% cutoff was defined as the lowest uptake among the materials in </w:t>
      </w:r>
      <m:oMath>
        <m:sSubSup>
          <m:sSubSupPr>
            <m:ctrlPr>
              <w:rPr>
                <w:rFonts w:ascii="Cambria Math" w:hAnsi="Cambria Math" w:cs="Times New Roman"/>
                <w:sz w:val="20"/>
                <w:szCs w:val="20"/>
              </w:rPr>
            </m:ctrlPr>
          </m:sSubSupPr>
          <m:e>
            <m:r>
              <m:rPr/>
              <w:rPr>
                <w:rFonts w:ascii="Cambria Math" w:hAnsi="Cambria Math"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k</m:t>
            </m:r>
            <m:ctrlPr>
              <w:rPr>
                <w:rFonts w:ascii="Cambria Math" w:hAnsi="Cambria Math" w:cs="Times New Roman"/>
                <w:sz w:val="20"/>
                <w:szCs w:val="20"/>
              </w:rPr>
            </m:ctrlPr>
          </m:sub>
          <m:sup>
            <m:r>
              <m:rPr/>
              <w:rPr>
                <w:rFonts w:ascii="Cambria Math" w:hAnsi="Cambria Math" w:cs="Times New Roman"/>
                <w:sz w:val="20"/>
                <w:szCs w:val="20"/>
              </w:rPr>
              <m:t>1</m:t>
            </m:r>
            <m:r>
              <m:rPr>
                <m:sty m:val="p"/>
              </m:rPr>
              <w:rPr>
                <w:rFonts w:ascii="Cambria Math" w:hAnsi="Cambria Math" w:cs="Times New Roman"/>
                <w:sz w:val="20"/>
                <w:szCs w:val="20"/>
              </w:rPr>
              <m:t>%</m:t>
            </m:r>
            <m:ctrlPr>
              <w:rPr>
                <w:rFonts w:ascii="Cambria Math" w:hAnsi="Cambria Math" w:cs="Times New Roman"/>
                <w:sz w:val="20"/>
                <w:szCs w:val="20"/>
              </w:rPr>
            </m:ctrlPr>
          </m:sup>
        </m:sSubSup>
      </m:oMath>
      <w:r>
        <w:rPr>
          <w:rFonts w:ascii="Times New Roman" w:hAnsi="Times New Roman" w:cs="Times New Roman"/>
          <w:sz w:val="20"/>
          <w:szCs w:val="20"/>
        </w:rPr>
        <w:t>:</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sz w:val="20"/>
                <w:szCs w:val="20"/>
              </w:rPr>
            </m:ctrlPr>
          </m:sSubSupPr>
          <m:e>
            <m:r>
              <m:rPr/>
              <w:rPr>
                <w:rFonts w:ascii="Cambria Math" w:hAnsi="Cambria Math" w:cs="Times New Roman"/>
                <w:sz w:val="20"/>
                <w:szCs w:val="20"/>
              </w:rPr>
              <m:t>c</m:t>
            </m:r>
            <m:ctrlPr>
              <w:rPr>
                <w:rFonts w:ascii="Cambria Math" w:hAnsi="Cambria Math" w:cs="Times New Roman"/>
                <w:sz w:val="20"/>
                <w:szCs w:val="20"/>
              </w:rPr>
            </m:ctrlPr>
          </m:e>
          <m:sub>
            <m:r>
              <m:rPr/>
              <w:rPr>
                <w:rFonts w:ascii="Cambria Math" w:hAnsi="Cambria Math" w:cs="Times New Roman"/>
                <w:sz w:val="20"/>
                <w:szCs w:val="20"/>
              </w:rPr>
              <m:t>k</m:t>
            </m:r>
            <m:ctrlPr>
              <w:rPr>
                <w:rFonts w:ascii="Cambria Math" w:hAnsi="Cambria Math" w:cs="Times New Roman"/>
                <w:sz w:val="20"/>
                <w:szCs w:val="20"/>
              </w:rPr>
            </m:ctrlPr>
          </m:sub>
          <m:sup>
            <m:r>
              <m:rPr/>
              <w:rPr>
                <w:rFonts w:ascii="Cambria Math" w:hAnsi="Cambria Math" w:cs="Times New Roman"/>
                <w:sz w:val="20"/>
                <w:szCs w:val="20"/>
              </w:rPr>
              <m:t>1%</m:t>
            </m:r>
            <m:ctrlPr>
              <w:rPr>
                <w:rFonts w:ascii="Cambria Math" w:hAnsi="Cambria Math" w:cs="Times New Roman"/>
                <w:sz w:val="20"/>
                <w:szCs w:val="20"/>
              </w:rPr>
            </m:ctrlPr>
          </m:sup>
        </m:sSubSup>
        <m:r>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min</m:t>
            </m:r>
            <m:ctrlPr>
              <w:rPr>
                <w:rFonts w:ascii="Cambria Math" w:hAnsi="Cambria Math" w:cs="Times New Roman"/>
                <w:sz w:val="20"/>
                <w:szCs w:val="20"/>
              </w:rPr>
            </m:ctrlPr>
          </m:e>
          <m:sub>
            <m:r>
              <m:rPr/>
              <w:rPr>
                <w:rFonts w:ascii="Cambria Math" w:hAnsi="Cambria Math" w:cs="Times New Roman"/>
                <w:sz w:val="20"/>
                <w:szCs w:val="20"/>
              </w:rPr>
              <m:t>i∈</m:t>
            </m:r>
            <m:sSubSup>
              <m:sSubSupPr>
                <m:ctrlPr>
                  <w:rPr>
                    <w:rFonts w:ascii="Cambria Math" w:hAnsi="Cambria Math" w:cs="Times New Roman"/>
                    <w:sz w:val="20"/>
                    <w:szCs w:val="20"/>
                  </w:rPr>
                </m:ctrlPr>
              </m:sSubSupPr>
              <m:e>
                <m:r>
                  <m:rPr>
                    <m:scr m:val="script"/>
                  </m:rPr>
                  <w:rPr>
                    <w:rFonts w:ascii="Cambria Math" w:hAnsi="Cambria Math" w:eastAsia="MS Mincho"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k</m:t>
                </m:r>
                <m:ctrlPr>
                  <w:rPr>
                    <w:rFonts w:ascii="Cambria Math" w:hAnsi="Cambria Math" w:cs="Times New Roman"/>
                    <w:sz w:val="20"/>
                    <w:szCs w:val="20"/>
                  </w:rPr>
                </m:ctrlPr>
              </m:sub>
              <m:sup>
                <m:r>
                  <m:rPr/>
                  <w:rPr>
                    <w:rFonts w:ascii="Cambria Math" w:hAnsi="Cambria Math" w:cs="Times New Roman"/>
                    <w:sz w:val="20"/>
                    <w:szCs w:val="20"/>
                  </w:rPr>
                  <m:t>1%</m:t>
                </m:r>
                <m:ctrlPr>
                  <w:rPr>
                    <w:rFonts w:ascii="Cambria Math" w:hAnsi="Cambria Math" w:cs="Times New Roman"/>
                    <w:sz w:val="20"/>
                    <w:szCs w:val="20"/>
                  </w:rPr>
                </m:ctrlPr>
              </m:sup>
            </m:sSubSup>
            <m:ctrlPr>
              <w:rPr>
                <w:rFonts w:ascii="Cambria Math" w:hAnsi="Cambria Math" w:cs="Times New Roman"/>
                <w:sz w:val="20"/>
                <w:szCs w:val="20"/>
              </w:rPr>
            </m:ctrlPr>
          </m:sub>
        </m:sSub>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k</m:t>
                </m:r>
                <m:ctrlPr>
                  <w:rPr>
                    <w:rFonts w:ascii="Cambria Math" w:hAnsi="Cambria Math" w:cs="Times New Roman"/>
                    <w:sz w:val="20"/>
                    <w:szCs w:val="20"/>
                  </w:rPr>
                </m:ctrlPr>
              </m:e>
            </m:d>
            <m:ctrlPr>
              <w:rPr>
                <w:rFonts w:ascii="Cambria Math" w:hAnsi="Cambria Math" w:cs="Times New Roman"/>
                <w:sz w:val="20"/>
                <w:szCs w:val="20"/>
              </w:rPr>
            </m:ctrlPr>
          </m:sup>
        </m:sSubSup>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(14)</w:t>
      </w:r>
    </w:p>
    <w:p>
      <w:pPr>
        <w:rPr>
          <w:rFonts w:ascii="Times New Roman" w:hAnsi="Times New Roman" w:cs="Times New Roman"/>
        </w:rPr>
      </w:pPr>
      <w:r>
        <w:rPr>
          <w:rFonts w:ascii="Times New Roman" w:hAnsi="Times New Roman" w:cs="Times New Roman"/>
        </w:rPr>
        <w:t xml:space="preserve">The cutoff lines shown in Fig. 2b therefore represent rank-based thresholds rather than interpolated 99th-percentile values. Overlap between the Top-1% sets of two target vapours </w:t>
      </w:r>
      <m:oMath>
        <m:r>
          <m:rPr/>
          <w:rPr>
            <w:rFonts w:ascii="Cambria Math" w:hAnsi="Cambria Math" w:cs="Times New Roman"/>
          </w:rPr>
          <m:t>a</m:t>
        </m:r>
      </m:oMath>
      <w:r>
        <w:rPr>
          <w:rFonts w:ascii="Times New Roman" w:hAnsi="Times New Roman" w:cs="Times New Roman"/>
        </w:rPr>
        <w:t xml:space="preserve">and </w:t>
      </w:r>
      <m:oMath>
        <m:r>
          <m:rPr/>
          <w:rPr>
            <w:rFonts w:ascii="Cambria Math" w:hAnsi="Cambria Math" w:cs="Times New Roman"/>
          </w:rPr>
          <m:t>b</m:t>
        </m:r>
      </m:oMath>
      <w:r>
        <w:rPr>
          <w:rFonts w:ascii="Times New Roman" w:hAnsi="Times New Roman" w:cs="Times New Roman"/>
        </w:rPr>
        <w:t>was calculated as the cardinality of their intersection:</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O</m:t>
            </m:r>
            <m:ctrlPr>
              <w:rPr>
                <w:rFonts w:ascii="Cambria Math" w:hAnsi="Cambria Math" w:cs="Times New Roman"/>
                <w:sz w:val="20"/>
                <w:szCs w:val="20"/>
              </w:rPr>
            </m:ctrlPr>
          </m:e>
          <m:sub>
            <m:r>
              <m:rPr/>
              <w:rPr>
                <w:rFonts w:ascii="Cambria Math" w:hAnsi="Cambria Math" w:cs="Times New Roman"/>
                <w:sz w:val="20"/>
                <w:szCs w:val="20"/>
              </w:rPr>
              <m:t>ab</m:t>
            </m:r>
            <m:ctrlPr>
              <w:rPr>
                <w:rFonts w:ascii="Cambria Math" w:hAnsi="Cambria Math" w:cs="Times New Roman"/>
                <w:sz w:val="20"/>
                <w:szCs w:val="20"/>
              </w:rPr>
            </m:ctrlPr>
          </m:sub>
        </m:sSub>
        <m:r>
          <m:rPr/>
          <w:rPr>
            <w:rFonts w:ascii="Cambria Math" w:hAnsi="Cambria Math" w:cs="Times New Roman"/>
            <w:sz w:val="20"/>
            <w:szCs w:val="20"/>
          </w:rPr>
          <m:t>=</m:t>
        </m:r>
        <m:d>
          <m:dPr>
            <m:begChr m:val="|"/>
            <m:sepChr m:val="∩"/>
            <m:endChr m:val="|"/>
            <m:ctrlPr>
              <w:rPr>
                <w:rFonts w:ascii="Cambria Math" w:hAnsi="Cambria Math" w:cs="Times New Roman"/>
                <w:sz w:val="20"/>
                <w:szCs w:val="20"/>
              </w:rPr>
            </m:ctrlPr>
          </m:dPr>
          <m:e>
            <m:sSubSup>
              <m:sSubSupPr>
                <m:ctrlPr>
                  <w:rPr>
                    <w:rFonts w:ascii="Cambria Math" w:hAnsi="Cambria Math" w:cs="Times New Roman"/>
                    <w:sz w:val="20"/>
                    <w:szCs w:val="20"/>
                  </w:rPr>
                </m:ctrlPr>
              </m:sSubSupPr>
              <m:e>
                <m:r>
                  <m:rPr>
                    <m:scr m:val="script"/>
                  </m:rPr>
                  <w:rPr>
                    <w:rFonts w:ascii="Cambria Math" w:hAnsi="Cambria Math" w:eastAsia="MS Mincho"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a</m:t>
                </m:r>
                <m:ctrlPr>
                  <w:rPr>
                    <w:rFonts w:ascii="Cambria Math" w:hAnsi="Cambria Math" w:cs="Times New Roman"/>
                    <w:sz w:val="20"/>
                    <w:szCs w:val="20"/>
                  </w:rPr>
                </m:ctrlPr>
              </m:sub>
              <m:sup>
                <m:r>
                  <m:rPr/>
                  <w:rPr>
                    <w:rFonts w:ascii="Cambria Math" w:hAnsi="Cambria Math" w:cs="Times New Roman"/>
                    <w:sz w:val="20"/>
                    <w:szCs w:val="20"/>
                  </w:rPr>
                  <m:t>1%</m:t>
                </m:r>
                <m:ctrlPr>
                  <w:rPr>
                    <w:rFonts w:ascii="Cambria Math" w:hAnsi="Cambria Math" w:cs="Times New Roman"/>
                    <w:sz w:val="20"/>
                    <w:szCs w:val="20"/>
                  </w:rPr>
                </m:ctrlPr>
              </m:sup>
            </m:sSubSup>
            <m:ctrlPr>
              <w:rPr>
                <w:rFonts w:ascii="Cambria Math" w:hAnsi="Cambria Math" w:cs="Times New Roman"/>
                <w:sz w:val="20"/>
                <w:szCs w:val="20"/>
              </w:rPr>
            </m:ctrlPr>
          </m:e>
          <m:e>
            <m:sSubSup>
              <m:sSubSupPr>
                <m:ctrlPr>
                  <w:rPr>
                    <w:rFonts w:ascii="Cambria Math" w:hAnsi="Cambria Math" w:cs="Times New Roman"/>
                    <w:sz w:val="20"/>
                    <w:szCs w:val="20"/>
                  </w:rPr>
                </m:ctrlPr>
              </m:sSubSupPr>
              <m:e>
                <m:r>
                  <m:rPr>
                    <m:scr m:val="script"/>
                  </m:rPr>
                  <w:rPr>
                    <w:rFonts w:ascii="Cambria Math" w:hAnsi="Cambria Math" w:eastAsia="MS Mincho"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b</m:t>
                </m:r>
                <m:ctrlPr>
                  <w:rPr>
                    <w:rFonts w:ascii="Cambria Math" w:hAnsi="Cambria Math" w:cs="Times New Roman"/>
                    <w:sz w:val="20"/>
                    <w:szCs w:val="20"/>
                  </w:rPr>
                </m:ctrlPr>
              </m:sub>
              <m:sup>
                <m:r>
                  <m:rPr/>
                  <w:rPr>
                    <w:rFonts w:ascii="Cambria Math" w:hAnsi="Cambria Math" w:cs="Times New Roman"/>
                    <w:sz w:val="20"/>
                    <w:szCs w:val="20"/>
                  </w:rPr>
                  <m:t>1%</m:t>
                </m:r>
                <m:ctrlPr>
                  <w:rPr>
                    <w:rFonts w:ascii="Cambria Math" w:hAnsi="Cambria Math" w:cs="Times New Roman"/>
                    <w:sz w:val="20"/>
                    <w:szCs w:val="20"/>
                  </w:rPr>
                </m:ctrlPr>
              </m:sup>
            </m:sSubSup>
            <m:ctrlPr>
              <w:rPr>
                <w:rFonts w:ascii="Cambria Math" w:hAnsi="Cambria Math" w:cs="Times New Roman"/>
                <w:sz w:val="20"/>
                <w:szCs w:val="20"/>
              </w:rPr>
            </m:ctrlPr>
          </m:e>
        </m:d>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(15)</w:t>
      </w:r>
    </w:p>
    <w:p>
      <w:pPr>
        <w:rPr>
          <w:rFonts w:ascii="Times New Roman" w:hAnsi="Times New Roman" w:cs="Times New Roman"/>
        </w:rPr>
      </w:pPr>
      <w:r>
        <w:rPr>
          <w:rFonts w:ascii="Times New Roman" w:hAnsi="Times New Roman" w:cs="Times New Roman"/>
        </w:rPr>
        <w:t>The three-way overlap was calculated analogously from the intersection of the CEES, DMMP and EtCl Top-1% sets. These set-intersection counts were used to construct the UpSet plot in Fig. 2a.The uptake distributions in Fig. 2b were generated as histograms of the original, untransformed GCMC uptake values. The count axis was displayed on a logarithmic scale to resolve the sparsely populated high-uptake tails. Histogram binning was used only for visualization and did not affect the Top-1% rankings or cutoff values.</w:t>
      </w:r>
    </w:p>
    <w:p>
      <w:pPr>
        <w:rPr>
          <w:rFonts w:ascii="Times New Roman" w:hAnsi="Times New Roman" w:cs="Times New Roman"/>
        </w:rPr>
      </w:pPr>
      <w:r>
        <w:rPr>
          <w:rFonts w:ascii="Times New Roman" w:hAnsi="Times New Roman" w:cs="Times New Roman"/>
        </w:rPr>
        <w:t>Pairwise relationships among the three adsorption targets were quantified using Spearman rank correlation across all 7,532 MOFs: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ρ</m:t>
            </m:r>
            <m:ctrlPr>
              <w:rPr>
                <w:rFonts w:ascii="Cambria Math" w:hAnsi="Cambria Math" w:cs="Times New Roman"/>
                <w:sz w:val="20"/>
                <w:szCs w:val="20"/>
              </w:rPr>
            </m:ctrlPr>
          </m:e>
          <m:sub>
            <m:r>
              <m:rPr/>
              <w:rPr>
                <w:rFonts w:ascii="Cambria Math" w:hAnsi="Cambria Math" w:cs="Times New Roman"/>
                <w:sz w:val="20"/>
                <w:szCs w:val="20"/>
              </w:rPr>
              <m:t>ab</m:t>
            </m:r>
            <m:ctrlPr>
              <w:rPr>
                <w:rFonts w:ascii="Cambria Math" w:hAnsi="Cambria Math" w:cs="Times New Roman"/>
                <w:sz w:val="20"/>
                <w:szCs w:val="20"/>
              </w:rPr>
            </m:ctrlPr>
          </m:sub>
        </m:sSub>
        <m:r>
          <m:rPr/>
          <w:rPr>
            <w:rFonts w:ascii="Cambria Math" w:hAnsi="Cambria Math" w:cs="Times New Roman"/>
            <w:sz w:val="20"/>
            <w:szCs w:val="20"/>
          </w:rPr>
          <m:t>=</m:t>
        </m:r>
        <m:r>
          <m:rPr>
            <m:sty m:val="p"/>
          </m:rPr>
          <w:rPr>
            <w:rFonts w:ascii="Cambria Math" w:hAnsi="Cambria Math" w:cs="Times New Roman"/>
            <w:sz w:val="20"/>
            <w:szCs w:val="20"/>
          </w:rPr>
          <m:t>corr</m:t>
        </m:r>
        <m:r>
          <m:rPr/>
          <w:rPr>
            <w:rFonts w:ascii="Cambria Math" w:hAnsi="Cambria Math" w:cs="Times New Roman"/>
            <w:sz w:val="20"/>
            <w:szCs w:val="20"/>
          </w:rPr>
          <m:t>⁡</m:t>
        </m:r>
        <m:d>
          <m:dPr>
            <m:begChr m:val="["/>
            <m:endChr m:val="]"/>
            <m:ctrlPr>
              <w:rPr>
                <w:rFonts w:ascii="Cambria Math" w:hAnsi="Cambria Math" w:cs="Times New Roman"/>
                <w:sz w:val="20"/>
                <w:szCs w:val="20"/>
              </w:rPr>
            </m:ctrlPr>
          </m:dPr>
          <m:e>
            <m:r>
              <m:rPr>
                <m:sty m:val="p"/>
              </m:rPr>
              <w:rPr>
                <w:rFonts w:ascii="Cambria Math" w:hAnsi="Cambria Math" w:cs="Times New Roman"/>
                <w:sz w:val="20"/>
                <w:szCs w:val="20"/>
              </w:rPr>
              <m:t>rank</m:t>
            </m:r>
            <m:r>
              <m:rPr/>
              <w:rPr>
                <w:rFonts w:ascii="Cambria Math" w:hAnsi="Cambria Math" w:cs="Times New Roman"/>
                <w:sz w:val="20"/>
                <w:szCs w:val="20"/>
              </w:rPr>
              <m:t>⁡</m:t>
            </m:r>
            <m:d>
              <m:dPr>
                <m:ctrlPr>
                  <w:rPr>
                    <w:rFonts w:ascii="Cambria Math" w:hAnsi="Cambria Math" w:cs="Times New Roman"/>
                    <w:sz w:val="20"/>
                    <w:szCs w:val="20"/>
                  </w:rPr>
                </m:ctrlPr>
              </m:dPr>
              <m:e>
                <m:sSup>
                  <m:sSupPr>
                    <m:ctrlPr>
                      <w:rPr>
                        <w:rFonts w:ascii="Cambria Math" w:hAnsi="Cambria Math" w:cs="Times New Roman"/>
                        <w:sz w:val="20"/>
                        <w:szCs w:val="20"/>
                      </w:rPr>
                    </m:ctrlPr>
                  </m:sSupPr>
                  <m:e>
                    <m:r>
                      <m:rPr>
                        <m:sty m:val="b"/>
                      </m:rPr>
                      <w:rPr>
                        <w:rFonts w:ascii="Cambria Math" w:hAnsi="Cambria Math" w:cs="Times New Roman"/>
                        <w:sz w:val="20"/>
                        <w:szCs w:val="20"/>
                      </w:rPr>
                      <m:t>y</m:t>
                    </m:r>
                    <m:ctrlPr>
                      <w:rPr>
                        <w:rFonts w:ascii="Cambria Math" w:hAnsi="Cambria Math" w:cs="Times New Roman"/>
                        <w:sz w:val="20"/>
                        <w:szCs w:val="20"/>
                      </w:rPr>
                    </m:ctrlPr>
                  </m:e>
                  <m:sup>
                    <m:d>
                      <m:dPr>
                        <m:ctrlPr>
                          <w:rPr>
                            <w:rFonts w:ascii="Cambria Math" w:hAnsi="Cambria Math" w:cs="Times New Roman"/>
                            <w:sz w:val="20"/>
                            <w:szCs w:val="20"/>
                          </w:rPr>
                        </m:ctrlPr>
                      </m:dPr>
                      <m:e>
                        <m:r>
                          <m:rPr/>
                          <w:rPr>
                            <w:rFonts w:ascii="Cambria Math" w:hAnsi="Cambria Math" w:cs="Times New Roman"/>
                            <w:sz w:val="20"/>
                            <w:szCs w:val="20"/>
                          </w:rPr>
                          <m:t>a</m:t>
                        </m:r>
                        <m:ctrlPr>
                          <w:rPr>
                            <w:rFonts w:ascii="Cambria Math" w:hAnsi="Cambria Math" w:cs="Times New Roman"/>
                            <w:sz w:val="20"/>
                            <w:szCs w:val="20"/>
                          </w:rPr>
                        </m:ctrlPr>
                      </m:e>
                    </m:d>
                    <m:ctrlPr>
                      <w:rPr>
                        <w:rFonts w:ascii="Cambria Math" w:hAnsi="Cambria Math" w:cs="Times New Roman"/>
                        <w:sz w:val="20"/>
                        <w:szCs w:val="20"/>
                      </w:rPr>
                    </m:ctrlPr>
                  </m:sup>
                </m:sSup>
                <m:ctrlPr>
                  <w:rPr>
                    <w:rFonts w:ascii="Cambria Math" w:hAnsi="Cambria Math" w:cs="Times New Roman"/>
                    <w:sz w:val="20"/>
                    <w:szCs w:val="20"/>
                  </w:rPr>
                </m:ctrlPr>
              </m:e>
            </m:d>
            <m:r>
              <m:rPr/>
              <w:rPr>
                <w:rFonts w:ascii="Cambria Math" w:hAnsi="Cambria Math" w:cs="Times New Roman"/>
                <w:sz w:val="20"/>
                <w:szCs w:val="20"/>
              </w:rPr>
              <m:t>,</m:t>
            </m:r>
            <m:r>
              <m:rPr>
                <m:sty m:val="p"/>
              </m:rPr>
              <w:rPr>
                <w:rFonts w:ascii="Cambria Math" w:hAnsi="Cambria Math" w:cs="Times New Roman"/>
                <w:sz w:val="20"/>
                <w:szCs w:val="20"/>
              </w:rPr>
              <m:t>rank</m:t>
            </m:r>
            <m:r>
              <m:rPr/>
              <w:rPr>
                <w:rFonts w:ascii="Cambria Math" w:hAnsi="Cambria Math" w:cs="Times New Roman"/>
                <w:sz w:val="20"/>
                <w:szCs w:val="20"/>
              </w:rPr>
              <m:t>⁡</m:t>
            </m:r>
            <m:d>
              <m:dPr>
                <m:ctrlPr>
                  <w:rPr>
                    <w:rFonts w:ascii="Cambria Math" w:hAnsi="Cambria Math" w:cs="Times New Roman"/>
                    <w:sz w:val="20"/>
                    <w:szCs w:val="20"/>
                  </w:rPr>
                </m:ctrlPr>
              </m:dPr>
              <m:e>
                <m:sSup>
                  <m:sSupPr>
                    <m:ctrlPr>
                      <w:rPr>
                        <w:rFonts w:ascii="Cambria Math" w:hAnsi="Cambria Math" w:cs="Times New Roman"/>
                        <w:sz w:val="20"/>
                        <w:szCs w:val="20"/>
                      </w:rPr>
                    </m:ctrlPr>
                  </m:sSupPr>
                  <m:e>
                    <m:r>
                      <m:rPr>
                        <m:sty m:val="b"/>
                      </m:rPr>
                      <w:rPr>
                        <w:rFonts w:ascii="Cambria Math" w:hAnsi="Cambria Math" w:cs="Times New Roman"/>
                        <w:sz w:val="20"/>
                        <w:szCs w:val="20"/>
                      </w:rPr>
                      <m:t>y</m:t>
                    </m:r>
                    <m:ctrlPr>
                      <w:rPr>
                        <w:rFonts w:ascii="Cambria Math" w:hAnsi="Cambria Math" w:cs="Times New Roman"/>
                        <w:sz w:val="20"/>
                        <w:szCs w:val="20"/>
                      </w:rPr>
                    </m:ctrlPr>
                  </m:e>
                  <m:sup>
                    <m:d>
                      <m:dPr>
                        <m:ctrlPr>
                          <w:rPr>
                            <w:rFonts w:ascii="Cambria Math" w:hAnsi="Cambria Math" w:cs="Times New Roman"/>
                            <w:sz w:val="20"/>
                            <w:szCs w:val="20"/>
                          </w:rPr>
                        </m:ctrlPr>
                      </m:dPr>
                      <m:e>
                        <m:r>
                          <m:rPr/>
                          <w:rPr>
                            <w:rFonts w:ascii="Cambria Math" w:hAnsi="Cambria Math" w:cs="Times New Roman"/>
                            <w:sz w:val="20"/>
                            <w:szCs w:val="20"/>
                          </w:rPr>
                          <m:t>b</m:t>
                        </m:r>
                        <m:ctrlPr>
                          <w:rPr>
                            <w:rFonts w:ascii="Cambria Math" w:hAnsi="Cambria Math" w:cs="Times New Roman"/>
                            <w:sz w:val="20"/>
                            <w:szCs w:val="20"/>
                          </w:rPr>
                        </m:ctrlPr>
                      </m:e>
                    </m:d>
                    <m:ctrlPr>
                      <w:rPr>
                        <w:rFonts w:ascii="Cambria Math" w:hAnsi="Cambria Math" w:cs="Times New Roman"/>
                        <w:sz w:val="20"/>
                        <w:szCs w:val="20"/>
                      </w:rPr>
                    </m:ctrlPr>
                  </m:sup>
                </m:sSup>
                <m:ctrlPr>
                  <w:rPr>
                    <w:rFonts w:ascii="Cambria Math" w:hAnsi="Cambria Math" w:cs="Times New Roman"/>
                    <w:sz w:val="20"/>
                    <w:szCs w:val="20"/>
                  </w:rPr>
                </m:ctrlPr>
              </m:e>
            </m:d>
            <m:ctrlPr>
              <w:rPr>
                <w:rFonts w:ascii="Cambria Math" w:hAnsi="Cambria Math" w:cs="Times New Roman"/>
                <w:sz w:val="20"/>
                <w:szCs w:val="20"/>
              </w:rPr>
            </m:ctrlPr>
          </m:e>
        </m:d>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(16)</w:t>
      </w:r>
    </w:p>
    <w:p>
      <w:pPr>
        <w:rPr>
          <w:rFonts w:ascii="Times New Roman" w:hAnsi="Times New Roman" w:cs="Times New Roman"/>
        </w:rPr>
      </w:pPr>
      <w:r>
        <w:rPr>
          <w:rFonts w:ascii="Times New Roman" w:hAnsi="Times New Roman" w:cs="Times New Roman"/>
        </w:rPr>
        <w:t xml:space="preserve">where </w:t>
      </w:r>
      <m:oMath>
        <m:sSup>
          <m:sSupPr>
            <m:ctrlPr>
              <w:rPr>
                <w:rFonts w:ascii="Cambria Math" w:hAnsi="Cambria Math" w:cs="Times New Roman"/>
              </w:rPr>
            </m:ctrlPr>
          </m:sSupPr>
          <m:e>
            <m:r>
              <m:rPr>
                <m:sty m:val="b"/>
              </m:rPr>
              <w:rPr>
                <w:rFonts w:ascii="Cambria Math" w:hAnsi="Cambria Math" w:cs="Times New Roman"/>
              </w:rPr>
              <m:t>y</m:t>
            </m:r>
            <m:ctrlPr>
              <w:rPr>
                <w:rFonts w:ascii="Cambria Math" w:hAnsi="Cambria Math" w:cs="Times New Roman"/>
              </w:rPr>
            </m:ctrlPr>
          </m:e>
          <m:sup>
            <m:d>
              <m:dPr>
                <m:ctrlPr>
                  <w:rPr>
                    <w:rFonts w:ascii="Cambria Math" w:hAnsi="Cambria Math" w:cs="Times New Roman"/>
                  </w:rPr>
                </m:ctrlPr>
              </m:dPr>
              <m:e>
                <m:r>
                  <m:rPr/>
                  <w:rPr>
                    <w:rFonts w:ascii="Cambria Math" w:hAnsi="Cambria Math" w:cs="Times New Roman"/>
                  </w:rPr>
                  <m:t>a</m:t>
                </m:r>
                <m:ctrlPr>
                  <w:rPr>
                    <w:rFonts w:ascii="Cambria Math" w:hAnsi="Cambria Math" w:cs="Times New Roman"/>
                  </w:rPr>
                </m:ctrlPr>
              </m:e>
            </m:d>
            <m:ctrlPr>
              <w:rPr>
                <w:rFonts w:ascii="Cambria Math" w:hAnsi="Cambria Math" w:cs="Times New Roman"/>
              </w:rPr>
            </m:ctrlPr>
          </m:sup>
        </m:sSup>
      </m:oMath>
      <w:r>
        <w:rPr>
          <w:rFonts w:ascii="Times New Roman" w:hAnsi="Times New Roman" w:cs="Times New Roman"/>
        </w:rPr>
        <w:t xml:space="preserve">and </w:t>
      </w:r>
      <m:oMath>
        <m:sSup>
          <m:sSupPr>
            <m:ctrlPr>
              <w:rPr>
                <w:rFonts w:ascii="Cambria Math" w:hAnsi="Cambria Math" w:cs="Times New Roman"/>
              </w:rPr>
            </m:ctrlPr>
          </m:sSupPr>
          <m:e>
            <m:r>
              <m:rPr>
                <m:sty m:val="b"/>
              </m:rPr>
              <w:rPr>
                <w:rFonts w:ascii="Cambria Math" w:hAnsi="Cambria Math" w:cs="Times New Roman"/>
              </w:rPr>
              <m:t>y</m:t>
            </m:r>
            <m:ctrlPr>
              <w:rPr>
                <w:rFonts w:ascii="Cambria Math" w:hAnsi="Cambria Math" w:cs="Times New Roman"/>
              </w:rPr>
            </m:ctrlPr>
          </m:e>
          <m:sup>
            <m:d>
              <m:dPr>
                <m:ctrlPr>
                  <w:rPr>
                    <w:rFonts w:ascii="Cambria Math" w:hAnsi="Cambria Math" w:cs="Times New Roman"/>
                  </w:rPr>
                </m:ctrlPr>
              </m:dPr>
              <m:e>
                <m:r>
                  <m:rPr/>
                  <w:rPr>
                    <w:rFonts w:ascii="Cambria Math" w:hAnsi="Cambria Math" w:cs="Times New Roman"/>
                  </w:rPr>
                  <m:t>b</m:t>
                </m:r>
                <m:ctrlPr>
                  <w:rPr>
                    <w:rFonts w:ascii="Cambria Math" w:hAnsi="Cambria Math" w:cs="Times New Roman"/>
                  </w:rPr>
                </m:ctrlPr>
              </m:e>
            </m:d>
            <m:ctrlPr>
              <w:rPr>
                <w:rFonts w:ascii="Cambria Math" w:hAnsi="Cambria Math" w:cs="Times New Roman"/>
              </w:rPr>
            </m:ctrlPr>
          </m:sup>
        </m:sSup>
      </m:oMath>
      <w:r>
        <w:rPr>
          <w:rFonts w:ascii="Times New Roman" w:hAnsi="Times New Roman" w:cs="Times New Roman"/>
        </w:rPr>
        <w:t xml:space="preserve">denote the full-library uptake vectors for targets </w:t>
      </w:r>
      <m:oMath>
        <m:r>
          <m:rPr/>
          <w:rPr>
            <w:rFonts w:ascii="Cambria Math" w:hAnsi="Cambria Math" w:cs="Times New Roman"/>
          </w:rPr>
          <m:t>a</m:t>
        </m:r>
      </m:oMath>
      <w:r>
        <w:rPr>
          <w:rFonts w:ascii="Times New Roman" w:hAnsi="Times New Roman" w:cs="Times New Roman"/>
        </w:rPr>
        <w:t xml:space="preserve">and </w:t>
      </w:r>
      <m:oMath>
        <m:r>
          <m:rPr/>
          <w:rPr>
            <w:rFonts w:ascii="Cambria Math" w:hAnsi="Cambria Math" w:cs="Times New Roman"/>
          </w:rPr>
          <m:t>b</m:t>
        </m:r>
      </m:oMath>
      <w:r>
        <w:rPr>
          <w:rFonts w:ascii="Times New Roman" w:hAnsi="Times New Roman" w:cs="Times New Roman"/>
        </w:rPr>
        <w:t>, respectively. No logarithmic or other transformation was applied before ranking. The resulting coefficients were used to construct the correlation matrix in Fig. 2c.</w:t>
      </w:r>
    </w:p>
    <w:p>
      <w:pPr>
        <w:rPr>
          <w:rFonts w:ascii="Times New Roman" w:hAnsi="Times New Roman" w:cs="Times New Roman"/>
          <w:b/>
          <w:bCs/>
        </w:rPr>
      </w:pPr>
      <w:r>
        <w:rPr>
          <w:rFonts w:ascii="Times New Roman" w:hAnsi="Times New Roman" w:cs="Times New Roman"/>
          <w:b/>
          <w:bCs/>
        </w:rPr>
        <w:br w:type="page"/>
      </w:r>
    </w:p>
    <w:p>
      <w:pPr>
        <w:pStyle w:val="2"/>
        <w:spacing w:before="0" w:after="0"/>
        <w:rPr>
          <w:rFonts w:ascii="Times New Roman" w:hAnsi="Times New Roman" w:cs="Times New Roman"/>
          <w:color w:val="auto"/>
          <w:sz w:val="28"/>
          <w:szCs w:val="28"/>
        </w:rPr>
      </w:pPr>
      <w:r>
        <w:rPr>
          <w:rFonts w:ascii="Times New Roman" w:hAnsi="Times New Roman" w:cs="Times New Roman"/>
          <w:b/>
          <w:bCs/>
          <w:color w:val="auto"/>
          <w:sz w:val="28"/>
          <w:szCs w:val="28"/>
        </w:rPr>
        <w:t>Supplementary Note 4 — Material representation construction</w:t>
      </w:r>
    </w:p>
    <w:p>
      <w:pPr>
        <w:tabs>
          <w:tab w:val="left" w:pos="720"/>
        </w:tabs>
        <w:rPr>
          <w:rFonts w:ascii="Times New Roman" w:hAnsi="Times New Roman" w:cs="Times New Roman"/>
          <w:b/>
          <w:bCs/>
          <w:sz w:val="22"/>
        </w:rPr>
      </w:pPr>
      <w:r>
        <w:rPr>
          <w:rFonts w:ascii="Times New Roman" w:hAnsi="Times New Roman" w:cs="Times New Roman"/>
          <w:b/>
          <w:bCs/>
          <w:sz w:val="22"/>
        </w:rPr>
        <w:t>S4.1 Overview of representation construction</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Manual representation described in Supplementary Note 1 explicitly encodes selected pore-geometric, compositional and local-coordination quantities. To obtain complementary structure representations without manually specifying individual descriptors, we additionally extracted frozen embeddings from MOFTransformer and Uni-MOF using their published pretrained encoders. The MOFTransformer-framework embeddings were generated using the PMTransformer pretrained checkpoint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{"citationID":"KvgoVCdx","properties":{"unsorted":false,"formattedCitation":"\\super 14\\nosupersub{}","plainCitation":"14","noteIndex":0},"citationItems":[{"id":11522,"uris":["http://zotero.org/users/10807631/items/MRR9JGAR"],"itemData":{"id":11522,"type":"article-journal","abstract":"Porous materials have emerged as promising solutions for a wide range of energy and environmental applications. However, the asymmetric development in the field of metal−organic frameworks (MOFs) has led to a data imbalance when it comes to MOFs versus other porous materials such as covalent organic frameworks (COFs), porous polymer networks (PPNs), and zeolites. To address this issue, we introduce PMTransformer (Porous Material Transformer), a multimodal Transformer model pretrained on a vast data set of 1.9 million hypothetical porous materials, including metal−organic frameworks, covalent organic frameworks, porous polymer networks, and zeolites. PMTransformer showcases remarkable transfer learning capabilities, resulting in state-of-the-art performance in predicting various porous material properties. To address the challenge of asymmetric data aggregation, we propose cross-material few-shot learning, which leverages the synergistic effect among different porous material classes to enhance the fine-tuning performance with a limited number of examples. As a proof of concept, we demonstrate its effectiveness in predicting band gap values of COFs using the available MOF data in the training set. Moreover, we established cross-material relationships in porous materials by predicting the unseen properties of other classes of porous materials. Our approach presents a new pathway for understanding the underlying relationships among various classes of porous materials, paving the way toward a more comprehensive understanding and design of porous materials.","container-title":"ACS Applied Materials &amp; Interfaces","DOI":"10.1021/acsami.3c10323","ISSN":"1944-8244, 1944-8252","issue":"48","journalAbbreviation":"ACS Appl. Mater. Interfaces","language":"en","license":"https://doi.org/10.15223/policy-029","note":"JCR分区: Q1\n中科院分区升级版: 材料科学2区\n影响因子: 7.8\n5年影响因子: 8.0\nEI: 是\n南农高质量: A","page":"56375-56385","source":"DOI.org (Crossref)","title":"Enhancing structure–property relationships in porous materials through transfer learning and cross-material few-shot learning","URL":"https://pubs.acs.org/doi/10.1021/acsami.3c10323","volume":"15","author":[{"family":"Park","given":"Hyunsoo"},{"family":"Kang","given":"Yeonghun"},{"family":"Kim","given":"Jihan"}],"accessed":{"date-parts":[["2026",9,4]]},"issued":{"date-parts":[["2023",12,6]]}}}],"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14</w:t>
      </w:r>
      <w:r>
        <w:rPr>
          <w:rFonts w:ascii="Times New Roman" w:hAnsi="Times New Roman" w:cs="Times New Roman"/>
          <w:sz w:val="20"/>
          <w:szCs w:val="20"/>
        </w:rPr>
        <w:fldChar w:fldCharType="end"/>
      </w:r>
      <w:r>
        <w:rPr>
          <w:rFonts w:ascii="Times New Roman" w:hAnsi="Times New Roman" w:cs="Times New Roman"/>
          <w:sz w:val="20"/>
          <w:szCs w:val="20"/>
        </w:rPr>
        <w:t>; for consistency with the benchmark labels used throughout this work, this representation is denoted as MOFTransformer hereafter.</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In both routes, the pretrained encoder parameters were fixed and the models were used in inference mode. No CEES, DMMP or EtCl adsorption labels were supplied during embedding extraction, and no downstream adsorption-prediction head was used. The extracted vectors should therefore be interpreted as pretrained structural representations rather than task-specific uptake predictions. Target-specific regression models were trained separately on these fixed vectors during the representation benchmark.</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All extracted embeddings were associated with explicit MOF identifiers. The embedding matrices were subsequently aligned with the Manual descriptor table and GCMC adsorption labels by deterministic MOF ID matching.</w:t>
      </w:r>
    </w:p>
    <w:p>
      <w:pPr>
        <w:spacing w:line="276" w:lineRule="auto"/>
        <w:rPr>
          <w:rFonts w:ascii="Times New Roman" w:hAnsi="Times New Roman" w:cs="Times New Roman"/>
          <w:b/>
          <w:bCs/>
          <w:sz w:val="22"/>
        </w:rPr>
      </w:pPr>
      <w:r>
        <w:rPr>
          <w:rFonts w:ascii="Times New Roman" w:hAnsi="Times New Roman" w:cs="Times New Roman"/>
          <w:b/>
          <w:bCs/>
          <w:sz w:val="22"/>
        </w:rPr>
        <w:t>S4.2 MOFTransformer architecture and embedding extraction</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MOFTransformer is a multimodal Transformer model that combines atom-based graph information with an energy-grid description of the periodic framework. The atom-based graph branch encodes local chemical environments using atomic identities, neighbouring atoms and interatomic relations. The energy-grid branch provides a complementary representation of global pore geometry and the spatial variation of host–guest interaction energies. The two modalities are projected into a common token sequence and jointly contextualized by the Transformer encoder. A learnable class token serves as the global readout of the encoded framework.</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MOFTransformer route used the curated MOF CIF structures as input. Each CIF was converted into the graph and grid-based objects required by the model preprocessing pipeline, including the corresponding graph, energy-grid and grid-index files. The energy-grid inputs were generated directly from the 7,532 CIF structures using the standard MOFTransformer preprocessing workflow, in which GRIDAY calculates the three-dimensional energy grids using a united-atom methane probe with UFF parameters. These files were used only to construct the encoder inputs and were not themselves included as independent feature groups.</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pretrained PMTransformer checkpoint distributed within the MOFTransformer framework was loaded as a frozen encoder. For each MOF, the raw final-layer representation of the class token was extracted before application of a downstream property-prediction head. This 768-dimensional vector was used as the formal MOFTransformer representation throughout the benchmark. An additional pooled output was generated by the extraction code but was not used as a separate representation in this study.</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final MOFTransformer embedding matrix contained one 768-dimensional vector for each of the 7,532 MOFs retained in the common benchmark library. All embedding values were required to be finite, and each matrix row was linked to its corresponding MOF identifier.</w:t>
      </w:r>
    </w:p>
    <w:p>
      <w:pPr>
        <w:rPr>
          <w:rFonts w:ascii="Times New Roman" w:hAnsi="Times New Roman" w:cs="Times New Roman"/>
          <w:b/>
          <w:bCs/>
          <w:sz w:val="22"/>
        </w:rPr>
      </w:pPr>
      <w:r>
        <w:rPr>
          <w:rFonts w:ascii="Times New Roman" w:hAnsi="Times New Roman" w:cs="Times New Roman"/>
          <w:b/>
          <w:bCs/>
          <w:sz w:val="22"/>
        </w:rPr>
        <w:t>S4.3 Uni-MOF embedding extraction</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Uni-MOF represents a crystal structure using atom identities together with its three-dimensional periodic geometry. In the structural encoder used here, atom types were converted into token embeddings, while pairwise atomic distances and edge types were used to construct geometry-dependent attention information. The Transformer backbone then updated the atom-level representations through distance-aware self-attention. The first token of the final encoder output provided a fixed-length representation of the complete framework.</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same 7,532 CIF structures were converted into LMDB records compatible with the Uni-MOF data pipeline. Each record contained the MOF identifier, atomic species, Cartesian coordinates, fractional coordinates, unit-cell lengths and angles, the lattice matrix and unit-cell volume. The LMDB subset names used by the inference pipeline were implementation-level data-loading fields and did not define the downstream scientific train–test split.</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pretrained Uni-MOF backbone was loaded with all parameters fixed. Only crystal-structure information was supplied to the encoder; gas identity, temperature, pressure and adsorption labels were not included in the embedding input. The final representation was obtained from the first token of the last encoder output,</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sz w:val="20"/>
                <w:szCs w:val="20"/>
              </w:rPr>
            </m:ctrlPr>
          </m:sSubSupPr>
          <m:e>
            <m:r>
              <m:rPr>
                <m:sty m:val="b"/>
              </m:rPr>
              <w:rPr>
                <w:rFonts w:ascii="Cambria Math" w:hAnsi="Cambria Math" w:cs="Times New Roman"/>
                <w:sz w:val="20"/>
                <w:szCs w:val="20"/>
              </w:rPr>
              <m:t>h</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U</m:t>
                </m:r>
                <m:ctrlPr>
                  <w:rPr>
                    <w:rFonts w:ascii="Cambria Math" w:hAnsi="Cambria Math" w:cs="Times New Roman"/>
                    <w:sz w:val="20"/>
                    <w:szCs w:val="20"/>
                  </w:rPr>
                </m:ctrlPr>
              </m:e>
            </m:phant>
            <m:phant>
              <m:phantPr>
                <m:ctrlPr>
                  <w:rPr>
                    <w:rFonts w:ascii="Cambria Math" w:hAnsi="Cambria Math" w:cs="Times New Roman"/>
                    <w:sz w:val="20"/>
                    <w:szCs w:val="20"/>
                  </w:rPr>
                </m:ctrlPr>
              </m:phantPr>
              <m:e>
                <m:r>
                  <m:rPr>
                    <m:sty m:val="p"/>
                  </m:rPr>
                  <w:rPr>
                    <w:rFonts w:ascii="Cambria Math" w:hAnsi="Cambria Math" w:cs="Times New Roman"/>
                    <w:sz w:val="20"/>
                    <w:szCs w:val="20"/>
                  </w:rPr>
                  <m:t>n</m:t>
                </m:r>
                <m:ctrlPr>
                  <w:rPr>
                    <w:rFonts w:ascii="Cambria Math" w:hAnsi="Cambria Math" w:cs="Times New Roman"/>
                    <w:sz w:val="20"/>
                    <w:szCs w:val="20"/>
                  </w:rPr>
                </m:ctrlPr>
              </m:e>
            </m:phant>
            <m:phant>
              <m:phantPr>
                <m:ctrlPr>
                  <w:rPr>
                    <w:rFonts w:ascii="Cambria Math" w:hAnsi="Cambria Math" w:cs="Times New Roman"/>
                    <w:sz w:val="20"/>
                    <w:szCs w:val="20"/>
                  </w:rPr>
                </m:ctrlPr>
              </m:phantPr>
              <m:e>
                <m:r>
                  <m:rPr>
                    <m:sty m:val="p"/>
                  </m:rPr>
                  <w:rPr>
                    <w:rFonts w:ascii="Cambria Math" w:hAnsi="Cambria Math" w:cs="Times New Roman"/>
                    <w:sz w:val="20"/>
                    <w:szCs w:val="20"/>
                  </w:rPr>
                  <m:t>i</m:t>
                </m:r>
                <m:ctrlPr>
                  <w:rPr>
                    <w:rFonts w:ascii="Cambria Math" w:hAnsi="Cambria Math" w:cs="Times New Roman"/>
                    <w:sz w:val="20"/>
                    <w:szCs w:val="20"/>
                  </w:rPr>
                </m:ctrlPr>
              </m:e>
            </m:phant>
            <m:r>
              <m:rPr>
                <m:nor/>
                <m:sty m:val="p"/>
              </m:rPr>
              <w:rPr>
                <w:rFonts w:ascii="Times New Roman" w:hAnsi="Times New Roman" w:cs="Times New Roman"/>
                <w:sz w:val="20"/>
                <w:szCs w:val="20"/>
              </w:rPr>
              <m:t>-</m:t>
            </m:r>
            <m:phant>
              <m:phantPr>
                <m:ctrlPr>
                  <w:rPr>
                    <w:rFonts w:ascii="Cambria Math" w:hAnsi="Cambria Math" w:cs="Times New Roman"/>
                    <w:sz w:val="20"/>
                    <w:szCs w:val="20"/>
                  </w:rPr>
                </m:ctrlPr>
              </m:phantPr>
              <m:e>
                <m:r>
                  <m:rPr>
                    <m:sty m:val="p"/>
                  </m:rPr>
                  <w:rPr>
                    <w:rFonts w:ascii="Cambria Math" w:hAnsi="Cambria Math" w:cs="Times New Roman"/>
                    <w:sz w:val="20"/>
                    <w:szCs w:val="20"/>
                  </w:rPr>
                  <m:t>M</m:t>
                </m:r>
                <m:ctrlPr>
                  <w:rPr>
                    <w:rFonts w:ascii="Cambria Math" w:hAnsi="Cambria Math" w:cs="Times New Roman"/>
                    <w:sz w:val="20"/>
                    <w:szCs w:val="20"/>
                  </w:rPr>
                </m:ctrlPr>
              </m:e>
            </m:phant>
            <m:phant>
              <m:phantPr>
                <m:ctrlPr>
                  <w:rPr>
                    <w:rFonts w:ascii="Cambria Math" w:hAnsi="Cambria Math" w:cs="Times New Roman"/>
                    <w:sz w:val="20"/>
                    <w:szCs w:val="20"/>
                  </w:rPr>
                </m:ctrlPr>
              </m:phantPr>
              <m:e>
                <m:r>
                  <m:rPr>
                    <m:sty m:val="p"/>
                  </m:rPr>
                  <w:rPr>
                    <w:rFonts w:ascii="Cambria Math" w:hAnsi="Cambria Math" w:cs="Times New Roman"/>
                    <w:sz w:val="20"/>
                    <w:szCs w:val="20"/>
                  </w:rPr>
                  <m:t>O</m:t>
                </m:r>
                <m:ctrlPr>
                  <w:rPr>
                    <w:rFonts w:ascii="Cambria Math" w:hAnsi="Cambria Math" w:cs="Times New Roman"/>
                    <w:sz w:val="20"/>
                    <w:szCs w:val="20"/>
                  </w:rPr>
                </m:ctrlPr>
              </m:e>
            </m:phant>
            <m:phant>
              <m:phantPr>
                <m:ctrlPr>
                  <w:rPr>
                    <w:rFonts w:ascii="Cambria Math" w:hAnsi="Cambria Math" w:cs="Times New Roman"/>
                    <w:sz w:val="20"/>
                    <w:szCs w:val="20"/>
                  </w:rPr>
                </m:ctrlPr>
              </m:phantPr>
              <m:e>
                <m:r>
                  <m:rPr>
                    <m:sty m:val="p"/>
                  </m:rPr>
                  <w:rPr>
                    <w:rFonts w:ascii="Cambria Math" w:hAnsi="Cambria Math" w:cs="Times New Roman"/>
                    <w:sz w:val="20"/>
                    <w:szCs w:val="20"/>
                  </w:rPr>
                  <m:t>F</m:t>
                </m:r>
                <m:ctrlPr>
                  <w:rPr>
                    <w:rFonts w:ascii="Cambria Math" w:hAnsi="Cambria Math" w:cs="Times New Roman"/>
                    <w:sz w:val="20"/>
                    <w:szCs w:val="20"/>
                  </w:rPr>
                </m:ctrlPr>
              </m:e>
            </m:phant>
            <m:ctrlPr>
              <w:rPr>
                <w:rFonts w:ascii="Cambria Math" w:hAnsi="Cambria Math" w:cs="Times New Roman"/>
                <w:sz w:val="20"/>
                <w:szCs w:val="20"/>
              </w:rPr>
            </m:ctrlPr>
          </m:sup>
        </m:sSubSup>
        <m:r>
          <m:rPr/>
          <w:rPr>
            <w:rFonts w:ascii="Cambria Math" w:hAnsi="Cambria Math" w:cs="Times New Roman"/>
            <w:sz w:val="20"/>
            <w:szCs w:val="20"/>
          </w:rPr>
          <m:t>=</m:t>
        </m:r>
        <m:sSubSup>
          <m:sSubSupPr>
            <m:ctrlPr>
              <w:rPr>
                <w:rFonts w:ascii="Cambria Math" w:hAnsi="Cambria Math" w:cs="Times New Roman"/>
                <w:sz w:val="20"/>
                <w:szCs w:val="20"/>
              </w:rPr>
            </m:ctrlPr>
          </m:sSubSupPr>
          <m:e>
            <m:r>
              <m:rPr>
                <m:sty m:val="b"/>
              </m:rPr>
              <w:rPr>
                <w:rFonts w:ascii="Cambria Math" w:hAnsi="Cambria Math" w:cs="Times New Roman"/>
                <w:sz w:val="20"/>
                <w:szCs w:val="20"/>
              </w:rPr>
              <m:t>H</m:t>
            </m:r>
            <m:ctrlPr>
              <w:rPr>
                <w:rFonts w:ascii="Cambria Math" w:hAnsi="Cambria Math" w:cs="Times New Roman"/>
                <w:sz w:val="20"/>
                <w:szCs w:val="20"/>
              </w:rPr>
            </m:ctrlPr>
          </m:e>
          <m:sub>
            <m:r>
              <m:rPr/>
              <w:rPr>
                <w:rFonts w:ascii="Cambria Math" w:hAnsi="Cambria Math" w:cs="Times New Roman"/>
                <w:sz w:val="20"/>
                <w:szCs w:val="20"/>
              </w:rPr>
              <m:t>i,0</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L</m:t>
                </m:r>
                <m:ctrlPr>
                  <w:rPr>
                    <w:rFonts w:ascii="Cambria Math" w:hAnsi="Cambria Math" w:cs="Times New Roman"/>
                    <w:sz w:val="20"/>
                    <w:szCs w:val="20"/>
                  </w:rPr>
                </m:ctrlPr>
              </m:e>
            </m:d>
            <m:ctrlPr>
              <w:rPr>
                <w:rFonts w:ascii="Cambria Math" w:hAnsi="Cambria Math" w:cs="Times New Roman"/>
                <w:sz w:val="20"/>
                <w:szCs w:val="20"/>
              </w:rPr>
            </m:ctrlPr>
          </m:sup>
        </m:sSubSup>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(17)</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where </w:t>
      </w:r>
      <m:oMath>
        <m:sSubSup>
          <m:sSubSupPr>
            <m:ctrlPr>
              <w:rPr>
                <w:rFonts w:ascii="Cambria Math" w:hAnsi="Cambria Math" w:cs="Times New Roman"/>
                <w:sz w:val="20"/>
                <w:szCs w:val="20"/>
              </w:rPr>
            </m:ctrlPr>
          </m:sSubSupPr>
          <m:e>
            <m:r>
              <m:rPr>
                <m:sty m:val="b"/>
              </m:rPr>
              <w:rPr>
                <w:rFonts w:ascii="Cambria Math" w:hAnsi="Cambria Math" w:cs="Times New Roman"/>
                <w:sz w:val="20"/>
                <w:szCs w:val="20"/>
              </w:rPr>
              <m:t>H</m:t>
            </m:r>
            <m:ctrlPr>
              <w:rPr>
                <w:rFonts w:ascii="Cambria Math" w:hAnsi="Cambria Math" w:cs="Times New Roman"/>
                <w:sz w:val="20"/>
                <w:szCs w:val="20"/>
              </w:rPr>
            </m:ctrlPr>
          </m:e>
          <m:sub>
            <m:r>
              <m:rPr/>
              <w:rPr>
                <w:rFonts w:ascii="Cambria Math" w:hAnsi="Cambria Math" w:cs="Times New Roman"/>
                <w:sz w:val="20"/>
                <w:szCs w:val="20"/>
              </w:rPr>
              <m:t>i,0</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L</m:t>
                </m:r>
                <m:ctrlPr>
                  <w:rPr>
                    <w:rFonts w:ascii="Cambria Math" w:hAnsi="Cambria Math" w:cs="Times New Roman"/>
                    <w:sz w:val="20"/>
                    <w:szCs w:val="20"/>
                  </w:rPr>
                </m:ctrlPr>
              </m:e>
            </m:d>
            <m:ctrlPr>
              <w:rPr>
                <w:rFonts w:ascii="Cambria Math" w:hAnsi="Cambria Math" w:cs="Times New Roman"/>
                <w:sz w:val="20"/>
                <w:szCs w:val="20"/>
              </w:rPr>
            </m:ctrlPr>
          </m:sup>
        </m:sSubSup>
      </m:oMath>
      <w:r>
        <w:rPr>
          <w:rFonts w:ascii="Times New Roman" w:hAnsi="Times New Roman" w:cs="Times New Roman"/>
          <w:sz w:val="20"/>
          <w:szCs w:val="20"/>
        </w:rPr>
        <w:t xml:space="preserve">denotes the first-token representation for MOF </w:t>
      </w:r>
      <m:oMath>
        <m:r>
          <m:rPr/>
          <w:rPr>
            <w:rFonts w:ascii="Cambria Math" w:hAnsi="Cambria Math" w:cs="Times New Roman"/>
            <w:sz w:val="20"/>
            <w:szCs w:val="20"/>
          </w:rPr>
          <m:t>i</m:t>
        </m:r>
      </m:oMath>
      <w:r>
        <w:rPr>
          <w:rFonts w:ascii="Times New Roman" w:hAnsi="Times New Roman" w:cs="Times New Roman"/>
          <w:sz w:val="20"/>
          <w:szCs w:val="20"/>
        </w:rPr>
        <w:t xml:space="preserve">at the final encoder layer </w:t>
      </w:r>
      <m:oMath>
        <m:r>
          <m:rPr/>
          <w:rPr>
            <w:rFonts w:ascii="Cambria Math" w:hAnsi="Cambria Math" w:cs="Times New Roman"/>
            <w:sz w:val="20"/>
            <w:szCs w:val="20"/>
          </w:rPr>
          <m:t>L</m:t>
        </m:r>
      </m:oMath>
      <w:r>
        <w:rPr>
          <w:rFonts w:ascii="Times New Roman" w:hAnsi="Times New Roman" w:cs="Times New Roman"/>
          <w:sz w:val="20"/>
          <w:szCs w:val="20"/>
        </w:rPr>
        <w:t>. The resulting Uni-MOF embedding had 512 dimensions. All 7,532 input structures were successfully converted and embedded, yielding a 7,532×512 structural feature matrix.</w:t>
      </w:r>
    </w:p>
    <w:p>
      <w:pPr>
        <w:rPr>
          <w:rFonts w:ascii="Times New Roman" w:hAnsi="Times New Roman" w:cs="Times New Roman"/>
          <w:b/>
          <w:bCs/>
          <w:sz w:val="22"/>
        </w:rPr>
      </w:pPr>
      <w:r>
        <w:rPr>
          <w:rFonts w:ascii="Times New Roman" w:hAnsi="Times New Roman" w:cs="Times New Roman"/>
          <w:b/>
          <w:bCs/>
          <w:sz w:val="22"/>
        </w:rPr>
        <w:t>S4.4 MOF ID alignment and hybrid representation construction</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row-to-structure mapping of each embedding matrix was stored explicitly using MOF identifiers. Embedding rows were not matched to the Manual descriptors or adsorption labels using file-system order. Instead, each representation table was converted into a MOF-indexed table and merged with the common master table using the normalized MOF identifier as the unique key.</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alignment procedure included checks that the number of embedding rows matched the number of identifiers, that all identifiers were unique, and that all embedding values were finite. After alignment, the Manual, MOFTransformer and Uni-MOF representations covered the same 7,532 MOFs.</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two hybrid feature spaces were constructed by column-wise concatenation after ID alignment. Manual + MOFTransformer contained 14 Manual descriptors and 768 MOFTransformer coordinates, giving 782 dimensions. Manual + Uni-MOF contained 14 Manual descriptors and 512 Uni-MOF coordinates, giving 526 dimensions. No adsorption labels were used in either concatenation procedure.</w:t>
      </w:r>
    </w:p>
    <w:p>
      <w:pPr>
        <w:pStyle w:val="50"/>
        <w:jc w:val="center"/>
        <w:rPr>
          <w:rFonts w:cs="Times New Roman"/>
        </w:rPr>
      </w:pPr>
      <w:r>
        <w:rPr>
          <w:rFonts w:cs="Times New Roman"/>
          <w:b/>
        </w:rPr>
        <w:t xml:space="preserve">Supplementary Table </w:t>
      </w:r>
      <w:r>
        <w:rPr>
          <w:rFonts w:cs="Times New Roman" w:eastAsiaTheme="minorEastAsia"/>
          <w:b/>
          <w:lang w:eastAsia="zh-CN"/>
        </w:rPr>
        <w:t>8</w:t>
      </w:r>
      <w:r>
        <w:rPr>
          <w:rFonts w:cs="Times New Roman"/>
          <w:b/>
        </w:rPr>
        <w:t xml:space="preserve"> | Summary of material representations used in the benchmark</w:t>
      </w:r>
    </w:p>
    <w:tbl>
      <w:tblPr>
        <w:tblStyle w:val="20"/>
        <w:tblW w:w="0" w:type="auto"/>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1985"/>
        <w:gridCol w:w="2126"/>
        <w:gridCol w:w="1985"/>
        <w:gridCol w:w="1134"/>
      </w:tblGrid>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701"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Representation</w:t>
            </w:r>
          </w:p>
        </w:tc>
        <w:tc>
          <w:tcPr>
            <w:tcW w:w="1985"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b/>
                <w:sz w:val="20"/>
                <w:szCs w:val="20"/>
              </w:rPr>
              <w:t>Structural input</w:t>
            </w:r>
          </w:p>
        </w:tc>
        <w:tc>
          <w:tcPr>
            <w:tcW w:w="2126"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Encoding principle</w:t>
            </w:r>
          </w:p>
        </w:tc>
        <w:tc>
          <w:tcPr>
            <w:tcW w:w="1985"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Selected readout</w:t>
            </w:r>
          </w:p>
        </w:tc>
        <w:tc>
          <w:tcPr>
            <w:tcW w:w="1134"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Dimension</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701" w:type="dxa"/>
            <w:tcBorders>
              <w:top w:val="single" w:color="000000"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Manual</w:t>
            </w:r>
          </w:p>
        </w:tc>
        <w:tc>
          <w:tcPr>
            <w:tcW w:w="1985" w:type="dxa"/>
            <w:tcBorders>
              <w:top w:val="single" w:color="000000" w:sz="4" w:space="0"/>
            </w:tcBorders>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Calculated physicochemical quantities</w:t>
            </w:r>
          </w:p>
        </w:tc>
        <w:tc>
          <w:tcPr>
            <w:tcW w:w="2126"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Explicit pore, composition and coordination descriptors</w:t>
            </w:r>
          </w:p>
        </w:tc>
        <w:tc>
          <w:tcPr>
            <w:tcW w:w="1985"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Complete Manual vector</w:t>
            </w:r>
          </w:p>
        </w:tc>
        <w:tc>
          <w:tcPr>
            <w:tcW w:w="1134"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14</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701"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MOFTransformer</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Atom-based graph and energy-grid inputs</w:t>
            </w:r>
          </w:p>
        </w:tc>
        <w:tc>
          <w:tcPr>
            <w:tcW w:w="21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Multimodal Transformer encoding local and global framework information</w:t>
            </w:r>
          </w:p>
        </w:tc>
        <w:tc>
          <w:tcPr>
            <w:tcW w:w="1985"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Final-layer raw [CLS] token</w:t>
            </w:r>
          </w:p>
        </w:tc>
        <w:tc>
          <w:tcPr>
            <w:tcW w:w="113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768</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701"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Uni-MOF</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Atom types, 3D coordinates and lattice information</w:t>
            </w:r>
          </w:p>
        </w:tc>
        <w:tc>
          <w:tcPr>
            <w:tcW w:w="21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Geometry-aware Transformer using atomic and pairwise structural information</w:t>
            </w:r>
          </w:p>
        </w:tc>
        <w:tc>
          <w:tcPr>
            <w:tcW w:w="1985"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Final-layer first-token representation</w:t>
            </w:r>
          </w:p>
        </w:tc>
        <w:tc>
          <w:tcPr>
            <w:tcW w:w="113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512</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701"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Manual + MOFTransformer</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Manual and MOFTransformer</w:t>
            </w:r>
          </w:p>
        </w:tc>
        <w:tc>
          <w:tcPr>
            <w:tcW w:w="21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Column-wise concatenation after MOF ID alignment</w:t>
            </w:r>
          </w:p>
        </w:tc>
        <w:tc>
          <w:tcPr>
            <w:tcW w:w="1985"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Concatenated vector</w:t>
            </w:r>
          </w:p>
        </w:tc>
        <w:tc>
          <w:tcPr>
            <w:tcW w:w="113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782</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1701"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Manual + Uni-MOF</w:t>
            </w:r>
          </w:p>
        </w:tc>
        <w:tc>
          <w:tcPr>
            <w:tcW w:w="1985" w:type="dxa"/>
            <w:shd w:val="clear" w:color="auto" w:fill="FFFFFF"/>
            <w:tcMar>
              <w:top w:w="60" w:type="dxa"/>
              <w:left w:w="70" w:type="dxa"/>
              <w:bottom w:w="60" w:type="dxa"/>
              <w:right w:w="70" w:type="dxa"/>
            </w:tcMar>
            <w:vAlign w:val="center"/>
          </w:tcPr>
          <w:p>
            <w:pPr>
              <w:rPr>
                <w:rFonts w:ascii="Times New Roman" w:hAnsi="Times New Roman" w:cs="Times New Roman"/>
                <w:sz w:val="20"/>
                <w:szCs w:val="20"/>
              </w:rPr>
            </w:pPr>
            <w:r>
              <w:rPr>
                <w:rFonts w:ascii="Times New Roman" w:hAnsi="Times New Roman" w:cs="Times New Roman"/>
                <w:sz w:val="20"/>
                <w:szCs w:val="20"/>
              </w:rPr>
              <w:t>Manual and Uni-MOF</w:t>
            </w:r>
          </w:p>
        </w:tc>
        <w:tc>
          <w:tcPr>
            <w:tcW w:w="2126"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Column-wise concatenation after MOF ID alignment</w:t>
            </w:r>
          </w:p>
        </w:tc>
        <w:tc>
          <w:tcPr>
            <w:tcW w:w="1985"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Concatenated vector</w:t>
            </w:r>
          </w:p>
        </w:tc>
        <w:tc>
          <w:tcPr>
            <w:tcW w:w="1134"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526</w:t>
            </w:r>
          </w:p>
        </w:tc>
      </w:tr>
    </w:tbl>
    <w:p>
      <w:pPr>
        <w:rPr>
          <w:rFonts w:ascii="Times New Roman" w:hAnsi="Times New Roman" w:cs="Times New Roman"/>
          <w:b/>
          <w:bCs/>
          <w:sz w:val="22"/>
        </w:rPr>
      </w:pPr>
    </w:p>
    <w:p>
      <w:pPr>
        <w:widowControl/>
        <w:jc w:val="left"/>
        <w:rPr>
          <w:rFonts w:ascii="Times New Roman" w:hAnsi="Times New Roman" w:cs="Times New Roman"/>
          <w:b/>
          <w:bCs/>
          <w:sz w:val="22"/>
        </w:rPr>
      </w:pPr>
      <w:r>
        <w:rPr>
          <w:rFonts w:ascii="Times New Roman" w:hAnsi="Times New Roman" w:cs="Times New Roman"/>
          <w:b/>
          <w:bCs/>
          <w:sz w:val="22"/>
        </w:rPr>
        <w:br w:type="page"/>
      </w:r>
    </w:p>
    <w:p>
      <w:pPr>
        <w:pStyle w:val="2"/>
        <w:spacing w:before="0" w:after="0"/>
        <w:rPr>
          <w:rFonts w:ascii="Times New Roman" w:hAnsi="Times New Roman" w:cs="Times New Roman"/>
          <w:color w:val="auto"/>
          <w:sz w:val="28"/>
          <w:szCs w:val="28"/>
        </w:rPr>
      </w:pPr>
      <w:r>
        <w:rPr>
          <w:rFonts w:ascii="Times New Roman" w:hAnsi="Times New Roman" w:cs="Times New Roman"/>
          <w:b/>
          <w:bCs/>
          <w:color w:val="auto"/>
          <w:sz w:val="28"/>
          <w:szCs w:val="28"/>
        </w:rPr>
        <w:t>Supplementary Note 5 — Representation benchmark setup and full prediction results</w:t>
      </w:r>
    </w:p>
    <w:p>
      <w:pPr>
        <w:tabs>
          <w:tab w:val="left" w:pos="720"/>
        </w:tabs>
        <w:rPr>
          <w:rFonts w:ascii="Times New Roman" w:hAnsi="Times New Roman" w:cs="Times New Roman"/>
          <w:b/>
          <w:bCs/>
          <w:sz w:val="22"/>
        </w:rPr>
      </w:pPr>
      <w:r>
        <w:rPr>
          <w:rFonts w:ascii="Times New Roman" w:hAnsi="Times New Roman" w:cs="Times New Roman"/>
          <w:b/>
          <w:bCs/>
          <w:sz w:val="22"/>
        </w:rPr>
        <w:t>S5.1 Benchmark scope and task formulation</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representation benchmark was designed to compare adsorption prediction and discovery-oriented ranking across the five material representations defined in Supplementary Note 4. All representations were evaluated on the same curated set of 7,532 MOFs and the same GCMC-derived adsorption labels for CEES, DMMP and EtCl. The benchmark was intended as a controlled comparison of representation spaces rather than as a search for a universally optimal regression algorithm.</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CEES, DMMP and EtCl were modelled independently as three single-task regression problems. The target-vapour identity was not supplied as a model input, and no multi-task model was trained. Consequently, each target–representation combination was fitted and evaluated separately while retaining the same data-partitioning and model-selection protocol.</w:t>
      </w:r>
    </w:p>
    <w:p>
      <w:pPr>
        <w:rPr>
          <w:rFonts w:ascii="Times New Roman" w:hAnsi="Times New Roman" w:cs="Times New Roman"/>
          <w:b/>
          <w:bCs/>
          <w:sz w:val="22"/>
        </w:rPr>
      </w:pPr>
      <w:r>
        <w:rPr>
          <w:rFonts w:ascii="Times New Roman" w:hAnsi="Times New Roman" w:cs="Times New Roman"/>
          <w:b/>
          <w:bCs/>
          <w:sz w:val="22"/>
        </w:rPr>
        <w:t>S5.2 Evaluation metrics</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The representation benchmark distinguished three complementary aspects of model performance: absolute regression accuracy, global ranking consistency and high-uptake candidate recovery. Let </w:t>
      </w:r>
      <m:oMath>
        <m:r>
          <m:rPr/>
          <w:rPr>
            <w:rFonts w:ascii="Cambria Math" w:hAnsi="Cambria Math" w:cs="Times New Roman"/>
            <w:sz w:val="20"/>
            <w:szCs w:val="20"/>
          </w:rPr>
          <m:t>n</m:t>
        </m:r>
      </m:oMath>
      <w:r>
        <w:rPr>
          <w:rFonts w:ascii="Times New Roman" w:hAnsi="Times New Roman" w:cs="Times New Roman"/>
          <w:sz w:val="20"/>
          <w:szCs w:val="20"/>
        </w:rPr>
        <w:t xml:space="preserve">denote the number of held-out test samples, </w:t>
      </w:r>
      <m:oMath>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cs="Times New Roman"/>
          <w:sz w:val="20"/>
          <w:szCs w:val="20"/>
        </w:rPr>
        <w:t xml:space="preserve">the GCMC reference uptake of material </w:t>
      </w:r>
      <m:oMath>
        <m:r>
          <m:rPr/>
          <w:rPr>
            <w:rFonts w:ascii="Cambria Math" w:hAnsi="Cambria Math" w:cs="Times New Roman"/>
            <w:sz w:val="20"/>
            <w:szCs w:val="20"/>
          </w:rPr>
          <m:t>i</m:t>
        </m:r>
      </m:oMath>
      <w:r>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acc>
              <m:accPr>
                <m:ctrlPr>
                  <w:rPr>
                    <w:rFonts w:ascii="Cambria Math" w:hAnsi="Cambria Math" w:cs="Times New Roman"/>
                    <w:sz w:val="20"/>
                    <w:szCs w:val="20"/>
                  </w:rPr>
                </m:ctrlPr>
              </m:accPr>
              <m:e>
                <m:r>
                  <m:rPr/>
                  <w:rPr>
                    <w:rFonts w:ascii="Cambria Math" w:hAnsi="Cambria Math" w:cs="Times New Roman"/>
                    <w:sz w:val="20"/>
                    <w:szCs w:val="20"/>
                  </w:rPr>
                  <m:t>y</m:t>
                </m:r>
                <m:ctrlPr>
                  <w:rPr>
                    <w:rFonts w:ascii="Cambria Math" w:hAnsi="Cambria Math" w:cs="Times New Roman"/>
                    <w:sz w:val="20"/>
                    <w:szCs w:val="20"/>
                  </w:rPr>
                </m:ctrlPr>
              </m:e>
            </m:acc>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cs="Times New Roman"/>
          <w:sz w:val="20"/>
          <w:szCs w:val="20"/>
        </w:rPr>
        <w:t xml:space="preserve">the corresponding predicted uptake and </w:t>
      </w:r>
      <m:oMath>
        <m:acc>
          <m:accPr>
            <m:chr m:val="ˉ"/>
            <m:ctrlPr>
              <w:rPr>
                <w:rFonts w:ascii="Cambria Math" w:hAnsi="Cambria Math" w:cs="Times New Roman"/>
                <w:sz w:val="20"/>
                <w:szCs w:val="20"/>
              </w:rPr>
            </m:ctrlPr>
          </m:accPr>
          <m:e>
            <m:r>
              <m:rPr/>
              <w:rPr>
                <w:rFonts w:ascii="Cambria Math" w:hAnsi="Cambria Math" w:cs="Times New Roman"/>
                <w:sz w:val="20"/>
                <w:szCs w:val="20"/>
              </w:rPr>
              <m:t>y</m:t>
            </m:r>
            <m:ctrlPr>
              <w:rPr>
                <w:rFonts w:ascii="Cambria Math" w:hAnsi="Cambria Math" w:cs="Times New Roman"/>
                <w:sz w:val="20"/>
                <w:szCs w:val="20"/>
              </w:rPr>
            </m:ctrlPr>
          </m:e>
        </m:acc>
      </m:oMath>
      <w:r>
        <w:rPr>
          <w:rFonts w:ascii="Times New Roman" w:hAnsi="Times New Roman" w:cs="Times New Roman"/>
          <w:sz w:val="20"/>
          <w:szCs w:val="20"/>
        </w:rPr>
        <w:t>the mean reference uptake over the test set.</w:t>
      </w:r>
    </w:p>
    <w:p>
      <w:pPr>
        <w:rPr>
          <w:rFonts w:ascii="Times New Roman" w:hAnsi="Times New Roman" w:cs="Times New Roman"/>
          <w:b/>
          <w:bCs/>
          <w:sz w:val="22"/>
        </w:rPr>
      </w:pPr>
      <w:r>
        <w:rPr>
          <w:rFonts w:ascii="Times New Roman" w:hAnsi="Times New Roman" w:cs="Times New Roman"/>
          <w:b/>
          <w:bCs/>
          <w:sz w:val="22"/>
        </w:rPr>
        <w:t>S5.2.1 Regression-accuracy metrics</w:t>
      </w:r>
    </w:p>
    <w:p>
      <w:pPr>
        <w:spacing w:line="276" w:lineRule="auto"/>
        <w:rPr>
          <w:rFonts w:ascii="Times New Roman" w:hAnsi="Times New Roman" w:cs="Times New Roman"/>
          <w:sz w:val="20"/>
          <w:szCs w:val="20"/>
        </w:rPr>
      </w:pPr>
      <w:r>
        <w:rPr>
          <w:rFonts w:ascii="Times New Roman" w:hAnsi="Times New Roman" w:cs="Times New Roman"/>
          <w:sz w:val="20"/>
          <w:szCs w:val="20"/>
        </w:rPr>
        <w:t>The coefficient of determination was calculated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2</m:t>
            </m:r>
            <m:ctrlPr>
              <w:rPr>
                <w:rFonts w:ascii="Cambria Math" w:hAnsi="Cambria Math" w:cs="Times New Roman"/>
                <w:sz w:val="20"/>
                <w:szCs w:val="20"/>
              </w:rPr>
            </m:ctrlPr>
          </m:sup>
        </m:sSup>
        <m:r>
          <m:rPr/>
          <w:rPr>
            <w:rFonts w:ascii="Cambria Math" w:hAnsi="Cambria Math" w:cs="Times New Roman"/>
            <w:sz w:val="20"/>
            <w:szCs w:val="20"/>
          </w:rPr>
          <m:t>=1−</m:t>
        </m:r>
        <m:f>
          <m:fPr>
            <m:ctrlPr>
              <w:rPr>
                <w:rFonts w:ascii="Cambria Math" w:hAnsi="Cambria Math" w:cs="Times New Roman"/>
                <w:sz w:val="20"/>
                <w:szCs w:val="20"/>
              </w:rPr>
            </m:ctrlPr>
          </m:fPr>
          <m:num>
            <m:nary>
              <m:naryPr>
                <m:chr m:val="∑"/>
                <m:grow m:val="1"/>
                <m:limLoc m:val="subSup"/>
                <m:ctrlPr>
                  <w:rPr>
                    <w:rFonts w:ascii="Cambria Math" w:hAnsi="Cambria Math" w:cs="Times New Roman"/>
                    <w:sz w:val="20"/>
                    <w:szCs w:val="20"/>
                  </w:rPr>
                </m:ctrlPr>
              </m:naryPr>
              <m:sub>
                <m:r>
                  <m:rPr/>
                  <w:rPr>
                    <w:rFonts w:ascii="Cambria Math" w:hAnsi="Cambria Math" w:cs="Times New Roman"/>
                    <w:sz w:val="20"/>
                    <w:szCs w:val="20"/>
                  </w:rPr>
                  <m:t>i=1</m:t>
                </m:r>
                <m:ctrlPr>
                  <w:rPr>
                    <w:rFonts w:ascii="Cambria Math" w:hAnsi="Cambria Math" w:cs="Times New Roman"/>
                    <w:sz w:val="20"/>
                    <w:szCs w:val="20"/>
                  </w:rPr>
                </m:ctrlPr>
              </m:sub>
              <m:sup>
                <m:r>
                  <m:rPr/>
                  <w:rPr>
                    <w:rFonts w:ascii="Cambria Math" w:hAnsi="Cambria Math" w:cs="Times New Roman"/>
                    <w:sz w:val="20"/>
                    <w:szCs w:val="20"/>
                  </w:rPr>
                  <m:t>n</m:t>
                </m:r>
                <m:ctrlPr>
                  <w:rPr>
                    <w:rFonts w:ascii="Cambria Math" w:hAnsi="Cambria Math" w:cs="Times New Roman"/>
                    <w:sz w:val="20"/>
                    <w:szCs w:val="20"/>
                  </w:rPr>
                </m:ctrlPr>
              </m:sup>
              <m:e>
                <m:r>
                  <m:rPr/>
                  <w:rPr>
                    <w:rFonts w:ascii="Cambria Math" w:hAnsi="Cambria Math" w:cs="Times New Roman"/>
                    <w:sz w:val="20"/>
                    <w:szCs w:val="20"/>
                  </w:rPr>
                  <m:t>(</m:t>
                </m:r>
                <m:ctrlPr>
                  <w:rPr>
                    <w:rFonts w:ascii="Cambria Math" w:hAnsi="Cambria Math" w:cs="Times New Roman"/>
                    <w:sz w:val="20"/>
                    <w:szCs w:val="20"/>
                  </w:rPr>
                </m:ctrlPr>
              </m:e>
            </m:nary>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acc>
                  <m:accPr>
                    <m:ctrlPr>
                      <w:rPr>
                        <w:rFonts w:ascii="Cambria Math" w:hAnsi="Cambria Math" w:cs="Times New Roman"/>
                        <w:sz w:val="20"/>
                        <w:szCs w:val="20"/>
                      </w:rPr>
                    </m:ctrlPr>
                  </m:accPr>
                  <m:e>
                    <m:r>
                      <m:rPr/>
                      <w:rPr>
                        <w:rFonts w:ascii="Cambria Math" w:hAnsi="Cambria Math" w:cs="Times New Roman"/>
                        <w:sz w:val="20"/>
                        <w:szCs w:val="20"/>
                      </w:rPr>
                      <m:t>y</m:t>
                    </m:r>
                    <m:ctrlPr>
                      <w:rPr>
                        <w:rFonts w:ascii="Cambria Math" w:hAnsi="Cambria Math" w:cs="Times New Roman"/>
                        <w:sz w:val="20"/>
                        <w:szCs w:val="20"/>
                      </w:rPr>
                    </m:ctrlPr>
                  </m:e>
                </m:acc>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sSup>
              <m:sSupPr>
                <m:ctrlPr>
                  <w:rPr>
                    <w:rFonts w:ascii="Cambria Math" w:hAnsi="Cambria Math" w:cs="Times New Roman"/>
                    <w:sz w:val="20"/>
                    <w:szCs w:val="20"/>
                  </w:rPr>
                </m:ctrlPr>
              </m:sSupPr>
              <m:e>
                <m:r>
                  <m:rPr/>
                  <w:rPr>
                    <w:rFonts w:ascii="Cambria Math" w:hAnsi="Cambria Math" w:cs="Times New Roman"/>
                    <w:sz w:val="20"/>
                    <w:szCs w:val="20"/>
                  </w:rPr>
                  <m:t>)</m:t>
                </m:r>
                <m:ctrlPr>
                  <w:rPr>
                    <w:rFonts w:ascii="Cambria Math" w:hAnsi="Cambria Math" w:cs="Times New Roman"/>
                    <w:sz w:val="20"/>
                    <w:szCs w:val="20"/>
                  </w:rPr>
                </m:ctrlPr>
              </m:e>
              <m:sup>
                <m:r>
                  <m:rPr/>
                  <w:rPr>
                    <w:rFonts w:ascii="Cambria Math" w:hAnsi="Cambria Math" w:cs="Times New Roman"/>
                    <w:sz w:val="20"/>
                    <w:szCs w:val="20"/>
                  </w:rPr>
                  <m:t>2</m:t>
                </m:r>
                <m:ctrlPr>
                  <w:rPr>
                    <w:rFonts w:ascii="Cambria Math" w:hAnsi="Cambria Math" w:cs="Times New Roman"/>
                    <w:sz w:val="20"/>
                    <w:szCs w:val="20"/>
                  </w:rPr>
                </m:ctrlPr>
              </m:sup>
            </m:sSup>
            <m:ctrlPr>
              <w:rPr>
                <w:rFonts w:ascii="Cambria Math" w:hAnsi="Cambria Math" w:cs="Times New Roman"/>
                <w:sz w:val="20"/>
                <w:szCs w:val="20"/>
              </w:rPr>
            </m:ctrlPr>
          </m:num>
          <m:den>
            <m:nary>
              <m:naryPr>
                <m:chr m:val="∑"/>
                <m:grow m:val="1"/>
                <m:limLoc m:val="subSup"/>
                <m:ctrlPr>
                  <w:rPr>
                    <w:rFonts w:ascii="Cambria Math" w:hAnsi="Cambria Math" w:cs="Times New Roman"/>
                    <w:sz w:val="20"/>
                    <w:szCs w:val="20"/>
                  </w:rPr>
                </m:ctrlPr>
              </m:naryPr>
              <m:sub>
                <m:r>
                  <m:rPr/>
                  <w:rPr>
                    <w:rFonts w:ascii="Cambria Math" w:hAnsi="Cambria Math" w:cs="Times New Roman"/>
                    <w:sz w:val="20"/>
                    <w:szCs w:val="20"/>
                  </w:rPr>
                  <m:t>i=1</m:t>
                </m:r>
                <m:ctrlPr>
                  <w:rPr>
                    <w:rFonts w:ascii="Cambria Math" w:hAnsi="Cambria Math" w:cs="Times New Roman"/>
                    <w:sz w:val="20"/>
                    <w:szCs w:val="20"/>
                  </w:rPr>
                </m:ctrlPr>
              </m:sub>
              <m:sup>
                <m:r>
                  <m:rPr/>
                  <w:rPr>
                    <w:rFonts w:ascii="Cambria Math" w:hAnsi="Cambria Math" w:cs="Times New Roman"/>
                    <w:sz w:val="20"/>
                    <w:szCs w:val="20"/>
                  </w:rPr>
                  <m:t>n</m:t>
                </m:r>
                <m:ctrlPr>
                  <w:rPr>
                    <w:rFonts w:ascii="Cambria Math" w:hAnsi="Cambria Math" w:cs="Times New Roman"/>
                    <w:sz w:val="20"/>
                    <w:szCs w:val="20"/>
                  </w:rPr>
                </m:ctrlPr>
              </m:sup>
              <m:e>
                <m:r>
                  <m:rPr/>
                  <w:rPr>
                    <w:rFonts w:ascii="Cambria Math" w:hAnsi="Cambria Math" w:cs="Times New Roman"/>
                    <w:sz w:val="20"/>
                    <w:szCs w:val="20"/>
                  </w:rPr>
                  <m:t>(</m:t>
                </m:r>
                <m:ctrlPr>
                  <w:rPr>
                    <w:rFonts w:ascii="Cambria Math" w:hAnsi="Cambria Math" w:cs="Times New Roman"/>
                    <w:sz w:val="20"/>
                    <w:szCs w:val="20"/>
                  </w:rPr>
                </m:ctrlPr>
              </m:e>
            </m:nary>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m:t>
            </m:r>
            <m:acc>
              <m:accPr>
                <m:chr m:val="̅"/>
                <m:ctrlPr>
                  <w:rPr>
                    <w:rFonts w:ascii="Cambria Math" w:hAnsi="Cambria Math" w:cs="Times New Roman"/>
                    <w:i/>
                    <w:sz w:val="20"/>
                    <w:szCs w:val="20"/>
                  </w:rPr>
                </m:ctrlPr>
              </m:accPr>
              <m:e>
                <m:r>
                  <m:rPr/>
                  <w:rPr>
                    <w:rFonts w:ascii="Cambria Math" w:hAnsi="Cambria Math" w:cs="Times New Roman"/>
                    <w:sz w:val="20"/>
                    <w:szCs w:val="20"/>
                  </w:rPr>
                  <m:t>y</m:t>
                </m:r>
                <m:ctrlPr>
                  <w:rPr>
                    <w:rFonts w:ascii="Cambria Math" w:hAnsi="Cambria Math" w:cs="Times New Roman"/>
                    <w:i/>
                    <w:sz w:val="20"/>
                    <w:szCs w:val="20"/>
                  </w:rPr>
                </m:ctrlPr>
              </m:e>
            </m:acc>
            <m:sSup>
              <m:sSupPr>
                <m:ctrlPr>
                  <w:rPr>
                    <w:rFonts w:ascii="Cambria Math" w:hAnsi="Cambria Math" w:cs="Times New Roman"/>
                    <w:sz w:val="20"/>
                    <w:szCs w:val="20"/>
                  </w:rPr>
                </m:ctrlPr>
              </m:sSupPr>
              <m:e>
                <m:r>
                  <m:rPr/>
                  <w:rPr>
                    <w:rFonts w:ascii="Cambria Math" w:hAnsi="Cambria Math" w:cs="Times New Roman"/>
                    <w:sz w:val="20"/>
                    <w:szCs w:val="20"/>
                  </w:rPr>
                  <m:t>)</m:t>
                </m:r>
                <m:ctrlPr>
                  <w:rPr>
                    <w:rFonts w:ascii="Cambria Math" w:hAnsi="Cambria Math" w:cs="Times New Roman"/>
                    <w:sz w:val="20"/>
                    <w:szCs w:val="20"/>
                  </w:rPr>
                </m:ctrlPr>
              </m:e>
              <m:sup>
                <m:r>
                  <m:rPr/>
                  <w:rPr>
                    <w:rFonts w:ascii="Cambria Math" w:hAnsi="Cambria Math" w:cs="Times New Roman"/>
                    <w:sz w:val="20"/>
                    <w:szCs w:val="20"/>
                  </w:rPr>
                  <m:t>2</m:t>
                </m:r>
                <m:ctrlPr>
                  <w:rPr>
                    <w:rFonts w:ascii="Cambria Math" w:hAnsi="Cambria Math" w:cs="Times New Roman"/>
                    <w:sz w:val="20"/>
                    <w:szCs w:val="20"/>
                  </w:rPr>
                </m:ctrlPr>
              </m:sup>
            </m:sSup>
            <m:ctrlPr>
              <w:rPr>
                <w:rFonts w:ascii="Cambria Math" w:hAnsi="Cambria Math" w:cs="Times New Roman"/>
                <w:sz w:val="20"/>
                <w:szCs w:val="20"/>
              </w:rPr>
            </m:ctrlPr>
          </m:den>
        </m:f>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(18)</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Higher </w:t>
      </w:r>
      <m:oMath>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2</m:t>
            </m:r>
            <m:ctrlPr>
              <w:rPr>
                <w:rFonts w:ascii="Cambria Math" w:hAnsi="Cambria Math" w:cs="Times New Roman"/>
                <w:sz w:val="20"/>
                <w:szCs w:val="20"/>
              </w:rPr>
            </m:ctrlPr>
          </m:sup>
        </m:sSup>
      </m:oMath>
      <w:r>
        <w:rPr>
          <w:rFonts w:ascii="Times New Roman" w:hAnsi="Times New Roman" w:cs="Times New Roman"/>
          <w:sz w:val="20"/>
          <w:szCs w:val="20"/>
        </w:rPr>
        <w:t>indicates that a larger fraction of the variation in the held-out uptake values is explained by the model. Values below zero indicate performance worse than a constant predictor based on the test-set mean. The root mean squared error was defined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phant>
          <m:phantPr>
            <m:ctrlPr>
              <w:rPr>
                <w:rFonts w:ascii="Cambria Math" w:hAnsi="Cambria Math" w:cs="Times New Roman"/>
                <w:sz w:val="20"/>
                <w:szCs w:val="20"/>
              </w:rPr>
            </m:ctrlPr>
          </m:phantPr>
          <m:e>
            <m:r>
              <m:rPr>
                <m:sty m:val="p"/>
              </m:rPr>
              <w:rPr>
                <w:rFonts w:ascii="Cambria Math" w:hAnsi="Cambria Math" w:cs="Times New Roman"/>
                <w:sz w:val="20"/>
                <w:szCs w:val="20"/>
              </w:rPr>
              <m:t>RMSE</m:t>
            </m:r>
            <m:ctrlPr>
              <w:rPr>
                <w:rFonts w:ascii="Cambria Math" w:hAnsi="Cambria Math" w:cs="Times New Roman"/>
                <w:sz w:val="20"/>
                <w:szCs w:val="20"/>
              </w:rPr>
            </m:ctrlPr>
          </m:e>
        </m:phant>
        <m:r>
          <m:rPr/>
          <w:rPr>
            <w:rFonts w:ascii="Cambria Math" w:hAnsi="Cambria Math" w:cs="Times New Roman"/>
            <w:sz w:val="20"/>
            <w:szCs w:val="20"/>
          </w:rPr>
          <m:t>=</m:t>
        </m:r>
        <m:sSup>
          <m:sSupPr>
            <m:ctrlPr>
              <w:rPr>
                <w:rFonts w:ascii="Cambria Math" w:hAnsi="Cambria Math" w:cs="Times New Roman"/>
                <w:sz w:val="20"/>
                <w:szCs w:val="20"/>
              </w:rPr>
            </m:ctrlPr>
          </m:sSupPr>
          <m:e>
            <m:d>
              <m:dPr>
                <m:begChr m:val="["/>
                <m:endChr m:val="]"/>
                <m:ctrlPr>
                  <w:rPr>
                    <w:rFonts w:ascii="Cambria Math" w:hAnsi="Cambria Math" w:cs="Times New Roman"/>
                    <w:sz w:val="20"/>
                    <w:szCs w:val="20"/>
                  </w:rPr>
                </m:ctrlPr>
              </m:dPr>
              <m:e>
                <m:f>
                  <m:fPr>
                    <m:ctrlPr>
                      <w:rPr>
                        <w:rFonts w:ascii="Cambria Math" w:hAnsi="Cambria Math" w:cs="Times New Roman"/>
                        <w:sz w:val="20"/>
                        <w:szCs w:val="20"/>
                      </w:rPr>
                    </m:ctrlPr>
                  </m:fPr>
                  <m:num>
                    <m:r>
                      <m:rPr/>
                      <w:rPr>
                        <w:rFonts w:ascii="Cambria Math" w:hAnsi="Cambria Math" w:cs="Times New Roman"/>
                        <w:sz w:val="20"/>
                        <w:szCs w:val="20"/>
                      </w:rPr>
                      <m:t>1</m:t>
                    </m:r>
                    <m:ctrlPr>
                      <w:rPr>
                        <w:rFonts w:ascii="Cambria Math" w:hAnsi="Cambria Math" w:cs="Times New Roman"/>
                        <w:sz w:val="20"/>
                        <w:szCs w:val="20"/>
                      </w:rPr>
                    </m:ctrlPr>
                  </m:num>
                  <m:den>
                    <m:r>
                      <m:rPr/>
                      <w:rPr>
                        <w:rFonts w:ascii="Cambria Math" w:hAnsi="Cambria Math" w:cs="Times New Roman"/>
                        <w:sz w:val="20"/>
                        <w:szCs w:val="20"/>
                      </w:rPr>
                      <m:t>n</m:t>
                    </m:r>
                    <m:ctrlPr>
                      <w:rPr>
                        <w:rFonts w:ascii="Cambria Math" w:hAnsi="Cambria Math" w:cs="Times New Roman"/>
                        <w:sz w:val="20"/>
                        <w:szCs w:val="20"/>
                      </w:rPr>
                    </m:ctrlPr>
                  </m:den>
                </m:f>
                <m:nary>
                  <m:naryPr>
                    <m:chr m:val="∑"/>
                    <m:grow m:val="1"/>
                    <m:limLoc m:val="subSup"/>
                    <m:ctrlPr>
                      <w:rPr>
                        <w:rFonts w:ascii="Cambria Math" w:hAnsi="Cambria Math" w:cs="Times New Roman"/>
                        <w:sz w:val="20"/>
                        <w:szCs w:val="20"/>
                      </w:rPr>
                    </m:ctrlPr>
                  </m:naryPr>
                  <m:sub>
                    <m:r>
                      <m:rPr/>
                      <w:rPr>
                        <w:rFonts w:ascii="Cambria Math" w:hAnsi="Cambria Math" w:cs="Times New Roman"/>
                        <w:sz w:val="20"/>
                        <w:szCs w:val="20"/>
                      </w:rPr>
                      <m:t>i=1</m:t>
                    </m:r>
                    <m:ctrlPr>
                      <w:rPr>
                        <w:rFonts w:ascii="Cambria Math" w:hAnsi="Cambria Math" w:cs="Times New Roman"/>
                        <w:sz w:val="20"/>
                        <w:szCs w:val="20"/>
                      </w:rPr>
                    </m:ctrlPr>
                  </m:sub>
                  <m:sup>
                    <m:r>
                      <m:rPr/>
                      <w:rPr>
                        <w:rFonts w:ascii="Cambria Math" w:hAnsi="Cambria Math" w:cs="Times New Roman"/>
                        <w:sz w:val="20"/>
                        <w:szCs w:val="20"/>
                      </w:rPr>
                      <m:t>n</m:t>
                    </m:r>
                    <m:ctrlPr>
                      <w:rPr>
                        <w:rFonts w:ascii="Cambria Math" w:hAnsi="Cambria Math" w:cs="Times New Roman"/>
                        <w:sz w:val="20"/>
                        <w:szCs w:val="20"/>
                      </w:rPr>
                    </m:ctrlPr>
                  </m:sup>
                  <m:e>
                    <m:sSup>
                      <m:sSupPr>
                        <m:ctrlPr>
                          <w:rPr>
                            <w:rFonts w:ascii="Cambria Math" w:hAnsi="Cambria Math" w:cs="Times New Roman"/>
                            <w:sz w:val="20"/>
                            <w:szCs w:val="20"/>
                          </w:rPr>
                        </m:ctrlPr>
                      </m:sSupPr>
                      <m:e>
                        <m:d>
                          <m:dPr>
                            <m:sepChr m:val="−"/>
                            <m:ctrlPr>
                              <w:rPr>
                                <w:rFonts w:ascii="Cambria Math" w:hAnsi="Cambria Math" w:cs="Times New Roman"/>
                                <w:sz w:val="20"/>
                                <w:szCs w:val="20"/>
                              </w:rPr>
                            </m:ctrlPr>
                          </m:dPr>
                          <m:e>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ctrlPr>
                              <w:rPr>
                                <w:rFonts w:ascii="Cambria Math" w:hAnsi="Cambria Math" w:cs="Times New Roman"/>
                                <w:sz w:val="20"/>
                                <w:szCs w:val="20"/>
                              </w:rPr>
                            </m:ctrlPr>
                          </m:e>
                          <m:e>
                            <m:sSub>
                              <m:sSubPr>
                                <m:ctrlPr>
                                  <w:rPr>
                                    <w:rFonts w:ascii="Cambria Math" w:hAnsi="Cambria Math" w:cs="Times New Roman"/>
                                    <w:sz w:val="20"/>
                                    <w:szCs w:val="20"/>
                                  </w:rPr>
                                </m:ctrlPr>
                              </m:sSubPr>
                              <m:e>
                                <m:acc>
                                  <m:accPr>
                                    <m:ctrlPr>
                                      <w:rPr>
                                        <w:rFonts w:ascii="Cambria Math" w:hAnsi="Cambria Math" w:cs="Times New Roman"/>
                                        <w:sz w:val="20"/>
                                        <w:szCs w:val="20"/>
                                      </w:rPr>
                                    </m:ctrlPr>
                                  </m:accPr>
                                  <m:e>
                                    <m:r>
                                      <m:rPr/>
                                      <w:rPr>
                                        <w:rFonts w:ascii="Cambria Math" w:hAnsi="Cambria Math" w:cs="Times New Roman"/>
                                        <w:sz w:val="20"/>
                                        <w:szCs w:val="20"/>
                                      </w:rPr>
                                      <m:t>y</m:t>
                                    </m:r>
                                    <m:ctrlPr>
                                      <w:rPr>
                                        <w:rFonts w:ascii="Cambria Math" w:hAnsi="Cambria Math" w:cs="Times New Roman"/>
                                        <w:sz w:val="20"/>
                                        <w:szCs w:val="20"/>
                                      </w:rPr>
                                    </m:ctrlPr>
                                  </m:e>
                                </m:acc>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ctrlPr>
                              <w:rPr>
                                <w:rFonts w:ascii="Cambria Math" w:hAnsi="Cambria Math" w:cs="Times New Roman"/>
                                <w:sz w:val="20"/>
                                <w:szCs w:val="20"/>
                              </w:rPr>
                            </m:ctrlPr>
                          </m:e>
                        </m:d>
                        <m:ctrlPr>
                          <w:rPr>
                            <w:rFonts w:ascii="Cambria Math" w:hAnsi="Cambria Math" w:cs="Times New Roman"/>
                            <w:sz w:val="20"/>
                            <w:szCs w:val="20"/>
                          </w:rPr>
                        </m:ctrlPr>
                      </m:e>
                      <m:sup>
                        <m:r>
                          <m:rPr/>
                          <w:rPr>
                            <w:rFonts w:ascii="Cambria Math" w:hAnsi="Cambria Math" w:cs="Times New Roman"/>
                            <w:sz w:val="20"/>
                            <w:szCs w:val="20"/>
                          </w:rPr>
                          <m:t>2</m:t>
                        </m:r>
                        <m:ctrlPr>
                          <w:rPr>
                            <w:rFonts w:ascii="Cambria Math" w:hAnsi="Cambria Math" w:cs="Times New Roman"/>
                            <w:sz w:val="20"/>
                            <w:szCs w:val="20"/>
                          </w:rPr>
                        </m:ctrlPr>
                      </m:sup>
                    </m:sSup>
                    <m:ctrlPr>
                      <w:rPr>
                        <w:rFonts w:ascii="Cambria Math" w:hAnsi="Cambria Math" w:cs="Times New Roman"/>
                        <w:sz w:val="20"/>
                        <w:szCs w:val="20"/>
                      </w:rPr>
                    </m:ctrlPr>
                  </m:e>
                </m:nary>
                <m:ctrlPr>
                  <w:rPr>
                    <w:rFonts w:ascii="Cambria Math" w:hAnsi="Cambria Math" w:cs="Times New Roman"/>
                    <w:sz w:val="20"/>
                    <w:szCs w:val="20"/>
                  </w:rPr>
                </m:ctrlPr>
              </m:e>
            </m:d>
            <m:ctrlPr>
              <w:rPr>
                <w:rFonts w:ascii="Cambria Math" w:hAnsi="Cambria Math" w:cs="Times New Roman"/>
                <w:sz w:val="20"/>
                <w:szCs w:val="20"/>
              </w:rPr>
            </m:ctrlPr>
          </m:e>
          <m:sup>
            <m:r>
              <m:rPr/>
              <w:rPr>
                <w:rFonts w:ascii="Cambria Math" w:hAnsi="Cambria Math" w:cs="Times New Roman"/>
                <w:sz w:val="20"/>
                <w:szCs w:val="20"/>
              </w:rPr>
              <m:t>1/2</m:t>
            </m:r>
            <m:ctrlPr>
              <w:rPr>
                <w:rFonts w:ascii="Cambria Math" w:hAnsi="Cambria Math" w:cs="Times New Roman"/>
                <w:sz w:val="20"/>
                <w:szCs w:val="20"/>
              </w:rPr>
            </m:ctrlPr>
          </m:sup>
        </m:sSup>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(19)</w:t>
      </w:r>
    </w:p>
    <w:p>
      <w:pPr>
        <w:spacing w:line="276" w:lineRule="auto"/>
        <w:rPr>
          <w:rFonts w:ascii="Times New Roman" w:hAnsi="Times New Roman" w:cs="Times New Roman"/>
        </w:rPr>
      </w:pPr>
      <w:r>
        <w:rPr>
          <w:rFonts w:ascii="Times New Roman" w:hAnsi="Times New Roman" w:cs="Times New Roman"/>
        </w:rPr>
        <w:t>Because prediction errors are squared before averaging, RMSE assigns greater weight to large deviations. The mean absolute error was defined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phant>
          <m:phantPr>
            <m:ctrlPr>
              <w:rPr>
                <w:rFonts w:ascii="Cambria Math" w:hAnsi="Cambria Math" w:cs="Times New Roman"/>
                <w:sz w:val="20"/>
                <w:szCs w:val="20"/>
              </w:rPr>
            </m:ctrlPr>
          </m:phantPr>
          <m:e>
            <m:r>
              <m:rPr>
                <m:sty m:val="p"/>
              </m:rPr>
              <w:rPr>
                <w:rFonts w:ascii="Cambria Math" w:hAnsi="Cambria Math" w:cs="Times New Roman"/>
                <w:sz w:val="20"/>
                <w:szCs w:val="20"/>
              </w:rPr>
              <m:t>MAE</m:t>
            </m:r>
            <m:ctrlPr>
              <w:rPr>
                <w:rFonts w:ascii="Cambria Math" w:hAnsi="Cambria Math" w:cs="Times New Roman"/>
                <w:sz w:val="20"/>
                <w:szCs w:val="20"/>
              </w:rPr>
            </m:ctrlPr>
          </m:e>
        </m:phant>
        <m:r>
          <m:rPr/>
          <w:rPr>
            <w:rFonts w:ascii="Cambria Math" w:hAnsi="Cambria Math" w:cs="Times New Roman"/>
            <w:sz w:val="20"/>
            <w:szCs w:val="20"/>
          </w:rPr>
          <m:t>=</m:t>
        </m:r>
        <m:f>
          <m:fPr>
            <m:ctrlPr>
              <w:rPr>
                <w:rFonts w:ascii="Cambria Math" w:hAnsi="Cambria Math" w:cs="Times New Roman"/>
                <w:sz w:val="20"/>
                <w:szCs w:val="20"/>
              </w:rPr>
            </m:ctrlPr>
          </m:fPr>
          <m:num>
            <m:r>
              <m:rPr/>
              <w:rPr>
                <w:rFonts w:ascii="Cambria Math" w:hAnsi="Cambria Math" w:cs="Times New Roman"/>
                <w:sz w:val="20"/>
                <w:szCs w:val="20"/>
              </w:rPr>
              <m:t>1</m:t>
            </m:r>
            <m:ctrlPr>
              <w:rPr>
                <w:rFonts w:ascii="Cambria Math" w:hAnsi="Cambria Math" w:cs="Times New Roman"/>
                <w:sz w:val="20"/>
                <w:szCs w:val="20"/>
              </w:rPr>
            </m:ctrlPr>
          </m:num>
          <m:den>
            <m:r>
              <m:rPr/>
              <w:rPr>
                <w:rFonts w:ascii="Cambria Math" w:hAnsi="Cambria Math" w:cs="Times New Roman"/>
                <w:sz w:val="20"/>
                <w:szCs w:val="20"/>
              </w:rPr>
              <m:t>n</m:t>
            </m:r>
            <m:ctrlPr>
              <w:rPr>
                <w:rFonts w:ascii="Cambria Math" w:hAnsi="Cambria Math" w:cs="Times New Roman"/>
                <w:sz w:val="20"/>
                <w:szCs w:val="20"/>
              </w:rPr>
            </m:ctrlPr>
          </m:den>
        </m:f>
        <m:nary>
          <m:naryPr>
            <m:chr m:val="∑"/>
            <m:grow m:val="1"/>
            <m:limLoc m:val="subSup"/>
            <m:ctrlPr>
              <w:rPr>
                <w:rFonts w:ascii="Cambria Math" w:hAnsi="Cambria Math" w:cs="Times New Roman"/>
                <w:sz w:val="20"/>
                <w:szCs w:val="20"/>
              </w:rPr>
            </m:ctrlPr>
          </m:naryPr>
          <m:sub>
            <m:r>
              <m:rPr/>
              <w:rPr>
                <w:rFonts w:ascii="Cambria Math" w:hAnsi="Cambria Math" w:cs="Times New Roman"/>
                <w:sz w:val="20"/>
                <w:szCs w:val="20"/>
              </w:rPr>
              <m:t>i=1</m:t>
            </m:r>
            <m:ctrlPr>
              <w:rPr>
                <w:rFonts w:ascii="Cambria Math" w:hAnsi="Cambria Math" w:cs="Times New Roman"/>
                <w:sz w:val="20"/>
                <w:szCs w:val="20"/>
              </w:rPr>
            </m:ctrlPr>
          </m:sub>
          <m:sup>
            <m:r>
              <m:rPr/>
              <w:rPr>
                <w:rFonts w:ascii="Cambria Math" w:hAnsi="Cambria Math" w:cs="Times New Roman"/>
                <w:sz w:val="20"/>
                <w:szCs w:val="20"/>
              </w:rPr>
              <m:t>n</m:t>
            </m:r>
            <m:ctrlPr>
              <w:rPr>
                <w:rFonts w:ascii="Cambria Math" w:hAnsi="Cambria Math" w:cs="Times New Roman"/>
                <w:sz w:val="20"/>
                <w:szCs w:val="20"/>
              </w:rPr>
            </m:ctrlPr>
          </m:sup>
          <m:e>
            <m:d>
              <m:dPr>
                <m:begChr m:val="|"/>
                <m:endChr m:val="|"/>
                <m:ctrlPr>
                  <w:rPr>
                    <w:rFonts w:ascii="Cambria Math" w:hAnsi="Cambria Math" w:cs="Times New Roman"/>
                    <w:sz w:val="20"/>
                    <w:szCs w:val="20"/>
                  </w:rPr>
                </m:ctrlPr>
              </m:dPr>
              <m:e>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acc>
                      <m:accPr>
                        <m:ctrlPr>
                          <w:rPr>
                            <w:rFonts w:ascii="Cambria Math" w:hAnsi="Cambria Math" w:cs="Times New Roman"/>
                            <w:sz w:val="20"/>
                            <w:szCs w:val="20"/>
                          </w:rPr>
                        </m:ctrlPr>
                      </m:accPr>
                      <m:e>
                        <m:r>
                          <m:rPr/>
                          <w:rPr>
                            <w:rFonts w:ascii="Cambria Math" w:hAnsi="Cambria Math" w:cs="Times New Roman"/>
                            <w:sz w:val="20"/>
                            <w:szCs w:val="20"/>
                          </w:rPr>
                          <m:t>y</m:t>
                        </m:r>
                        <m:ctrlPr>
                          <w:rPr>
                            <w:rFonts w:ascii="Cambria Math" w:hAnsi="Cambria Math" w:cs="Times New Roman"/>
                            <w:sz w:val="20"/>
                            <w:szCs w:val="20"/>
                          </w:rPr>
                        </m:ctrlPr>
                      </m:e>
                    </m:acc>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ctrlPr>
                  <w:rPr>
                    <w:rFonts w:ascii="Cambria Math" w:hAnsi="Cambria Math" w:cs="Times New Roman"/>
                    <w:sz w:val="20"/>
                    <w:szCs w:val="20"/>
                  </w:rPr>
                </m:ctrlPr>
              </m:e>
            </m:d>
            <m:ctrlPr>
              <w:rPr>
                <w:rFonts w:ascii="Cambria Math" w:hAnsi="Cambria Math" w:cs="Times New Roman"/>
                <w:sz w:val="20"/>
                <w:szCs w:val="20"/>
              </w:rPr>
            </m:ctrlPr>
          </m:e>
        </m:nary>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(20)</w:t>
      </w:r>
    </w:p>
    <w:p>
      <w:pPr>
        <w:spacing w:line="276" w:lineRule="auto"/>
        <w:rPr>
          <w:rFonts w:ascii="Times New Roman" w:hAnsi="Times New Roman" w:cs="Times New Roman"/>
        </w:rPr>
      </w:pPr>
      <w:r>
        <w:rPr>
          <w:rFonts w:ascii="Times New Roman" w:hAnsi="Times New Roman" w:cs="Times New Roman"/>
        </w:rPr>
        <w:t>MAE reports the average absolute deviation in the original uptake unit.</w:t>
      </w:r>
    </w:p>
    <w:p>
      <w:pPr>
        <w:rPr>
          <w:rFonts w:ascii="Times New Roman" w:hAnsi="Times New Roman" w:cs="Times New Roman"/>
          <w:b/>
          <w:bCs/>
          <w:sz w:val="22"/>
        </w:rPr>
      </w:pPr>
      <w:r>
        <w:rPr>
          <w:rFonts w:ascii="Times New Roman" w:hAnsi="Times New Roman" w:cs="Times New Roman"/>
          <w:b/>
          <w:bCs/>
          <w:sz w:val="22"/>
        </w:rPr>
        <w:t>S5.2.2 Global ranking consistency</w:t>
      </w:r>
    </w:p>
    <w:p>
      <w:pPr>
        <w:spacing w:line="276" w:lineRule="auto"/>
        <w:rPr>
          <w:rFonts w:ascii="Times New Roman" w:hAnsi="Times New Roman" w:cs="Times New Roman"/>
          <w:sz w:val="20"/>
          <w:szCs w:val="20"/>
        </w:rPr>
      </w:pPr>
      <w:r>
        <w:rPr>
          <w:rFonts w:ascii="Times New Roman" w:hAnsi="Times New Roman" w:cs="Times New Roman"/>
          <w:sz w:val="20"/>
          <w:szCs w:val="20"/>
        </w:rPr>
        <w:t>Global ranking consistency was evaluated using Spearman rank correlation:</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r>
          <m:rPr/>
          <w:rPr>
            <w:rFonts w:ascii="Cambria Math" w:hAnsi="Cambria Math" w:cs="Times New Roman"/>
            <w:sz w:val="20"/>
            <w:szCs w:val="20"/>
          </w:rPr>
          <m:t>ρ=</m:t>
        </m:r>
        <m:r>
          <m:rPr>
            <m:sty m:val="p"/>
          </m:rPr>
          <w:rPr>
            <w:rFonts w:ascii="Cambria Math" w:hAnsi="Cambria Math" w:cs="Times New Roman"/>
            <w:sz w:val="20"/>
            <w:szCs w:val="20"/>
          </w:rPr>
          <m:t>corr</m:t>
        </m:r>
        <m:r>
          <m:rPr/>
          <w:rPr>
            <w:rFonts w:ascii="Cambria Math" w:hAnsi="Cambria Math" w:cs="Times New Roman"/>
            <w:sz w:val="20"/>
            <w:szCs w:val="20"/>
          </w:rPr>
          <m:t>⁡</m:t>
        </m:r>
        <m:d>
          <m:dPr>
            <m:begChr m:val="["/>
            <m:endChr m:val="]"/>
            <m:ctrlPr>
              <w:rPr>
                <w:rFonts w:ascii="Cambria Math" w:hAnsi="Cambria Math" w:cs="Times New Roman"/>
                <w:sz w:val="20"/>
                <w:szCs w:val="20"/>
              </w:rPr>
            </m:ctrlPr>
          </m:dPr>
          <m:e>
            <m:r>
              <m:rPr>
                <m:sty m:val="p"/>
              </m:rPr>
              <w:rPr>
                <w:rFonts w:ascii="Cambria Math" w:hAnsi="Cambria Math" w:cs="Times New Roman"/>
                <w:sz w:val="20"/>
                <w:szCs w:val="20"/>
              </w:rPr>
              <m:t>rank</m:t>
            </m:r>
            <m:r>
              <m:rPr/>
              <w:rPr>
                <w:rFonts w:ascii="Cambria Math" w:hAnsi="Cambria Math" w:cs="Times New Roman"/>
                <w:sz w:val="20"/>
                <w:szCs w:val="20"/>
              </w:rPr>
              <m:t>⁡(</m:t>
            </m:r>
            <m:r>
              <m:rPr>
                <m:sty m:val="b"/>
              </m:rPr>
              <w:rPr>
                <w:rFonts w:ascii="Cambria Math" w:hAnsi="Cambria Math" w:cs="Times New Roman"/>
                <w:sz w:val="20"/>
                <w:szCs w:val="20"/>
              </w:rPr>
              <m:t>y</m:t>
            </m:r>
            <m:r>
              <m:rPr/>
              <w:rPr>
                <w:rFonts w:ascii="Cambria Math" w:hAnsi="Cambria Math" w:cs="Times New Roman"/>
                <w:sz w:val="20"/>
                <w:szCs w:val="20"/>
              </w:rPr>
              <m:t>),</m:t>
            </m:r>
            <m:r>
              <m:rPr>
                <m:sty m:val="p"/>
              </m:rPr>
              <w:rPr>
                <w:rFonts w:ascii="Cambria Math" w:hAnsi="Cambria Math" w:cs="Times New Roman"/>
                <w:sz w:val="20"/>
                <w:szCs w:val="20"/>
              </w:rPr>
              <m:t>rank</m:t>
            </m:r>
            <m:r>
              <m:rPr/>
              <w:rPr>
                <w:rFonts w:ascii="Cambria Math" w:hAnsi="Cambria Math" w:cs="Times New Roman"/>
                <w:sz w:val="20"/>
                <w:szCs w:val="20"/>
              </w:rPr>
              <m:t>⁡(</m:t>
            </m:r>
            <m:limUpp>
              <m:limUppPr>
                <m:ctrlPr>
                  <w:rPr>
                    <w:rFonts w:ascii="Cambria Math" w:hAnsi="Cambria Math" w:cs="Times New Roman"/>
                    <w:sz w:val="20"/>
                    <w:szCs w:val="20"/>
                  </w:rPr>
                </m:ctrlPr>
              </m:limUppPr>
              <m:e>
                <m:r>
                  <m:rPr>
                    <m:sty m:val="b"/>
                  </m:rPr>
                  <w:rPr>
                    <w:rFonts w:ascii="Cambria Math" w:hAnsi="Cambria Math" w:cs="Times New Roman"/>
                    <w:sz w:val="20"/>
                    <w:szCs w:val="20"/>
                  </w:rPr>
                  <m:t>y</m:t>
                </m:r>
                <m:ctrlPr>
                  <w:rPr>
                    <w:rFonts w:ascii="Cambria Math" w:hAnsi="Cambria Math" w:cs="Times New Roman"/>
                    <w:sz w:val="20"/>
                    <w:szCs w:val="20"/>
                  </w:rPr>
                </m:ctrlPr>
              </m:e>
              <m:lim>
                <m:r>
                  <m:rPr/>
                  <w:rPr>
                    <w:rFonts w:ascii="Cambria Math" w:hAnsi="Cambria Math" w:cs="Times New Roman"/>
                    <w:sz w:val="20"/>
                    <w:szCs w:val="20"/>
                  </w:rPr>
                  <m:t>^</m:t>
                </m:r>
                <m:ctrlPr>
                  <w:rPr>
                    <w:rFonts w:ascii="Cambria Math" w:hAnsi="Cambria Math" w:cs="Times New Roman"/>
                    <w:sz w:val="20"/>
                    <w:szCs w:val="20"/>
                  </w:rPr>
                </m:ctrlPr>
              </m:lim>
            </m:limUpp>
            <m:r>
              <m:rPr/>
              <w:rPr>
                <w:rFonts w:ascii="Cambria Math" w:hAnsi="Cambria Math" w:cs="Times New Roman"/>
                <w:sz w:val="20"/>
                <w:szCs w:val="20"/>
              </w:rPr>
              <m:t>)</m:t>
            </m:r>
            <m:ctrlPr>
              <w:rPr>
                <w:rFonts w:ascii="Cambria Math" w:hAnsi="Cambria Math" w:cs="Times New Roman"/>
                <w:sz w:val="20"/>
                <w:szCs w:val="20"/>
              </w:rPr>
            </m:ctrlPr>
          </m:e>
        </m:d>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(21)</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where </w:t>
      </w:r>
      <m:oMath>
        <m:r>
          <m:rPr>
            <m:sty m:val="b"/>
          </m:rPr>
          <w:rPr>
            <w:rFonts w:ascii="Cambria Math" w:hAnsi="Cambria Math" w:cs="Times New Roman"/>
            <w:sz w:val="20"/>
            <w:szCs w:val="20"/>
          </w:rPr>
          <m:t>y</m:t>
        </m:r>
      </m:oMath>
      <w:r>
        <w:rPr>
          <w:rFonts w:ascii="Times New Roman" w:hAnsi="Times New Roman" w:cs="Times New Roman"/>
          <w:b/>
          <w:sz w:val="20"/>
          <w:szCs w:val="20"/>
        </w:rPr>
        <w:t xml:space="preserve"> </w:t>
      </w:r>
      <w:r>
        <w:rPr>
          <w:rFonts w:ascii="Times New Roman" w:hAnsi="Times New Roman" w:cs="Times New Roman"/>
          <w:sz w:val="20"/>
          <w:szCs w:val="20"/>
        </w:rPr>
        <w:t xml:space="preserve">and </w:t>
      </w:r>
      <m:oMath>
        <m:acc>
          <m:accPr>
            <m:ctrlPr>
              <w:rPr>
                <w:rFonts w:ascii="Cambria Math" w:hAnsi="Cambria Math" w:cs="Times New Roman"/>
                <w:sz w:val="20"/>
                <w:szCs w:val="20"/>
              </w:rPr>
            </m:ctrlPr>
          </m:accPr>
          <m:e>
            <m:r>
              <m:rPr>
                <m:sty m:val="b"/>
              </m:rPr>
              <w:rPr>
                <w:rFonts w:ascii="Cambria Math" w:hAnsi="Cambria Math" w:cs="Times New Roman"/>
                <w:sz w:val="20"/>
                <w:szCs w:val="20"/>
              </w:rPr>
              <m:t>y</m:t>
            </m:r>
            <m:ctrlPr>
              <w:rPr>
                <w:rFonts w:ascii="Cambria Math" w:hAnsi="Cambria Math" w:cs="Times New Roman"/>
                <w:sz w:val="20"/>
                <w:szCs w:val="20"/>
              </w:rPr>
            </m:ctrlPr>
          </m:e>
        </m:acc>
      </m:oMath>
      <w:r>
        <w:rPr>
          <w:rFonts w:ascii="Times New Roman" w:hAnsi="Times New Roman" w:cs="Times New Roman"/>
          <w:sz w:val="20"/>
          <w:szCs w:val="20"/>
        </w:rPr>
        <w:t>denote the complete reference and predicted uptake vectors for the held-out test set. Spearman correlation evaluates whether a model preserves the relative ordering of materials and does not require accurate calibration of the absolute uptake values.</w:t>
      </w:r>
    </w:p>
    <w:p>
      <w:pPr>
        <w:spacing w:line="276" w:lineRule="auto"/>
        <w:rPr>
          <w:rFonts w:ascii="Times New Roman" w:hAnsi="Times New Roman" w:cs="Times New Roman"/>
        </w:rPr>
      </w:pPr>
    </w:p>
    <w:p>
      <w:pPr>
        <w:rPr>
          <w:rFonts w:ascii="Times New Roman" w:hAnsi="Times New Roman" w:cs="Times New Roman"/>
          <w:b/>
          <w:bCs/>
          <w:sz w:val="22"/>
        </w:rPr>
      </w:pPr>
      <w:r>
        <w:rPr>
          <w:rFonts w:ascii="Times New Roman" w:hAnsi="Times New Roman" w:cs="Times New Roman"/>
          <w:b/>
          <w:bCs/>
          <w:sz w:val="22"/>
        </w:rPr>
        <w:t>S5.2.3 Top-1% hit rate</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For each target, the true Top-1% set </w:t>
      </w:r>
      <m:oMath>
        <m:sSubSup>
          <m:sSubSupPr>
            <m:ctrlPr>
              <w:rPr>
                <w:rFonts w:ascii="Cambria Math" w:hAnsi="Cambria Math" w:cs="Times New Roman"/>
                <w:sz w:val="20"/>
                <w:szCs w:val="20"/>
              </w:rPr>
            </m:ctrlPr>
          </m:sSubSupPr>
          <m:e>
            <m:r>
              <m:rPr/>
              <w:rPr>
                <w:rFonts w:ascii="Cambria Math" w:hAnsi="Cambria Math"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k,1</m:t>
            </m:r>
            <m:r>
              <m:rPr>
                <m:sty m:val="p"/>
              </m:rPr>
              <w:rPr>
                <w:rFonts w:ascii="Cambria Math" w:hAnsi="Cambria Math" w:cs="Times New Roman"/>
                <w:sz w:val="20"/>
                <w:szCs w:val="20"/>
              </w:rPr>
              <m:t>%</m:t>
            </m:r>
            <m:ctrlPr>
              <w:rPr>
                <w:rFonts w:ascii="Cambria Math" w:hAnsi="Cambria Math" w:cs="Times New Roman"/>
                <w:sz w:val="20"/>
                <w:szCs w:val="20"/>
              </w:rPr>
            </m:ctrlPr>
          </m:sub>
          <m:sup>
            <m:r>
              <m:rPr>
                <m:sty m:val="p"/>
              </m:rPr>
              <w:rPr>
                <w:rFonts w:ascii="Cambria Math" w:hAnsi="Cambria Math" w:cs="Times New Roman"/>
                <w:sz w:val="20"/>
                <w:szCs w:val="20"/>
              </w:rPr>
              <m:t>true</m:t>
            </m:r>
            <m:ctrlPr>
              <w:rPr>
                <w:rFonts w:ascii="Cambria Math" w:hAnsi="Cambria Math" w:cs="Times New Roman"/>
                <w:sz w:val="20"/>
                <w:szCs w:val="20"/>
              </w:rPr>
            </m:ctrlPr>
          </m:sup>
        </m:sSubSup>
      </m:oMath>
      <w:r>
        <w:rPr>
          <w:rFonts w:ascii="Times New Roman" w:hAnsi="Times New Roman" w:cs="Times New Roman"/>
          <w:sz w:val="20"/>
          <w:szCs w:val="20"/>
        </w:rPr>
        <w:t xml:space="preserve">was obtained by ranking the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test</m:t>
            </m:r>
            <m:ctrlPr>
              <w:rPr>
                <w:rFonts w:ascii="Cambria Math" w:hAnsi="Cambria Math" w:cs="Times New Roman"/>
                <w:sz w:val="20"/>
                <w:szCs w:val="20"/>
              </w:rPr>
            </m:ctrlPr>
          </m:sub>
        </m:sSub>
        <m:r>
          <m:rPr/>
          <w:rPr>
            <w:rFonts w:ascii="Cambria Math" w:hAnsi="Cambria Math" w:cs="Times New Roman"/>
            <w:sz w:val="20"/>
            <w:szCs w:val="20"/>
          </w:rPr>
          <m:t>=1,507</m:t>
        </m:r>
      </m:oMath>
      <w:r>
        <w:rPr>
          <w:rFonts w:ascii="Times New Roman" w:hAnsi="Times New Roman" w:cs="Times New Roman"/>
          <w:sz w:val="20"/>
          <w:szCs w:val="20"/>
        </w:rPr>
        <w:t xml:space="preserve">test materials in descending order of GCMC uptake. The predicted Top-1% set </w:t>
      </w:r>
      <m:oMath>
        <m:sSubSup>
          <m:sSubSupPr>
            <m:ctrlPr>
              <w:rPr>
                <w:rFonts w:ascii="Cambria Math" w:hAnsi="Cambria Math" w:cs="Times New Roman"/>
                <w:sz w:val="20"/>
                <w:szCs w:val="20"/>
              </w:rPr>
            </m:ctrlPr>
          </m:sSubSupPr>
          <m:e>
            <m:r>
              <m:rPr/>
              <w:rPr>
                <w:rFonts w:ascii="Cambria Math" w:hAnsi="Cambria Math"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r,k,1</m:t>
            </m:r>
            <m:r>
              <m:rPr>
                <m:sty m:val="p"/>
              </m:rPr>
              <w:rPr>
                <w:rFonts w:ascii="Cambria Math" w:hAnsi="Cambria Math" w:cs="Times New Roman"/>
                <w:sz w:val="20"/>
                <w:szCs w:val="20"/>
              </w:rPr>
              <m:t>%</m:t>
            </m:r>
            <m:ctrlPr>
              <w:rPr>
                <w:rFonts w:ascii="Cambria Math" w:hAnsi="Cambria Math" w:cs="Times New Roman"/>
                <w:sz w:val="20"/>
                <w:szCs w:val="20"/>
              </w:rPr>
            </m:ctrlPr>
          </m:sub>
          <m:sup>
            <m:r>
              <m:rPr>
                <m:sty m:val="p"/>
              </m:rPr>
              <w:rPr>
                <w:rFonts w:ascii="Cambria Math" w:hAnsi="Cambria Math" w:cs="Times New Roman"/>
                <w:sz w:val="20"/>
                <w:szCs w:val="20"/>
              </w:rPr>
              <m:t>pred</m:t>
            </m:r>
            <m:ctrlPr>
              <w:rPr>
                <w:rFonts w:ascii="Cambria Math" w:hAnsi="Cambria Math" w:cs="Times New Roman"/>
                <w:sz w:val="20"/>
                <w:szCs w:val="20"/>
              </w:rPr>
            </m:ctrlPr>
          </m:sup>
        </m:sSubSup>
      </m:oMath>
      <w:r>
        <w:rPr>
          <w:rFonts w:ascii="Times New Roman" w:hAnsi="Times New Roman" w:cs="Times New Roman"/>
          <w:sz w:val="20"/>
          <w:szCs w:val="20"/>
        </w:rPr>
        <w:t xml:space="preserve">was obtained analogously from the predictions generated using representation </w:t>
      </w:r>
      <m:oMath>
        <m:r>
          <m:rPr/>
          <w:rPr>
            <w:rFonts w:ascii="Cambria Math" w:hAnsi="Cambria Math" w:cs="Times New Roman"/>
            <w:sz w:val="20"/>
            <w:szCs w:val="20"/>
          </w:rPr>
          <m:t>r</m:t>
        </m:r>
      </m:oMath>
      <w:r>
        <w:rPr>
          <w:rFonts w:ascii="Times New Roman" w:hAnsi="Times New Roman" w:cs="Times New Roman"/>
          <w:sz w:val="20"/>
          <w:szCs w:val="20"/>
        </w:rPr>
        <w:t xml:space="preserve">for target </w:t>
      </w:r>
      <m:oMath>
        <m:r>
          <m:rPr/>
          <w:rPr>
            <w:rFonts w:ascii="Cambria Math" w:hAnsi="Cambria Math" w:cs="Times New Roman"/>
            <w:sz w:val="20"/>
            <w:szCs w:val="20"/>
          </w:rPr>
          <m:t>k</m:t>
        </m:r>
      </m:oMath>
      <w:r>
        <w:rPr>
          <w:rFonts w:ascii="Times New Roman" w:hAnsi="Times New Roman" w:cs="Times New Roman"/>
          <w:sz w:val="20"/>
          <w:szCs w:val="20"/>
        </w:rPr>
        <w:t xml:space="preserve">. Ceiling rounding was applied, giving 16 materials in each set. The Top-1% hit rate was defined as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sz w:val="20"/>
                <w:szCs w:val="20"/>
              </w:rPr>
            </m:ctrlPr>
          </m:sSubSupPr>
          <m:e>
            <m:r>
              <m:rPr/>
              <w:rPr>
                <w:rFonts w:ascii="Cambria Math" w:hAnsi="Cambria Math" w:cs="Times New Roman"/>
                <w:sz w:val="20"/>
                <w:szCs w:val="20"/>
              </w:rPr>
              <m:t>H</m:t>
            </m:r>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up>
            <m:r>
              <m:rPr/>
              <w:rPr>
                <w:rFonts w:ascii="Cambria Math" w:hAnsi="Cambria Math" w:cs="Times New Roman"/>
                <w:sz w:val="20"/>
                <w:szCs w:val="20"/>
              </w:rPr>
              <m:t>1%</m:t>
            </m:r>
            <m:ctrlPr>
              <w:rPr>
                <w:rFonts w:ascii="Cambria Math" w:hAnsi="Cambria Math" w:cs="Times New Roman"/>
                <w:sz w:val="20"/>
                <w:szCs w:val="20"/>
              </w:rPr>
            </m:ctrlPr>
          </m:sup>
        </m:sSubSup>
        <m:r>
          <m:rPr/>
          <w:rPr>
            <w:rFonts w:ascii="Cambria Math" w:hAnsi="Cambria Math" w:cs="Times New Roman"/>
            <w:sz w:val="20"/>
            <w:szCs w:val="20"/>
          </w:rPr>
          <m:t>=</m:t>
        </m:r>
        <m:f>
          <m:fPr>
            <m:ctrlPr>
              <w:rPr>
                <w:rFonts w:ascii="Cambria Math" w:hAnsi="Cambria Math" w:cs="Times New Roman"/>
                <w:sz w:val="20"/>
                <w:szCs w:val="20"/>
              </w:rPr>
            </m:ctrlPr>
          </m:fPr>
          <m:num>
            <m:d>
              <m:dPr>
                <m:begChr m:val="|"/>
                <m:sepChr m:val="∩"/>
                <m:endChr m:val="|"/>
                <m:ctrlPr>
                  <w:rPr>
                    <w:rFonts w:ascii="Cambria Math" w:hAnsi="Cambria Math" w:cs="Times New Roman"/>
                    <w:sz w:val="20"/>
                    <w:szCs w:val="20"/>
                  </w:rPr>
                </m:ctrlPr>
              </m:dPr>
              <m:e>
                <m:sSubSup>
                  <m:sSubSupPr>
                    <m:ctrlPr>
                      <w:rPr>
                        <w:rFonts w:ascii="Cambria Math" w:hAnsi="Cambria Math" w:cs="Times New Roman"/>
                        <w:sz w:val="20"/>
                        <w:szCs w:val="20"/>
                      </w:rPr>
                    </m:ctrlPr>
                  </m:sSubSupPr>
                  <m:e>
                    <m:r>
                      <m:rPr>
                        <m:scr m:val="script"/>
                      </m:rPr>
                      <w:rPr>
                        <w:rFonts w:ascii="Cambria Math" w:hAnsi="Cambria Math" w:eastAsia="MS Mincho"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r,k,1%</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true</m:t>
                        </m:r>
                        <m:ctrlPr>
                          <w:rPr>
                            <w:rFonts w:ascii="Cambria Math" w:hAnsi="Cambria Math" w:cs="Times New Roman"/>
                            <w:sz w:val="20"/>
                            <w:szCs w:val="20"/>
                          </w:rPr>
                        </m:ctrlPr>
                      </m:e>
                    </m:phant>
                    <m:ctrlPr>
                      <w:rPr>
                        <w:rFonts w:ascii="Cambria Math" w:hAnsi="Cambria Math" w:cs="Times New Roman"/>
                        <w:sz w:val="20"/>
                        <w:szCs w:val="20"/>
                      </w:rPr>
                    </m:ctrlPr>
                  </m:sup>
                </m:sSubSup>
                <m:ctrlPr>
                  <w:rPr>
                    <w:rFonts w:ascii="Cambria Math" w:hAnsi="Cambria Math" w:cs="Times New Roman"/>
                    <w:sz w:val="20"/>
                    <w:szCs w:val="20"/>
                  </w:rPr>
                </m:ctrlPr>
              </m:e>
              <m:e>
                <m:sSubSup>
                  <m:sSubSupPr>
                    <m:ctrlPr>
                      <w:rPr>
                        <w:rFonts w:ascii="Cambria Math" w:hAnsi="Cambria Math" w:cs="Times New Roman"/>
                        <w:sz w:val="20"/>
                        <w:szCs w:val="20"/>
                      </w:rPr>
                    </m:ctrlPr>
                  </m:sSubSupPr>
                  <m:e>
                    <m:r>
                      <m:rPr>
                        <m:scr m:val="script"/>
                      </m:rPr>
                      <w:rPr>
                        <w:rFonts w:ascii="Cambria Math" w:hAnsi="Cambria Math" w:eastAsia="MS Mincho"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r,k,1%</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pred</m:t>
                        </m:r>
                        <m:ctrlPr>
                          <w:rPr>
                            <w:rFonts w:ascii="Cambria Math" w:hAnsi="Cambria Math" w:cs="Times New Roman"/>
                            <w:sz w:val="20"/>
                            <w:szCs w:val="20"/>
                          </w:rPr>
                        </m:ctrlPr>
                      </m:e>
                    </m:phant>
                    <m:ctrlPr>
                      <w:rPr>
                        <w:rFonts w:ascii="Cambria Math" w:hAnsi="Cambria Math" w:cs="Times New Roman"/>
                        <w:sz w:val="20"/>
                        <w:szCs w:val="20"/>
                      </w:rPr>
                    </m:ctrlPr>
                  </m:sup>
                </m:sSubSup>
                <m:ctrlPr>
                  <w:rPr>
                    <w:rFonts w:ascii="Cambria Math" w:hAnsi="Cambria Math" w:cs="Times New Roman"/>
                    <w:sz w:val="20"/>
                    <w:szCs w:val="20"/>
                  </w:rPr>
                </m:ctrlPr>
              </m:e>
            </m:d>
            <m:ctrlPr>
              <w:rPr>
                <w:rFonts w:ascii="Cambria Math" w:hAnsi="Cambria Math" w:cs="Times New Roman"/>
                <w:sz w:val="20"/>
                <w:szCs w:val="20"/>
              </w:rPr>
            </m:ctrlPr>
          </m:num>
          <m:den>
            <m:d>
              <m:dPr>
                <m:begChr m:val="|"/>
                <m:endChr m:val="|"/>
                <m:ctrlPr>
                  <w:rPr>
                    <w:rFonts w:ascii="Cambria Math" w:hAnsi="Cambria Math" w:cs="Times New Roman"/>
                    <w:sz w:val="20"/>
                    <w:szCs w:val="20"/>
                  </w:rPr>
                </m:ctrlPr>
              </m:dPr>
              <m:e>
                <m:sSubSup>
                  <m:sSubSupPr>
                    <m:ctrlPr>
                      <w:rPr>
                        <w:rFonts w:ascii="Cambria Math" w:hAnsi="Cambria Math" w:cs="Times New Roman"/>
                        <w:sz w:val="20"/>
                        <w:szCs w:val="20"/>
                      </w:rPr>
                    </m:ctrlPr>
                  </m:sSubSupPr>
                  <m:e>
                    <m:r>
                      <m:rPr>
                        <m:scr m:val="script"/>
                      </m:rPr>
                      <w:rPr>
                        <w:rFonts w:ascii="Cambria Math" w:hAnsi="Cambria Math" w:eastAsia="MS Mincho"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r,k,1%</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true</m:t>
                        </m:r>
                        <m:ctrlPr>
                          <w:rPr>
                            <w:rFonts w:ascii="Cambria Math" w:hAnsi="Cambria Math" w:cs="Times New Roman"/>
                            <w:sz w:val="20"/>
                            <w:szCs w:val="20"/>
                          </w:rPr>
                        </m:ctrlPr>
                      </m:e>
                    </m:phant>
                    <m:ctrlPr>
                      <w:rPr>
                        <w:rFonts w:ascii="Cambria Math" w:hAnsi="Cambria Math" w:cs="Times New Roman"/>
                        <w:sz w:val="20"/>
                        <w:szCs w:val="20"/>
                      </w:rPr>
                    </m:ctrlPr>
                  </m:sup>
                </m:sSubSup>
                <m:ctrlPr>
                  <w:rPr>
                    <w:rFonts w:ascii="Cambria Math" w:hAnsi="Cambria Math" w:cs="Times New Roman"/>
                    <w:sz w:val="20"/>
                    <w:szCs w:val="20"/>
                  </w:rPr>
                </m:ctrlPr>
              </m:e>
            </m:d>
            <m:ctrlPr>
              <w:rPr>
                <w:rFonts w:ascii="Cambria Math" w:hAnsi="Cambria Math" w:cs="Times New Roman"/>
                <w:sz w:val="20"/>
                <w:szCs w:val="20"/>
              </w:rPr>
            </m:ctrlPr>
          </m:den>
        </m:f>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(22)</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Because both sets contained 16 materials, the Top-1% hit rate changed in increments of </w:t>
      </w:r>
      <m:oMath>
        <m:r>
          <m:rPr/>
          <w:rPr>
            <w:rFonts w:ascii="Cambria Math" w:hAnsi="Cambria Math" w:cs="Times New Roman"/>
            <w:sz w:val="20"/>
            <w:szCs w:val="20"/>
          </w:rPr>
          <m:t>1</m:t>
        </m:r>
        <m:r>
          <m:rPr>
            <m:sty m:val="p"/>
          </m:rPr>
          <w:rPr>
            <w:rFonts w:ascii="Cambria Math" w:hAnsi="Cambria Math" w:cs="Times New Roman"/>
            <w:sz w:val="20"/>
            <w:szCs w:val="20"/>
          </w:rPr>
          <m:t>/</m:t>
        </m:r>
        <m:r>
          <m:rPr/>
          <w:rPr>
            <w:rFonts w:ascii="Cambria Math" w:hAnsi="Cambria Math" w:cs="Times New Roman"/>
            <w:sz w:val="20"/>
            <w:szCs w:val="20"/>
          </w:rPr>
          <m:t>16=6.25</m:t>
        </m:r>
        <m:r>
          <m:rPr>
            <m:sty m:val="p"/>
          </m:rPr>
          <w:rPr>
            <w:rFonts w:ascii="Cambria Math" w:hAnsi="Cambria Math" w:cs="Times New Roman"/>
            <w:sz w:val="20"/>
            <w:szCs w:val="20"/>
          </w:rPr>
          <m:t>%</m:t>
        </m:r>
      </m:oMath>
      <w:r>
        <w:rPr>
          <w:rFonts w:ascii="Times New Roman" w:hAnsi="Times New Roman" w:cs="Times New Roman"/>
          <w:sz w:val="20"/>
          <w:szCs w:val="20"/>
        </w:rPr>
        <w:t>. This metric measures high-uptake recovery at a fixed and highly selective screening budget.</w:t>
      </w:r>
    </w:p>
    <w:p>
      <w:pPr>
        <w:rPr>
          <w:rFonts w:ascii="Times New Roman" w:hAnsi="Times New Roman" w:cs="Times New Roman"/>
          <w:b/>
          <w:bCs/>
          <w:sz w:val="22"/>
        </w:rPr>
      </w:pPr>
      <w:r>
        <w:rPr>
          <w:rFonts w:ascii="Times New Roman" w:hAnsi="Times New Roman" w:cs="Times New Roman"/>
          <w:b/>
          <w:bCs/>
          <w:sz w:val="22"/>
        </w:rPr>
        <w:t>S5.2.4 Cumulative recall</w:t>
      </w:r>
    </w:p>
    <w:p>
      <w:pPr>
        <w:spacing w:line="276" w:lineRule="auto"/>
        <w:rPr>
          <w:rFonts w:ascii="Times New Roman" w:hAnsi="Times New Roman" w:cs="Times New Roman"/>
          <w:b/>
          <w:bCs/>
          <w:sz w:val="20"/>
          <w:szCs w:val="20"/>
        </w:rPr>
      </w:pPr>
      <w:r>
        <w:rPr>
          <w:rFonts w:ascii="Times New Roman" w:hAnsi="Times New Roman" w:cs="Times New Roman"/>
          <w:sz w:val="20"/>
          <w:szCs w:val="20"/>
        </w:rPr>
        <w:t xml:space="preserve">Cumulative recall was used to evaluate recovery of the true Top-1% materials as the screened fraction was progressively increased. For a screened fraction </w:t>
      </w:r>
      <m:oMath>
        <m:r>
          <m:rPr/>
          <w:rPr>
            <w:rFonts w:ascii="Cambria Math" w:hAnsi="Cambria Math" w:cs="Times New Roman"/>
            <w:sz w:val="20"/>
            <w:szCs w:val="20"/>
          </w:rPr>
          <m:t>s</m:t>
        </m:r>
      </m:oMath>
      <w:r>
        <w:rPr>
          <w:rFonts w:ascii="Times New Roman" w:hAnsi="Times New Roman" w:cs="Times New Roman"/>
          <w:sz w:val="20"/>
          <w:szCs w:val="20"/>
        </w:rPr>
        <w:t xml:space="preserve">, the number of retained test materials was </w:t>
      </w:r>
      <m:oMath>
        <m:sSub>
          <m:sSubPr>
            <m:ctrlPr>
              <w:rPr>
                <w:rFonts w:ascii="Cambria Math" w:hAnsi="Cambria Math" w:cs="Times New Roman"/>
                <w:sz w:val="20"/>
                <w:szCs w:val="20"/>
              </w:rPr>
            </m:ctrlPr>
          </m:sSubPr>
          <m:e>
            <m:r>
              <m:rPr/>
              <w:rPr>
                <w:rFonts w:ascii="Cambria Math" w:hAnsi="Cambria Math" w:cs="Times New Roman"/>
                <w:sz w:val="20"/>
                <w:szCs w:val="20"/>
              </w:rPr>
              <m:t>m</m:t>
            </m:r>
            <m:ctrlPr>
              <w:rPr>
                <w:rFonts w:ascii="Cambria Math" w:hAnsi="Cambria Math" w:cs="Times New Roman"/>
                <w:sz w:val="20"/>
                <w:szCs w:val="20"/>
              </w:rPr>
            </m:ctrlPr>
          </m:e>
          <m:sub>
            <m:r>
              <m:rPr/>
              <w:rPr>
                <w:rFonts w:ascii="Cambria Math" w:hAnsi="Cambria Math" w:cs="Times New Roman"/>
                <w:sz w:val="20"/>
                <w:szCs w:val="20"/>
              </w:rPr>
              <m:t>s</m:t>
            </m:r>
            <m:ctrlPr>
              <w:rPr>
                <w:rFonts w:ascii="Cambria Math" w:hAnsi="Cambria Math" w:cs="Times New Roman"/>
                <w:sz w:val="20"/>
                <w:szCs w:val="20"/>
              </w:rPr>
            </m:ctrlPr>
          </m:sub>
        </m:sSub>
        <m:r>
          <m:rPr/>
          <w:rPr>
            <w:rFonts w:ascii="Cambria Math" w:hAnsi="Cambria Math" w:cs="Times New Roman"/>
            <w:sz w:val="20"/>
            <w:szCs w:val="20"/>
          </w:rPr>
          <m:t>=</m:t>
        </m:r>
        <m:d>
          <m:dPr>
            <m:begChr m:val="⌈"/>
            <m:endChr m:val="⌉"/>
            <m:ctrlPr>
              <w:rPr>
                <w:rFonts w:ascii="Cambria Math" w:hAnsi="Cambria Math" w:cs="Times New Roman"/>
                <w:sz w:val="20"/>
                <w:szCs w:val="20"/>
              </w:rPr>
            </m:ctrlPr>
          </m:dPr>
          <m:e>
            <m:r>
              <m:rPr/>
              <w:rPr>
                <w:rFonts w:ascii="Cambria Math" w:hAnsi="Cambria Math" w:cs="Times New Roman"/>
                <w:sz w:val="20"/>
                <w:szCs w:val="20"/>
              </w:rPr>
              <m:t>s</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phant>
                  <m:phantPr>
                    <m:ctrlPr>
                      <w:rPr>
                        <w:rFonts w:ascii="Cambria Math" w:hAnsi="Cambria Math" w:cs="Times New Roman"/>
                        <w:sz w:val="20"/>
                        <w:szCs w:val="20"/>
                      </w:rPr>
                    </m:ctrlPr>
                  </m:phantPr>
                  <m:e>
                    <m:r>
                      <m:rPr>
                        <m:sty m:val="p"/>
                      </m:rPr>
                      <w:rPr>
                        <w:rFonts w:ascii="Cambria Math" w:hAnsi="Cambria Math" w:cs="Times New Roman"/>
                        <w:sz w:val="20"/>
                        <w:szCs w:val="20"/>
                      </w:rPr>
                      <m:t>test</m:t>
                    </m:r>
                    <m:ctrlPr>
                      <w:rPr>
                        <w:rFonts w:ascii="Cambria Math" w:hAnsi="Cambria Math" w:cs="Times New Roman"/>
                        <w:sz w:val="20"/>
                        <w:szCs w:val="20"/>
                      </w:rPr>
                    </m:ctrlPr>
                  </m:e>
                </m:phant>
                <m:ctrlPr>
                  <w:rPr>
                    <w:rFonts w:ascii="Cambria Math" w:hAnsi="Cambria Math" w:cs="Times New Roman"/>
                    <w:sz w:val="20"/>
                    <w:szCs w:val="20"/>
                  </w:rPr>
                </m:ctrlPr>
              </m:sub>
            </m:sSub>
            <m:ctrlPr>
              <w:rPr>
                <w:rFonts w:ascii="Cambria Math" w:hAnsi="Cambria Math" w:cs="Times New Roman"/>
                <w:sz w:val="20"/>
                <w:szCs w:val="20"/>
              </w:rPr>
            </m:ctrlPr>
          </m:e>
        </m:d>
        <m:r>
          <m:rPr/>
          <w:rPr>
            <w:rFonts w:ascii="Cambria Math" w:hAnsi="Cambria Math" w:cs="Times New Roman"/>
            <w:sz w:val="20"/>
            <w:szCs w:val="20"/>
          </w:rPr>
          <m:t>.</m:t>
        </m:r>
      </m:oMath>
      <w:r>
        <w:rPr>
          <w:rFonts w:ascii="Times New Roman" w:hAnsi="Times New Roman" w:cs="Times New Roman"/>
          <w:sz w:val="20"/>
          <w:szCs w:val="20"/>
        </w:rPr>
        <w:t xml:space="preserve"> Let </w:t>
      </w:r>
      <m:oMath>
        <m:sSub>
          <m:sSubPr>
            <m:ctrlPr>
              <w:rPr>
                <w:rFonts w:ascii="Cambria Math" w:hAnsi="Cambria Math" w:cs="Times New Roman"/>
                <w:sz w:val="20"/>
                <w:szCs w:val="20"/>
              </w:rPr>
            </m:ctrlPr>
          </m:sSubPr>
          <m:e>
            <m:r>
              <m:rPr/>
              <w:rPr>
                <w:rFonts w:ascii="Cambria Math" w:hAnsi="Cambria Math" w:cs="Times New Roman"/>
                <w:sz w:val="20"/>
                <w:szCs w:val="20"/>
              </w:rPr>
              <m:t>S</m:t>
            </m:r>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Sub>
        <m:r>
          <m:rPr/>
          <w:rPr>
            <w:rFonts w:ascii="Cambria Math" w:hAnsi="Cambria Math" w:cs="Times New Roman"/>
            <w:sz w:val="20"/>
            <w:szCs w:val="20"/>
          </w:rPr>
          <m:t>(s)</m:t>
        </m:r>
      </m:oMath>
      <w:r>
        <w:rPr>
          <w:rFonts w:ascii="Times New Roman" w:hAnsi="Times New Roman" w:cs="Times New Roman"/>
          <w:sz w:val="20"/>
          <w:szCs w:val="20"/>
        </w:rPr>
        <w:t xml:space="preserve">denote the first </w:t>
      </w:r>
      <m:oMath>
        <m:sSub>
          <m:sSubPr>
            <m:ctrlPr>
              <w:rPr>
                <w:rFonts w:ascii="Cambria Math" w:hAnsi="Cambria Math" w:cs="Times New Roman"/>
                <w:sz w:val="20"/>
                <w:szCs w:val="20"/>
              </w:rPr>
            </m:ctrlPr>
          </m:sSubPr>
          <m:e>
            <m:r>
              <m:rPr/>
              <w:rPr>
                <w:rFonts w:ascii="Cambria Math" w:hAnsi="Cambria Math" w:cs="Times New Roman"/>
                <w:sz w:val="20"/>
                <w:szCs w:val="20"/>
              </w:rPr>
              <m:t>m</m:t>
            </m:r>
            <m:ctrlPr>
              <w:rPr>
                <w:rFonts w:ascii="Cambria Math" w:hAnsi="Cambria Math" w:cs="Times New Roman"/>
                <w:sz w:val="20"/>
                <w:szCs w:val="20"/>
              </w:rPr>
            </m:ctrlPr>
          </m:e>
          <m:sub>
            <m:r>
              <m:rPr/>
              <w:rPr>
                <w:rFonts w:ascii="Cambria Math" w:hAnsi="Cambria Math" w:cs="Times New Roman"/>
                <w:sz w:val="20"/>
                <w:szCs w:val="20"/>
              </w:rPr>
              <m:t>s</m:t>
            </m:r>
            <m:ctrlPr>
              <w:rPr>
                <w:rFonts w:ascii="Cambria Math" w:hAnsi="Cambria Math" w:cs="Times New Roman"/>
                <w:sz w:val="20"/>
                <w:szCs w:val="20"/>
              </w:rPr>
            </m:ctrlPr>
          </m:sub>
        </m:sSub>
      </m:oMath>
      <w:r>
        <w:rPr>
          <w:rFonts w:ascii="Times New Roman" w:hAnsi="Times New Roman" w:cs="Times New Roman"/>
          <w:sz w:val="20"/>
          <w:szCs w:val="20"/>
        </w:rPr>
        <w:t xml:space="preserve">materials in the predicted descending ranking for representation </w:t>
      </w:r>
      <m:oMath>
        <m:r>
          <m:rPr/>
          <w:rPr>
            <w:rFonts w:ascii="Cambria Math" w:hAnsi="Cambria Math" w:cs="Times New Roman"/>
            <w:sz w:val="20"/>
            <w:szCs w:val="20"/>
          </w:rPr>
          <m:t>r</m:t>
        </m:r>
      </m:oMath>
      <w:r>
        <w:rPr>
          <w:rFonts w:ascii="Times New Roman" w:hAnsi="Times New Roman" w:cs="Times New Roman"/>
          <w:sz w:val="20"/>
          <w:szCs w:val="20"/>
        </w:rPr>
        <w:t xml:space="preserve">and target </w:t>
      </w:r>
      <m:oMath>
        <m:r>
          <m:rPr/>
          <w:rPr>
            <w:rFonts w:ascii="Cambria Math" w:hAnsi="Cambria Math" w:cs="Times New Roman"/>
            <w:sz w:val="20"/>
            <w:szCs w:val="20"/>
          </w:rPr>
          <m:t>k</m:t>
        </m:r>
      </m:oMath>
      <w:r>
        <w:rPr>
          <w:rFonts w:ascii="Times New Roman" w:hAnsi="Times New Roman" w:cs="Times New Roman"/>
          <w:sz w:val="20"/>
          <w:szCs w:val="20"/>
        </w:rPr>
        <w:t xml:space="preserve">. Cumulative recall was calculated as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m:sty m:val="p"/>
              </m:rPr>
              <w:rPr>
                <w:rFonts w:ascii="Cambria Math" w:hAnsi="Cambria Math" w:cs="Times New Roman"/>
                <w:sz w:val="20"/>
                <w:szCs w:val="20"/>
              </w:rPr>
              <m:t>Recall</m:t>
            </m:r>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Sub>
        <m:r>
          <m:rPr/>
          <w:rPr>
            <w:rFonts w:ascii="Cambria Math" w:hAnsi="Cambria Math" w:cs="Times New Roman"/>
            <w:sz w:val="20"/>
            <w:szCs w:val="20"/>
          </w:rPr>
          <m:t>⁡(s)=</m:t>
        </m:r>
        <m:f>
          <m:fPr>
            <m:ctrlPr>
              <w:rPr>
                <w:rFonts w:ascii="Cambria Math" w:hAnsi="Cambria Math" w:cs="Times New Roman"/>
                <w:sz w:val="20"/>
                <w:szCs w:val="20"/>
              </w:rPr>
            </m:ctrlPr>
          </m:fPr>
          <m:num>
            <m:d>
              <m:dPr>
                <m:begChr m:val="|"/>
                <m:endChr m:val="|"/>
                <m:ctrlPr>
                  <w:rPr>
                    <w:rFonts w:ascii="Cambria Math" w:hAnsi="Cambria Math" w:cs="Times New Roman"/>
                    <w:sz w:val="20"/>
                    <w:szCs w:val="20"/>
                  </w:rPr>
                </m:ctrlPr>
              </m:dPr>
              <m:e>
                <m:sSubSup>
                  <m:sSubSupPr>
                    <m:ctrlPr>
                      <w:rPr>
                        <w:rFonts w:ascii="Cambria Math" w:hAnsi="Cambria Math" w:cs="Times New Roman"/>
                        <w:sz w:val="20"/>
                        <w:szCs w:val="20"/>
                      </w:rPr>
                    </m:ctrlPr>
                  </m:sSubSupPr>
                  <m:e>
                    <m:r>
                      <m:rPr>
                        <m:scr m:val="script"/>
                      </m:rPr>
                      <w:rPr>
                        <w:rFonts w:ascii="Cambria Math" w:hAnsi="Cambria Math" w:eastAsia="MS Mincho"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k,1%</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true</m:t>
                        </m:r>
                        <m:ctrlPr>
                          <w:rPr>
                            <w:rFonts w:ascii="Cambria Math" w:hAnsi="Cambria Math" w:cs="Times New Roman"/>
                            <w:sz w:val="20"/>
                            <w:szCs w:val="20"/>
                          </w:rPr>
                        </m:ctrlPr>
                      </m:e>
                    </m:phant>
                    <m:ctrlPr>
                      <w:rPr>
                        <w:rFonts w:ascii="Cambria Math" w:hAnsi="Cambria Math" w:cs="Times New Roman"/>
                        <w:sz w:val="20"/>
                        <w:szCs w:val="20"/>
                      </w:rPr>
                    </m:ctrlPr>
                  </m:sup>
                </m:sSubSup>
                <m:r>
                  <m:rPr/>
                  <w:rPr>
                    <w:rFonts w:ascii="Cambria Math" w:hAnsi="Cambria Math" w:cs="Times New Roman"/>
                    <w:sz w:val="20"/>
                    <w:szCs w:val="20"/>
                  </w:rPr>
                  <m:t>∩</m:t>
                </m:r>
                <m:sSub>
                  <m:sSubPr>
                    <m:ctrlPr>
                      <w:rPr>
                        <w:rFonts w:ascii="Cambria Math" w:hAnsi="Cambria Math" w:cs="Times New Roman"/>
                        <w:sz w:val="20"/>
                        <w:szCs w:val="20"/>
                      </w:rPr>
                    </m:ctrlPr>
                  </m:sSubPr>
                  <m:e>
                    <m:r>
                      <m:rPr>
                        <m:scr m:val="script"/>
                      </m:rPr>
                      <w:rPr>
                        <w:rFonts w:ascii="Cambria Math" w:hAnsi="Cambria Math" w:eastAsia="MS Mincho" w:cs="Times New Roman"/>
                        <w:sz w:val="20"/>
                        <w:szCs w:val="20"/>
                      </w:rPr>
                      <m:t>S</m:t>
                    </m:r>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Sub>
                <m:r>
                  <m:rPr/>
                  <w:rPr>
                    <w:rFonts w:ascii="Cambria Math" w:hAnsi="Cambria Math" w:cs="Times New Roman"/>
                    <w:sz w:val="20"/>
                    <w:szCs w:val="20"/>
                  </w:rPr>
                  <m:t>(s)</m:t>
                </m:r>
                <m:ctrlPr>
                  <w:rPr>
                    <w:rFonts w:ascii="Cambria Math" w:hAnsi="Cambria Math" w:cs="Times New Roman"/>
                    <w:sz w:val="20"/>
                    <w:szCs w:val="20"/>
                  </w:rPr>
                </m:ctrlPr>
              </m:e>
            </m:d>
            <m:ctrlPr>
              <w:rPr>
                <w:rFonts w:ascii="Cambria Math" w:hAnsi="Cambria Math" w:cs="Times New Roman"/>
                <w:sz w:val="20"/>
                <w:szCs w:val="20"/>
              </w:rPr>
            </m:ctrlPr>
          </m:num>
          <m:den>
            <m:d>
              <m:dPr>
                <m:begChr m:val="|"/>
                <m:endChr m:val="|"/>
                <m:ctrlPr>
                  <w:rPr>
                    <w:rFonts w:ascii="Cambria Math" w:hAnsi="Cambria Math" w:cs="Times New Roman"/>
                    <w:sz w:val="20"/>
                    <w:szCs w:val="20"/>
                  </w:rPr>
                </m:ctrlPr>
              </m:dPr>
              <m:e>
                <m:sSubSup>
                  <m:sSubSupPr>
                    <m:ctrlPr>
                      <w:rPr>
                        <w:rFonts w:ascii="Cambria Math" w:hAnsi="Cambria Math" w:cs="Times New Roman"/>
                        <w:sz w:val="20"/>
                        <w:szCs w:val="20"/>
                      </w:rPr>
                    </m:ctrlPr>
                  </m:sSubSupPr>
                  <m:e>
                    <m:r>
                      <m:rPr>
                        <m:scr m:val="script"/>
                      </m:rPr>
                      <w:rPr>
                        <w:rFonts w:ascii="Cambria Math" w:hAnsi="Cambria Math" w:eastAsia="MS Mincho" w:cs="Times New Roman"/>
                        <w:sz w:val="20"/>
                        <w:szCs w:val="20"/>
                      </w:rPr>
                      <m:t>T</m:t>
                    </m:r>
                    <m:ctrlPr>
                      <w:rPr>
                        <w:rFonts w:ascii="Cambria Math" w:hAnsi="Cambria Math" w:cs="Times New Roman"/>
                        <w:sz w:val="20"/>
                        <w:szCs w:val="20"/>
                      </w:rPr>
                    </m:ctrlPr>
                  </m:e>
                  <m:sub>
                    <m:r>
                      <m:rPr/>
                      <w:rPr>
                        <w:rFonts w:ascii="Cambria Math" w:hAnsi="Cambria Math" w:cs="Times New Roman"/>
                        <w:sz w:val="20"/>
                        <w:szCs w:val="20"/>
                      </w:rPr>
                      <m:t>k,1%</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true</m:t>
                        </m:r>
                        <m:ctrlPr>
                          <w:rPr>
                            <w:rFonts w:ascii="Cambria Math" w:hAnsi="Cambria Math" w:cs="Times New Roman"/>
                            <w:sz w:val="20"/>
                            <w:szCs w:val="20"/>
                          </w:rPr>
                        </m:ctrlPr>
                      </m:e>
                    </m:phant>
                    <m:ctrlPr>
                      <w:rPr>
                        <w:rFonts w:ascii="Cambria Math" w:hAnsi="Cambria Math" w:cs="Times New Roman"/>
                        <w:sz w:val="20"/>
                        <w:szCs w:val="20"/>
                      </w:rPr>
                    </m:ctrlPr>
                  </m:sup>
                </m:sSubSup>
                <m:ctrlPr>
                  <w:rPr>
                    <w:rFonts w:ascii="Cambria Math" w:hAnsi="Cambria Math" w:cs="Times New Roman"/>
                    <w:sz w:val="20"/>
                    <w:szCs w:val="20"/>
                  </w:rPr>
                </m:ctrlPr>
              </m:e>
            </m:d>
            <m:ctrlPr>
              <w:rPr>
                <w:rFonts w:ascii="Cambria Math" w:hAnsi="Cambria Math" w:cs="Times New Roman"/>
                <w:sz w:val="20"/>
                <w:szCs w:val="20"/>
              </w:rPr>
            </m:ctrlPr>
          </m:den>
        </m:f>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(23)</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A higher recall at a smaller screened fraction indicates more efficient enrichment of the true high-uptake tail. Under uniform random screening, the expected recall is </w:t>
      </w:r>
      <m:oMath>
        <m:sSub>
          <m:sSubPr>
            <m:ctrlPr>
              <w:rPr>
                <w:rFonts w:ascii="Cambria Math" w:hAnsi="Cambria Math" w:cs="Times New Roman"/>
                <w:sz w:val="20"/>
                <w:szCs w:val="20"/>
              </w:rPr>
            </m:ctrlPr>
          </m:sSubPr>
          <m:e>
            <m:r>
              <m:rPr/>
              <w:rPr>
                <w:rFonts w:ascii="Cambria Math" w:hAnsi="Cambria Math" w:cs="Times New Roman"/>
                <w:sz w:val="20"/>
                <w:szCs w:val="20"/>
              </w:rPr>
              <m:t>m</m:t>
            </m:r>
            <m:ctrlPr>
              <w:rPr>
                <w:rFonts w:ascii="Cambria Math" w:hAnsi="Cambria Math" w:cs="Times New Roman"/>
                <w:sz w:val="20"/>
                <w:szCs w:val="20"/>
              </w:rPr>
            </m:ctrlPr>
          </m:e>
          <m:sub>
            <m:r>
              <m:rPr/>
              <w:rPr>
                <w:rFonts w:ascii="Cambria Math" w:hAnsi="Cambria Math" w:cs="Times New Roman"/>
                <w:sz w:val="20"/>
                <w:szCs w:val="20"/>
              </w:rPr>
              <m:t>s</m:t>
            </m:r>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m:sty m:val="p"/>
              </m:rPr>
              <w:rPr>
                <w:rFonts w:ascii="Cambria Math" w:hAnsi="Cambria Math" w:cs="Times New Roman"/>
                <w:sz w:val="20"/>
                <w:szCs w:val="20"/>
              </w:rPr>
              <m:t>test</m:t>
            </m:r>
            <m:ctrlPr>
              <w:rPr>
                <w:rFonts w:ascii="Cambria Math" w:hAnsi="Cambria Math" w:cs="Times New Roman"/>
                <w:sz w:val="20"/>
                <w:szCs w:val="20"/>
              </w:rPr>
            </m:ctrlPr>
          </m:sub>
        </m:sSub>
      </m:oMath>
      <w:r>
        <w:rPr>
          <w:rFonts w:ascii="Times New Roman" w:hAnsi="Times New Roman" w:cs="Times New Roman"/>
          <w:sz w:val="20"/>
          <w:szCs w:val="20"/>
        </w:rPr>
        <w:t xml:space="preserve">, which approaches the screened fraction </w:t>
      </w:r>
      <m:oMath>
        <m:r>
          <m:rPr/>
          <w:rPr>
            <w:rFonts w:ascii="Cambria Math" w:hAnsi="Cambria Math" w:cs="Times New Roman"/>
            <w:sz w:val="20"/>
            <w:szCs w:val="20"/>
          </w:rPr>
          <m:t>s</m:t>
        </m:r>
      </m:oMath>
      <w:r>
        <w:rPr>
          <w:rFonts w:ascii="Times New Roman" w:hAnsi="Times New Roman" w:cs="Times New Roman"/>
          <w:sz w:val="20"/>
          <w:szCs w:val="20"/>
        </w:rPr>
        <w:t>.</w:t>
      </w:r>
    </w:p>
    <w:p>
      <w:pPr>
        <w:rPr>
          <w:rFonts w:ascii="Times New Roman" w:hAnsi="Times New Roman" w:cs="Times New Roman"/>
          <w:b/>
          <w:bCs/>
          <w:sz w:val="22"/>
        </w:rPr>
      </w:pPr>
      <w:r>
        <w:rPr>
          <w:rFonts w:ascii="Times New Roman" w:hAnsi="Times New Roman" w:cs="Times New Roman"/>
          <w:b/>
          <w:bCs/>
          <w:sz w:val="22"/>
        </w:rPr>
        <w:t>S5.2.5 Overall modelling-quality score</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The prediction–discovery alignment map in Fig. 3d used a composite horizontal coordinate to summarize overall modelling quality. For each adsorption target </w:t>
      </w:r>
      <m:oMath>
        <m:r>
          <m:rPr/>
          <w:rPr>
            <w:rFonts w:ascii="Cambria Math" w:hAnsi="Cambria Math" w:cs="Times New Roman"/>
            <w:sz w:val="20"/>
            <w:szCs w:val="20"/>
          </w:rPr>
          <m:t>k</m:t>
        </m:r>
      </m:oMath>
      <w:r>
        <w:rPr>
          <w:rFonts w:ascii="Times New Roman" w:hAnsi="Times New Roman" w:cs="Times New Roman"/>
          <w:sz w:val="20"/>
          <w:szCs w:val="20"/>
        </w:rPr>
        <w:t xml:space="preserve">, the LightGBM test-set </w:t>
      </w:r>
      <m:oMath>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2</m:t>
            </m:r>
            <m:ctrlPr>
              <w:rPr>
                <w:rFonts w:ascii="Cambria Math" w:hAnsi="Cambria Math" w:cs="Times New Roman"/>
                <w:sz w:val="20"/>
                <w:szCs w:val="20"/>
              </w:rPr>
            </m:ctrlPr>
          </m:sup>
        </m:sSup>
      </m:oMath>
      <w:r>
        <w:rPr>
          <w:rFonts w:ascii="Times New Roman" w:hAnsi="Times New Roman" w:cs="Times New Roman"/>
          <w:sz w:val="20"/>
          <w:szCs w:val="20"/>
        </w:rPr>
        <w:t>values were independently min–max normalized across the five representations: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sz w:val="20"/>
                <w:szCs w:val="20"/>
              </w:rPr>
            </m:ctrlPr>
          </m:sSubSupPr>
          <m:e>
            <m:limUpp>
              <m:limUppPr>
                <m:ctrlPr>
                  <w:rPr>
                    <w:rFonts w:ascii="Cambria Math" w:hAnsi="Cambria Math" w:cs="Times New Roman"/>
                    <w:sz w:val="20"/>
                    <w:szCs w:val="20"/>
                  </w:rPr>
                </m:ctrlPr>
              </m:limUppPr>
              <m:e>
                <m:r>
                  <m:rPr/>
                  <w:rPr>
                    <w:rFonts w:ascii="Cambria Math" w:hAnsi="Cambria Math" w:cs="Times New Roman"/>
                    <w:sz w:val="20"/>
                    <w:szCs w:val="20"/>
                  </w:rPr>
                  <m:t>R</m:t>
                </m:r>
                <m:ctrlPr>
                  <w:rPr>
                    <w:rFonts w:ascii="Cambria Math" w:hAnsi="Cambria Math" w:cs="Times New Roman"/>
                    <w:sz w:val="20"/>
                    <w:szCs w:val="20"/>
                  </w:rPr>
                </m:ctrlPr>
              </m:e>
              <m:lim>
                <m:r>
                  <m:rPr/>
                  <w:rPr>
                    <w:rFonts w:ascii="Cambria Math" w:hAnsi="Cambria Math" w:cs="Times New Roman"/>
                    <w:sz w:val="20"/>
                    <w:szCs w:val="20"/>
                  </w:rPr>
                  <m:t>~</m:t>
                </m:r>
                <m:ctrlPr>
                  <w:rPr>
                    <w:rFonts w:ascii="Cambria Math" w:hAnsi="Cambria Math" w:cs="Times New Roman"/>
                    <w:sz w:val="20"/>
                    <w:szCs w:val="20"/>
                  </w:rPr>
                </m:ctrlPr>
              </m:lim>
            </m:limUpp>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up>
            <m:r>
              <m:rPr/>
              <w:rPr>
                <w:rFonts w:ascii="Cambria Math" w:hAnsi="Cambria Math" w:cs="Times New Roman"/>
                <w:sz w:val="20"/>
                <w:szCs w:val="20"/>
              </w:rPr>
              <m:t>2</m:t>
            </m:r>
            <m:ctrlPr>
              <w:rPr>
                <w:rFonts w:ascii="Cambria Math" w:hAnsi="Cambria Math" w:cs="Times New Roman"/>
                <w:sz w:val="20"/>
                <w:szCs w:val="20"/>
              </w:rPr>
            </m:ctrlPr>
          </m:sup>
        </m:sSubSup>
        <m:r>
          <m:rPr/>
          <w:rPr>
            <w:rFonts w:ascii="Cambria Math" w:hAnsi="Cambria Math" w:cs="Times New Roman"/>
            <w:sz w:val="20"/>
            <w:szCs w:val="20"/>
          </w:rPr>
          <m:t>=</m:t>
        </m:r>
        <m:f>
          <m:fPr>
            <m:ctrlPr>
              <w:rPr>
                <w:rFonts w:ascii="Cambria Math" w:hAnsi="Cambria Math" w:cs="Times New Roman"/>
                <w:sz w:val="20"/>
                <w:szCs w:val="20"/>
              </w:rPr>
            </m:ctrlPr>
          </m:fPr>
          <m:num>
            <m:sSubSup>
              <m:sSubSupPr>
                <m:ctrlPr>
                  <w:rPr>
                    <w:rFonts w:ascii="Cambria Math" w:hAnsi="Cambria Math" w:cs="Times New Roman"/>
                    <w:sz w:val="20"/>
                    <w:szCs w:val="20"/>
                  </w:rPr>
                </m:ctrlPr>
              </m:sSubSup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up>
                <m:r>
                  <m:rPr/>
                  <w:rPr>
                    <w:rFonts w:ascii="Cambria Math" w:hAnsi="Cambria Math" w:cs="Times New Roman"/>
                    <w:sz w:val="20"/>
                    <w:szCs w:val="20"/>
                  </w:rPr>
                  <m:t>2</m:t>
                </m:r>
                <m:ctrlPr>
                  <w:rPr>
                    <w:rFonts w:ascii="Cambria Math" w:hAnsi="Cambria Math" w:cs="Times New Roman"/>
                    <w:sz w:val="20"/>
                    <w:szCs w:val="20"/>
                  </w:rPr>
                </m:ctrlPr>
              </m:sup>
            </m:sSubSup>
            <m:r>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min</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ctrlPr>
                  <w:rPr>
                    <w:rFonts w:ascii="Cambria Math" w:hAnsi="Cambria Math" w:cs="Times New Roman"/>
                    <w:sz w:val="20"/>
                    <w:szCs w:val="20"/>
                  </w:rPr>
                </m:ctrlPr>
              </m:sub>
            </m:sSub>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R</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r>
                  <m:rPr/>
                  <w:rPr>
                    <w:rFonts w:ascii="Cambria Math" w:hAnsi="Cambria Math" w:cs="Times New Roman"/>
                    <w:sz w:val="20"/>
                    <w:szCs w:val="20"/>
                  </w:rPr>
                  <m:t>,k</m:t>
                </m:r>
                <m:ctrlPr>
                  <w:rPr>
                    <w:rFonts w:ascii="Cambria Math" w:hAnsi="Cambria Math" w:cs="Times New Roman"/>
                    <w:sz w:val="20"/>
                    <w:szCs w:val="20"/>
                  </w:rPr>
                </m:ctrlPr>
              </m:sub>
              <m:sup>
                <m:r>
                  <m:rPr/>
                  <w:rPr>
                    <w:rFonts w:ascii="Cambria Math" w:hAnsi="Cambria Math" w:cs="Times New Roman"/>
                    <w:sz w:val="20"/>
                    <w:szCs w:val="20"/>
                  </w:rPr>
                  <m:t>2</m:t>
                </m:r>
                <m:ctrlPr>
                  <w:rPr>
                    <w:rFonts w:ascii="Cambria Math" w:hAnsi="Cambria Math" w:cs="Times New Roman"/>
                    <w:sz w:val="20"/>
                    <w:szCs w:val="20"/>
                  </w:rPr>
                </m:ctrlPr>
              </m:sup>
            </m:sSubSup>
            <m:ctrlPr>
              <w:rPr>
                <w:rFonts w:ascii="Cambria Math" w:hAnsi="Cambria Math" w:cs="Times New Roman"/>
                <w:sz w:val="20"/>
                <w:szCs w:val="20"/>
              </w:rPr>
            </m:ctrlPr>
          </m:num>
          <m:den>
            <m:sSub>
              <m:sSubPr>
                <m:ctrlPr>
                  <w:rPr>
                    <w:rFonts w:ascii="Cambria Math" w:hAnsi="Cambria Math" w:cs="Times New Roman"/>
                    <w:sz w:val="20"/>
                    <w:szCs w:val="20"/>
                  </w:rPr>
                </m:ctrlPr>
              </m:sSubPr>
              <m:e>
                <m:r>
                  <m:rPr>
                    <m:sty m:val="p"/>
                  </m:rPr>
                  <w:rPr>
                    <w:rFonts w:ascii="Cambria Math" w:hAnsi="Cambria Math" w:cs="Times New Roman"/>
                    <w:sz w:val="20"/>
                    <w:szCs w:val="20"/>
                  </w:rPr>
                  <m:t>max</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ctrlPr>
                  <w:rPr>
                    <w:rFonts w:ascii="Cambria Math" w:hAnsi="Cambria Math" w:cs="Times New Roman"/>
                    <w:sz w:val="20"/>
                    <w:szCs w:val="20"/>
                  </w:rPr>
                </m:ctrlPr>
              </m:sub>
            </m:sSub>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R</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r>
                  <m:rPr/>
                  <w:rPr>
                    <w:rFonts w:ascii="Cambria Math" w:hAnsi="Cambria Math" w:cs="Times New Roman"/>
                    <w:sz w:val="20"/>
                    <w:szCs w:val="20"/>
                  </w:rPr>
                  <m:t>,k</m:t>
                </m:r>
                <m:ctrlPr>
                  <w:rPr>
                    <w:rFonts w:ascii="Cambria Math" w:hAnsi="Cambria Math" w:cs="Times New Roman"/>
                    <w:sz w:val="20"/>
                    <w:szCs w:val="20"/>
                  </w:rPr>
                </m:ctrlPr>
              </m:sub>
              <m:sup>
                <m:r>
                  <m:rPr/>
                  <w:rPr>
                    <w:rFonts w:ascii="Cambria Math" w:hAnsi="Cambria Math" w:cs="Times New Roman"/>
                    <w:sz w:val="20"/>
                    <w:szCs w:val="20"/>
                  </w:rPr>
                  <m:t>2</m:t>
                </m:r>
                <m:ctrlPr>
                  <w:rPr>
                    <w:rFonts w:ascii="Cambria Math" w:hAnsi="Cambria Math" w:cs="Times New Roman"/>
                    <w:sz w:val="20"/>
                    <w:szCs w:val="20"/>
                  </w:rPr>
                </m:ctrlPr>
              </m:sup>
            </m:sSubSup>
            <m:r>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min</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ctrlPr>
                  <w:rPr>
                    <w:rFonts w:ascii="Cambria Math" w:hAnsi="Cambria Math" w:cs="Times New Roman"/>
                    <w:sz w:val="20"/>
                    <w:szCs w:val="20"/>
                  </w:rPr>
                </m:ctrlPr>
              </m:sub>
            </m:sSub>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R</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r>
                  <m:rPr/>
                  <w:rPr>
                    <w:rFonts w:ascii="Cambria Math" w:hAnsi="Cambria Math" w:cs="Times New Roman"/>
                    <w:sz w:val="20"/>
                    <w:szCs w:val="20"/>
                  </w:rPr>
                  <m:t>,k</m:t>
                </m:r>
                <m:ctrlPr>
                  <w:rPr>
                    <w:rFonts w:ascii="Cambria Math" w:hAnsi="Cambria Math" w:cs="Times New Roman"/>
                    <w:sz w:val="20"/>
                    <w:szCs w:val="20"/>
                  </w:rPr>
                </m:ctrlPr>
              </m:sub>
              <m:sup>
                <m:r>
                  <m:rPr/>
                  <w:rPr>
                    <w:rFonts w:ascii="Cambria Math" w:hAnsi="Cambria Math" w:cs="Times New Roman"/>
                    <w:sz w:val="20"/>
                    <w:szCs w:val="20"/>
                  </w:rPr>
                  <m:t>2</m:t>
                </m:r>
                <m:ctrlPr>
                  <w:rPr>
                    <w:rFonts w:ascii="Cambria Math" w:hAnsi="Cambria Math" w:cs="Times New Roman"/>
                    <w:sz w:val="20"/>
                    <w:szCs w:val="20"/>
                  </w:rPr>
                </m:ctrlPr>
              </m:sup>
            </m:sSubSup>
            <m:ctrlPr>
              <w:rPr>
                <w:rFonts w:ascii="Cambria Math" w:hAnsi="Cambria Math" w:cs="Times New Roman"/>
                <w:sz w:val="20"/>
                <w:szCs w:val="20"/>
              </w:rPr>
            </m:ctrlPr>
          </m:den>
        </m:f>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(24)</w:t>
      </w:r>
    </w:p>
    <w:p>
      <w:pPr>
        <w:spacing w:line="276" w:lineRule="auto"/>
        <w:rPr>
          <w:rFonts w:ascii="Times New Roman" w:hAnsi="Times New Roman" w:cs="Times New Roman"/>
          <w:sz w:val="20"/>
          <w:szCs w:val="20"/>
        </w:rPr>
      </w:pPr>
      <w:r>
        <w:rPr>
          <w:rFonts w:ascii="Times New Roman" w:hAnsi="Times New Roman" w:cs="Times New Roman"/>
          <w:sz w:val="20"/>
          <w:szCs w:val="20"/>
        </w:rPr>
        <w:t>Spearman correlations were normalized in the same manner:</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limUpp>
              <m:limUppPr>
                <m:ctrlPr>
                  <w:rPr>
                    <w:rFonts w:ascii="Cambria Math" w:hAnsi="Cambria Math" w:cs="Times New Roman"/>
                    <w:sz w:val="20"/>
                    <w:szCs w:val="20"/>
                  </w:rPr>
                </m:ctrlPr>
              </m:limUppPr>
              <m:e>
                <m:r>
                  <m:rPr/>
                  <w:rPr>
                    <w:rFonts w:ascii="Cambria Math" w:hAnsi="Cambria Math" w:cs="Times New Roman"/>
                    <w:sz w:val="20"/>
                    <w:szCs w:val="20"/>
                  </w:rPr>
                  <m:t>ρ</m:t>
                </m:r>
                <m:ctrlPr>
                  <w:rPr>
                    <w:rFonts w:ascii="Cambria Math" w:hAnsi="Cambria Math" w:cs="Times New Roman"/>
                    <w:sz w:val="20"/>
                    <w:szCs w:val="20"/>
                  </w:rPr>
                </m:ctrlPr>
              </m:e>
              <m:lim>
                <m:r>
                  <m:rPr/>
                  <w:rPr>
                    <w:rFonts w:ascii="Cambria Math" w:hAnsi="Cambria Math" w:cs="Times New Roman"/>
                    <w:sz w:val="20"/>
                    <w:szCs w:val="20"/>
                  </w:rPr>
                  <m:t>~</m:t>
                </m:r>
                <m:ctrlPr>
                  <w:rPr>
                    <w:rFonts w:ascii="Cambria Math" w:hAnsi="Cambria Math" w:cs="Times New Roman"/>
                    <w:sz w:val="20"/>
                    <w:szCs w:val="20"/>
                  </w:rPr>
                </m:ctrlPr>
              </m:lim>
            </m:limUpp>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Sub>
        <m:r>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w:rPr>
                    <w:rFonts w:ascii="Cambria Math" w:hAnsi="Cambria Math" w:cs="Times New Roman"/>
                    <w:sz w:val="20"/>
                    <w:szCs w:val="20"/>
                  </w:rPr>
                  <m:t>ρ</m:t>
                </m:r>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min</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ρ</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r>
                  <m:rPr/>
                  <w:rPr>
                    <w:rFonts w:ascii="Cambria Math" w:hAnsi="Cambria Math" w:cs="Times New Roman"/>
                    <w:sz w:val="20"/>
                    <w:szCs w:val="20"/>
                  </w:rPr>
                  <m:t>,k</m:t>
                </m:r>
                <m:ctrlPr>
                  <w:rPr>
                    <w:rFonts w:ascii="Cambria Math" w:hAnsi="Cambria Math" w:cs="Times New Roman"/>
                    <w:sz w:val="20"/>
                    <w:szCs w:val="20"/>
                  </w:rPr>
                </m:ctrlPr>
              </m:sub>
            </m:sSub>
            <m:ctrlPr>
              <w:rPr>
                <w:rFonts w:ascii="Cambria Math" w:hAnsi="Cambria Math" w:cs="Times New Roman"/>
                <w:sz w:val="20"/>
                <w:szCs w:val="20"/>
              </w:rPr>
            </m:ctrlPr>
          </m:num>
          <m:den>
            <m:sSub>
              <m:sSubPr>
                <m:ctrlPr>
                  <w:rPr>
                    <w:rFonts w:ascii="Cambria Math" w:hAnsi="Cambria Math" w:cs="Times New Roman"/>
                    <w:sz w:val="20"/>
                    <w:szCs w:val="20"/>
                  </w:rPr>
                </m:ctrlPr>
              </m:sSubPr>
              <m:e>
                <m:r>
                  <m:rPr>
                    <m:sty m:val="p"/>
                  </m:rPr>
                  <w:rPr>
                    <w:rFonts w:ascii="Cambria Math" w:hAnsi="Cambria Math" w:cs="Times New Roman"/>
                    <w:sz w:val="20"/>
                    <w:szCs w:val="20"/>
                  </w:rPr>
                  <m:t>max</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ρ</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r>
                  <m:rPr/>
                  <w:rPr>
                    <w:rFonts w:ascii="Cambria Math" w:hAnsi="Cambria Math" w:cs="Times New Roman"/>
                    <w:sz w:val="20"/>
                    <w:szCs w:val="20"/>
                  </w:rPr>
                  <m:t>,k</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min</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ρ</m:t>
                </m:r>
                <m:ctrlPr>
                  <w:rPr>
                    <w:rFonts w:ascii="Cambria Math" w:hAnsi="Cambria Math" w:cs="Times New Roman"/>
                    <w:sz w:val="20"/>
                    <w:szCs w:val="20"/>
                  </w:rPr>
                </m:ctrlPr>
              </m:e>
              <m:sub>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m:t>
                    </m:r>
                    <m:ctrlPr>
                      <w:rPr>
                        <w:rFonts w:ascii="Cambria Math" w:hAnsi="Cambria Math" w:cs="Times New Roman"/>
                        <w:sz w:val="20"/>
                        <w:szCs w:val="20"/>
                      </w:rPr>
                    </m:ctrlPr>
                  </m:sup>
                </m:sSup>
                <m:r>
                  <m:rPr/>
                  <w:rPr>
                    <w:rFonts w:ascii="Cambria Math" w:hAnsi="Cambria Math" w:cs="Times New Roman"/>
                    <w:sz w:val="20"/>
                    <w:szCs w:val="20"/>
                  </w:rPr>
                  <m:t>,k</m:t>
                </m:r>
                <m:ctrlPr>
                  <w:rPr>
                    <w:rFonts w:ascii="Cambria Math" w:hAnsi="Cambria Math" w:cs="Times New Roman"/>
                    <w:sz w:val="20"/>
                    <w:szCs w:val="20"/>
                  </w:rPr>
                </m:ctrlPr>
              </m:sub>
            </m:sSub>
            <m:ctrlPr>
              <w:rPr>
                <w:rFonts w:ascii="Cambria Math" w:hAnsi="Cambria Math" w:cs="Times New Roman"/>
                <w:sz w:val="20"/>
                <w:szCs w:val="20"/>
              </w:rPr>
            </m:ctrlPr>
          </m:den>
        </m:f>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(25)</w:t>
      </w:r>
    </w:p>
    <w:p>
      <w:pPr>
        <w:spacing w:line="276" w:lineRule="auto"/>
        <w:rPr>
          <w:rFonts w:ascii="Times New Roman" w:hAnsi="Times New Roman" w:cs="Times New Roman"/>
          <w:sz w:val="20"/>
          <w:szCs w:val="20"/>
        </w:rPr>
      </w:pPr>
      <w:r>
        <w:rPr>
          <w:rFonts w:ascii="Times New Roman" w:hAnsi="Times New Roman" w:cs="Times New Roman"/>
          <w:sz w:val="20"/>
          <w:szCs w:val="20"/>
        </w:rPr>
        <w:t>The overall modelling-quality score was then calculated using equal weights: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Q</m:t>
            </m:r>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Sub>
        <m:r>
          <m:rPr/>
          <w:rPr>
            <w:rFonts w:ascii="Cambria Math" w:hAnsi="Cambria Math" w:cs="Times New Roman"/>
            <w:sz w:val="20"/>
            <w:szCs w:val="20"/>
          </w:rPr>
          <m:t>=</m:t>
        </m:r>
        <m:f>
          <m:fPr>
            <m:ctrlPr>
              <w:rPr>
                <w:rFonts w:ascii="Cambria Math" w:hAnsi="Cambria Math" w:cs="Times New Roman"/>
                <w:sz w:val="20"/>
                <w:szCs w:val="20"/>
              </w:rPr>
            </m:ctrlPr>
          </m:fPr>
          <m:num>
            <m:sSubSup>
              <m:sSubSupPr>
                <m:ctrlPr>
                  <w:rPr>
                    <w:rFonts w:ascii="Cambria Math" w:hAnsi="Cambria Math" w:cs="Times New Roman"/>
                    <w:sz w:val="20"/>
                    <w:szCs w:val="20"/>
                  </w:rPr>
                </m:ctrlPr>
              </m:sSubSupPr>
              <m:e>
                <m:limUpp>
                  <m:limUppPr>
                    <m:ctrlPr>
                      <w:rPr>
                        <w:rFonts w:ascii="Cambria Math" w:hAnsi="Cambria Math" w:cs="Times New Roman"/>
                        <w:sz w:val="20"/>
                        <w:szCs w:val="20"/>
                      </w:rPr>
                    </m:ctrlPr>
                  </m:limUppPr>
                  <m:e>
                    <m:r>
                      <m:rPr/>
                      <w:rPr>
                        <w:rFonts w:ascii="Cambria Math" w:hAnsi="Cambria Math" w:cs="Times New Roman"/>
                        <w:sz w:val="20"/>
                        <w:szCs w:val="20"/>
                      </w:rPr>
                      <m:t>R</m:t>
                    </m:r>
                    <m:ctrlPr>
                      <w:rPr>
                        <w:rFonts w:ascii="Cambria Math" w:hAnsi="Cambria Math" w:cs="Times New Roman"/>
                        <w:sz w:val="20"/>
                        <w:szCs w:val="20"/>
                      </w:rPr>
                    </m:ctrlPr>
                  </m:e>
                  <m:lim>
                    <m:r>
                      <m:rPr/>
                      <w:rPr>
                        <w:rFonts w:ascii="Cambria Math" w:hAnsi="Cambria Math" w:cs="Times New Roman"/>
                        <w:sz w:val="20"/>
                        <w:szCs w:val="20"/>
                      </w:rPr>
                      <m:t>~</m:t>
                    </m:r>
                    <m:ctrlPr>
                      <w:rPr>
                        <w:rFonts w:ascii="Cambria Math" w:hAnsi="Cambria Math" w:cs="Times New Roman"/>
                        <w:sz w:val="20"/>
                        <w:szCs w:val="20"/>
                      </w:rPr>
                    </m:ctrlPr>
                  </m:lim>
                </m:limUpp>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up>
                <m:r>
                  <m:rPr/>
                  <w:rPr>
                    <w:rFonts w:ascii="Cambria Math" w:hAnsi="Cambria Math" w:cs="Times New Roman"/>
                    <w:sz w:val="20"/>
                    <w:szCs w:val="20"/>
                  </w:rPr>
                  <m:t>2</m:t>
                </m:r>
                <m:ctrlPr>
                  <w:rPr>
                    <w:rFonts w:ascii="Cambria Math" w:hAnsi="Cambria Math" w:cs="Times New Roman"/>
                    <w:sz w:val="20"/>
                    <w:szCs w:val="20"/>
                  </w:rPr>
                </m:ctrlPr>
              </m:sup>
            </m:sSubSup>
            <m:r>
              <m:rPr/>
              <w:rPr>
                <w:rFonts w:ascii="Cambria Math" w:hAnsi="Cambria Math" w:cs="Times New Roman"/>
                <w:sz w:val="20"/>
                <w:szCs w:val="20"/>
              </w:rPr>
              <m:t>+</m:t>
            </m:r>
            <m:sSub>
              <m:sSubPr>
                <m:ctrlPr>
                  <w:rPr>
                    <w:rFonts w:ascii="Cambria Math" w:hAnsi="Cambria Math" w:cs="Times New Roman"/>
                    <w:sz w:val="20"/>
                    <w:szCs w:val="20"/>
                  </w:rPr>
                </m:ctrlPr>
              </m:sSubPr>
              <m:e>
                <m:limUpp>
                  <m:limUppPr>
                    <m:ctrlPr>
                      <w:rPr>
                        <w:rFonts w:ascii="Cambria Math" w:hAnsi="Cambria Math" w:cs="Times New Roman"/>
                        <w:sz w:val="20"/>
                        <w:szCs w:val="20"/>
                      </w:rPr>
                    </m:ctrlPr>
                  </m:limUppPr>
                  <m:e>
                    <m:r>
                      <m:rPr/>
                      <w:rPr>
                        <w:rFonts w:ascii="Cambria Math" w:hAnsi="Cambria Math" w:cs="Times New Roman"/>
                        <w:sz w:val="20"/>
                        <w:szCs w:val="20"/>
                      </w:rPr>
                      <m:t>ρ</m:t>
                    </m:r>
                    <m:ctrlPr>
                      <w:rPr>
                        <w:rFonts w:ascii="Cambria Math" w:hAnsi="Cambria Math" w:cs="Times New Roman"/>
                        <w:sz w:val="20"/>
                        <w:szCs w:val="20"/>
                      </w:rPr>
                    </m:ctrlPr>
                  </m:e>
                  <m:lim>
                    <m:r>
                      <m:rPr/>
                      <w:rPr>
                        <w:rFonts w:ascii="Cambria Math" w:hAnsi="Cambria Math" w:cs="Times New Roman"/>
                        <w:sz w:val="20"/>
                        <w:szCs w:val="20"/>
                      </w:rPr>
                      <m:t>~</m:t>
                    </m:r>
                    <m:ctrlPr>
                      <w:rPr>
                        <w:rFonts w:ascii="Cambria Math" w:hAnsi="Cambria Math" w:cs="Times New Roman"/>
                        <w:sz w:val="20"/>
                        <w:szCs w:val="20"/>
                      </w:rPr>
                    </m:ctrlPr>
                  </m:lim>
                </m:limUpp>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Sub>
            <m:ctrlPr>
              <w:rPr>
                <w:rFonts w:ascii="Cambria Math" w:hAnsi="Cambria Math" w:cs="Times New Roman"/>
                <w:sz w:val="20"/>
                <w:szCs w:val="20"/>
              </w:rPr>
            </m:ctrlPr>
          </m:num>
          <m:den>
            <m:r>
              <m:rPr/>
              <w:rPr>
                <w:rFonts w:ascii="Cambria Math" w:hAnsi="Cambria Math" w:cs="Times New Roman"/>
                <w:sz w:val="20"/>
                <w:szCs w:val="20"/>
              </w:rPr>
              <m:t>2</m:t>
            </m:r>
            <m:ctrlPr>
              <w:rPr>
                <w:rFonts w:ascii="Cambria Math" w:hAnsi="Cambria Math" w:cs="Times New Roman"/>
                <w:sz w:val="20"/>
                <w:szCs w:val="20"/>
              </w:rPr>
            </m:ctrlPr>
          </m:den>
        </m:f>
        <m:r>
          <m:rPr/>
          <w:rPr>
            <w:rFonts w:ascii="Cambria Math" w:hAnsi="Cambria Math" w:cs="Times New Roman"/>
            <w:sz w:val="20"/>
            <w:szCs w:val="20"/>
          </w:rPr>
          <m:t>.</m:t>
        </m:r>
      </m:oMath>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(26)</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In Fig. 3d, the overall modelling-quality score </w:t>
      </w:r>
      <m:oMath>
        <m:sSub>
          <m:sSubPr>
            <m:ctrlPr>
              <w:rPr>
                <w:rFonts w:ascii="Cambria Math" w:hAnsi="Cambria Math" w:cs="Times New Roman"/>
                <w:sz w:val="20"/>
                <w:szCs w:val="20"/>
              </w:rPr>
            </m:ctrlPr>
          </m:sSubPr>
          <m:e>
            <m:r>
              <m:rPr/>
              <w:rPr>
                <w:rFonts w:ascii="Cambria Math" w:hAnsi="Cambria Math" w:cs="Times New Roman"/>
                <w:sz w:val="20"/>
                <w:szCs w:val="20"/>
              </w:rPr>
              <m:t>Q</m:t>
            </m:r>
            <m:ctrlPr>
              <w:rPr>
                <w:rFonts w:ascii="Cambria Math" w:hAnsi="Cambria Math" w:cs="Times New Roman"/>
                <w:sz w:val="20"/>
                <w:szCs w:val="20"/>
              </w:rPr>
            </m:ctrlPr>
          </m:e>
          <m:sub>
            <m:r>
              <m:rPr/>
              <w:rPr>
                <w:rFonts w:ascii="Cambria Math" w:hAnsi="Cambria Math" w:cs="Times New Roman"/>
                <w:sz w:val="20"/>
                <w:szCs w:val="20"/>
              </w:rPr>
              <m:t>r,k</m:t>
            </m:r>
            <m:ctrlPr>
              <w:rPr>
                <w:rFonts w:ascii="Cambria Math" w:hAnsi="Cambria Math" w:cs="Times New Roman"/>
                <w:sz w:val="20"/>
                <w:szCs w:val="20"/>
              </w:rPr>
            </m:ctrlPr>
          </m:sub>
        </m:sSub>
      </m:oMath>
      <w:r>
        <w:rPr>
          <w:rFonts w:ascii="Times New Roman" w:hAnsi="Times New Roman" w:cs="Times New Roman"/>
          <w:sz w:val="20"/>
          <w:szCs w:val="20"/>
        </w:rPr>
        <w:t>, defined in Supplementary Equations (24)–(26), was plotted against the corresponding Top-1% hit rate for each target–representation pair. Both quantities were calculated from the held-out LightGBM predictions. The horizontal axis summarizes regression accuracy and global ranking consistency, whereas the vertical axis independently measures recovery of the extreme high-uptake tail.</w:t>
      </w:r>
    </w:p>
    <w:p>
      <w:pPr>
        <w:rPr>
          <w:rFonts w:ascii="Times New Roman" w:hAnsi="Times New Roman" w:cs="Times New Roman"/>
          <w:b/>
          <w:bCs/>
          <w:sz w:val="22"/>
        </w:rPr>
      </w:pPr>
      <w:r>
        <w:rPr>
          <w:rFonts w:ascii="Times New Roman" w:hAnsi="Times New Roman" w:cs="Times New Roman"/>
          <w:b/>
          <w:bCs/>
          <w:sz w:val="22"/>
        </w:rPr>
        <w:t>S5.3 Dataset split, cross-validation and leakage prevention</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For each adsorption target, the 7,532 MOFs were assigned to a fixed training set of 6,025 materials and a held-out test set of 1,507 materials. The same predefined train–test assignment was reused across all five representations and both model families for a given target.</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Model selection was performed exclusively within the training set using five predefined cross-validation folds. Each validation fold contained 1,205 materials. The held-out test set was not used for hyperparameter selection and was evaluated only after the final pipeline had been selected and refitted on the complete training set.</w:t>
      </w:r>
    </w:p>
    <w:p>
      <w:pPr>
        <w:pStyle w:val="50"/>
        <w:jc w:val="center"/>
        <w:rPr>
          <w:rFonts w:cs="Times New Roman"/>
        </w:rPr>
      </w:pPr>
      <w:r>
        <w:rPr>
          <w:rFonts w:cs="Times New Roman"/>
          <w:b/>
        </w:rPr>
        <w:t xml:space="preserve">Supplementary Table </w:t>
      </w:r>
      <w:r>
        <w:rPr>
          <w:rFonts w:cs="Times New Roman" w:eastAsiaTheme="minorEastAsia"/>
          <w:b/>
          <w:lang w:eastAsia="zh-CN"/>
        </w:rPr>
        <w:t>9</w:t>
      </w:r>
      <w:r>
        <w:rPr>
          <w:rFonts w:cs="Times New Roman"/>
          <w:b/>
        </w:rPr>
        <w:t xml:space="preserve"> | Train–test split and cross-validation settings</w:t>
      </w:r>
    </w:p>
    <w:tbl>
      <w:tblPr>
        <w:tblStyle w:val="20"/>
        <w:tblW w:w="8710" w:type="dxa"/>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9"/>
        <w:gridCol w:w="992"/>
        <w:gridCol w:w="1701"/>
        <w:gridCol w:w="1418"/>
        <w:gridCol w:w="1417"/>
        <w:gridCol w:w="2423"/>
      </w:tblGrid>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759"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Target</w:t>
            </w:r>
          </w:p>
        </w:tc>
        <w:tc>
          <w:tcPr>
            <w:tcW w:w="992"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Total samples</w:t>
            </w:r>
          </w:p>
        </w:tc>
        <w:tc>
          <w:tcPr>
            <w:tcW w:w="1701"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Training samples</w:t>
            </w:r>
          </w:p>
        </w:tc>
        <w:tc>
          <w:tcPr>
            <w:tcW w:w="1418"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Test samples</w:t>
            </w:r>
          </w:p>
        </w:tc>
        <w:tc>
          <w:tcPr>
            <w:tcW w:w="1417" w:type="dxa"/>
            <w:tcBorders>
              <w:top w:val="single" w:color="000000" w:sz="4" w:space="0"/>
              <w:bottom w:val="single" w:color="000000" w:sz="4" w:space="0"/>
            </w:tcBorders>
            <w:shd w:val="clear" w:color="auto" w:fill="FFFFFF"/>
            <w:vAlign w:val="center"/>
          </w:tcPr>
          <w:p>
            <w:pPr>
              <w:jc w:val="center"/>
              <w:rPr>
                <w:rFonts w:ascii="Times New Roman" w:hAnsi="Times New Roman" w:cs="Times New Roman"/>
                <w:b/>
                <w:sz w:val="20"/>
                <w:szCs w:val="20"/>
              </w:rPr>
            </w:pPr>
            <w:r>
              <w:rPr>
                <w:rFonts w:ascii="Times New Roman" w:hAnsi="Times New Roman" w:cs="Times New Roman"/>
                <w:b/>
                <w:sz w:val="20"/>
                <w:szCs w:val="20"/>
              </w:rPr>
              <w:t>CV folds</w:t>
            </w:r>
          </w:p>
        </w:tc>
        <w:tc>
          <w:tcPr>
            <w:tcW w:w="2423" w:type="dxa"/>
            <w:tcBorders>
              <w:top w:val="single" w:color="000000" w:sz="4" w:space="0"/>
              <w:bottom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b/>
                <w:sz w:val="20"/>
                <w:szCs w:val="20"/>
              </w:rPr>
              <w:t>Validation samples per fold</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59"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CEES</w:t>
            </w:r>
          </w:p>
        </w:tc>
        <w:tc>
          <w:tcPr>
            <w:tcW w:w="992"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7,532</w:t>
            </w:r>
          </w:p>
        </w:tc>
        <w:tc>
          <w:tcPr>
            <w:tcW w:w="1701"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6,025</w:t>
            </w:r>
          </w:p>
        </w:tc>
        <w:tc>
          <w:tcPr>
            <w:tcW w:w="1418"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1,507</w:t>
            </w:r>
          </w:p>
        </w:tc>
        <w:tc>
          <w:tcPr>
            <w:tcW w:w="1417" w:type="dxa"/>
            <w:tcBorders>
              <w:top w:val="single" w:color="000000" w:sz="4" w:space="0"/>
            </w:tcBorders>
            <w:shd w:val="clear" w:color="auto" w:fill="FFFFFF"/>
            <w:vAlign w:val="center"/>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2423" w:type="dxa"/>
            <w:tcBorders>
              <w:top w:val="single" w:color="000000" w:sz="4" w:space="0"/>
            </w:tcBorders>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1,205</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59"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DMMP</w:t>
            </w:r>
          </w:p>
        </w:tc>
        <w:tc>
          <w:tcPr>
            <w:tcW w:w="992"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7,532</w:t>
            </w:r>
          </w:p>
        </w:tc>
        <w:tc>
          <w:tcPr>
            <w:tcW w:w="1701"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6,025</w:t>
            </w:r>
          </w:p>
        </w:tc>
        <w:tc>
          <w:tcPr>
            <w:tcW w:w="1418"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1,507</w:t>
            </w:r>
          </w:p>
        </w:tc>
        <w:tc>
          <w:tcPr>
            <w:tcW w:w="1417" w:type="dxa"/>
            <w:shd w:val="clear" w:color="auto" w:fill="FFFFFF"/>
            <w:vAlign w:val="center"/>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2423"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1,205</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759"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EtCl</w:t>
            </w:r>
          </w:p>
        </w:tc>
        <w:tc>
          <w:tcPr>
            <w:tcW w:w="992"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7,532</w:t>
            </w:r>
          </w:p>
        </w:tc>
        <w:tc>
          <w:tcPr>
            <w:tcW w:w="1701"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6,025</w:t>
            </w:r>
          </w:p>
        </w:tc>
        <w:tc>
          <w:tcPr>
            <w:tcW w:w="1418"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1,507</w:t>
            </w:r>
          </w:p>
        </w:tc>
        <w:tc>
          <w:tcPr>
            <w:tcW w:w="1417" w:type="dxa"/>
            <w:shd w:val="clear" w:color="auto" w:fill="FFFFFF"/>
            <w:vAlign w:val="center"/>
          </w:tcPr>
          <w:p>
            <w:pPr>
              <w:jc w:val="center"/>
              <w:rPr>
                <w:rFonts w:ascii="Times New Roman" w:hAnsi="Times New Roman" w:cs="Times New Roman"/>
                <w:sz w:val="20"/>
                <w:szCs w:val="20"/>
              </w:rPr>
            </w:pPr>
            <w:r>
              <w:rPr>
                <w:rFonts w:ascii="Times New Roman" w:hAnsi="Times New Roman" w:cs="Times New Roman"/>
                <w:sz w:val="20"/>
                <w:szCs w:val="20"/>
              </w:rPr>
              <w:t>5</w:t>
            </w:r>
          </w:p>
        </w:tc>
        <w:tc>
          <w:tcPr>
            <w:tcW w:w="2423" w:type="dxa"/>
            <w:shd w:val="clear" w:color="auto" w:fill="FFFFFF"/>
            <w:tcMar>
              <w:top w:w="60" w:type="dxa"/>
              <w:left w:w="70" w:type="dxa"/>
              <w:bottom w:w="60" w:type="dxa"/>
              <w:right w:w="70" w:type="dxa"/>
            </w:tcMar>
            <w:vAlign w:val="center"/>
          </w:tcPr>
          <w:p>
            <w:pPr>
              <w:jc w:val="center"/>
              <w:rPr>
                <w:rFonts w:ascii="Times New Roman" w:hAnsi="Times New Roman" w:cs="Times New Roman"/>
                <w:sz w:val="20"/>
                <w:szCs w:val="20"/>
              </w:rPr>
            </w:pPr>
            <w:r>
              <w:rPr>
                <w:rFonts w:ascii="Times New Roman" w:hAnsi="Times New Roman" w:cs="Times New Roman"/>
                <w:sz w:val="20"/>
                <w:szCs w:val="20"/>
              </w:rPr>
              <w:t>1,205</w:t>
            </w:r>
          </w:p>
        </w:tc>
      </w:tr>
    </w:tbl>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Feature standardization was implemented using a scikit-learn</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{"citationID":"0BzY25vh","properties":{"unsorted":false,"formattedCitation":"\\super 15\\nosupersub{}","plainCitation":"15","noteIndex":0},"citationItems":[{"id":11524,"uris":["http://zotero.org/users/10807631/items/8VXGUGCK"],"itemData":{"id":11524,"type":"article-journal","abstract":"Scikit-learn is a Python module integrating a wide range of state-of-the-art machine learning algorithms for medium-scale supervised and unsupervised problems. This package focuses on bringing machine learning to non-specialists using a general-purpose high-level language. Emphasis is put on ease of use, performance, documentation, and API consistency. It has minimal dependencies and is distributed under the simpliﬁed BSD license, encouraging its use in both academic and commercial settings. Source code, binaries, and documentation can be downloaded from http://scikit-learn.sourceforge.net.","container-title":"Journal of Machine Learning Research","ISSN":"1533-7928","journalAbbreviation":"J. Mach. Learn. Res.","language":"en","page":"2825–2830","source":"Zotero","title":"Scikit-learn: Machine learning in python","title-short":"Scikit-learn","URL":"Scikit-learn: Machine Learning in Python — JMLR","volume":"12","author":[{"family":"Pedregosa","given":"Fabian"},{"family":"Varoquaux","given":"Gaël"},{"family":"Gramfort","given":"Alexandre"},{"family":"Michel","given":"Vincent"},{"family":"Thirion","given":"Bertrand"},{"family":"Grisel","given":"Olivier"},{"family":"Blondel","given":"Mathieu"},{"family":"Prettenhofer","given":"Peter"},{"family":"Weiss","given":"Ron"},{"family":"Dubourg","given":"Vincent"},{"family":"Vanderplas","given":"Jake"},{"family":"Passos","given":"Alexandre"},{"family":"Cournapeau","given":"David"},{"family":"Brucher","given":"Matthieu"},{"family":"Perrot","given":"Matthieu"},{"family":"Duchesnay","given":"Édouard"}],"issued":{"date-parts":[["2011",10]]}}}],"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15</w:t>
      </w:r>
      <w:r>
        <w:rPr>
          <w:rFonts w:ascii="Times New Roman" w:hAnsi="Times New Roman" w:cs="Times New Roman"/>
          <w:sz w:val="20"/>
          <w:szCs w:val="20"/>
        </w:rPr>
        <w:fldChar w:fldCharType="end"/>
      </w:r>
      <w:r>
        <w:rPr>
          <w:rFonts w:ascii="Times New Roman" w:hAnsi="Times New Roman" w:cs="Times New Roman"/>
          <w:sz w:val="20"/>
          <w:szCs w:val="20"/>
        </w:rPr>
        <w:t xml:space="preserve"> Pipeline containing StandardScaler followed by the regression model. Within each cross-validation fold, the scaler was fitted only on the corresponding training subset and then applied to the validation subset. For final test evaluation, the complete pipeline was refitted on all 6,025 training samples and applied once to the held-out test set.</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No scaler was fitted on the complete 7,532-MOF dataset before data partitioning. This procedure prevented the means and variances of validation or test samples from entering model fitting. Standardization was required for Ridge regression because of its sensitivity to feature scale. The same pipeline structure was retained for LightGBM to maintain a consistent preprocessing protocol, although tree-based models do not intrinsically require feature scaling.</w:t>
      </w:r>
    </w:p>
    <w:p>
      <w:pPr>
        <w:rPr>
          <w:rFonts w:ascii="Times New Roman" w:hAnsi="Times New Roman" w:cs="Times New Roman"/>
          <w:b/>
          <w:bCs/>
          <w:sz w:val="22"/>
        </w:rPr>
      </w:pPr>
      <w:r>
        <w:rPr>
          <w:rFonts w:ascii="Times New Roman" w:hAnsi="Times New Roman" w:cs="Times New Roman"/>
          <w:b/>
          <w:bCs/>
          <w:sz w:val="22"/>
        </w:rPr>
        <w:t>S5.4 Model families and hyperparameter optimization</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LightGBM was used as the primary nonlinear benchmark to evaluate whether each representation supported nonlinear structure–adsorption relationships. Ridge regression was used as a low-capacity linear reference to assess how readily the information encoded by each representation could be linearly decoded.</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Fifteen target–representation tasks were defined for each model family, corresponding to three adsorption targets and five material representations. Hyperparameters were optimized independently for each task using Optuna with the Tree-structured Parzen Estimator sampler</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ADDIN ZOTERO_ITEM CSL_CITATION {"citationID":"uMOs0ugz","properties":{"unsorted":false,"formattedCitation":"\\super 16\\nosupersub{}","plainCitation":"16","noteIndex":0},"citationItems":[{"id":11526,"uris":["http://zotero.org/users/10807631/items/7MZDBQHX"],"itemData":{"id":11526,"type":"paper-conference","abstract":"Several recent advances to the state of the art in image classiﬁcation benchmarks have come from better conﬁgurations of existing techniques rather than novel approaches to feature learning. Traditionally, hyper-parameter optimization has been the job of humans because they can be very efﬁcient in regimes where only a few trials are possible. Presently, computer clusters and GPU processors make it possible to run more trials and we show that algorithmic approaches can ﬁnd better results. We present hyper-parameter optimization results on tasks of training neural networks and deep belief networks (DBNs). We optimize hyper-parameters using random search and two new greedy sequential methods based on the expected improvement criterion. Random search has been shown to be sufﬁciently efﬁcient for learning neural networks for several datasets, but we show it is unreliable for training DBNs. The sequential algorithms are applied to the most difﬁcult DBN learning problems from [1] and ﬁnd signiﬁcantly better results than the best previously reported. This work contributes novel techniques for making response surface models P (y|x) in which many elements of hyper-parameter assignment (x) are known to be irrelevant given particular values of other elements.","container-title":"Advances in Neural Information Processing Systems","event-title":"25th Annual Conference on Neural Information Processing Systems (NIPS 2011)","ISBN":"978-1-61839-599-3","language":"en","page":"2546–2554","publisher":"Curran Associates, Inc.","publisher-place":"Red Hook, NY, USA","source":"Zotero","title":"Algorithms for hyper-parameter optimization","volume":"24","author":[{"family":"Bergstra","given":"James S"},{"family":"Bardenet","given":"Rémi"},{"family":"Bengio","given":"Yoshua"},{"family":"Kégl","given":"Balázs"}],"issued":{"date-parts":[["2011"]]}}}],"schema":"https://github.com/citation-style-language/schema/raw/master/csl-citation.json"} </w:instrText>
      </w:r>
      <w:r>
        <w:rPr>
          <w:rFonts w:ascii="Times New Roman" w:hAnsi="Times New Roman" w:cs="Times New Roman"/>
          <w:sz w:val="20"/>
          <w:szCs w:val="20"/>
        </w:rPr>
        <w:fldChar w:fldCharType="separate"/>
      </w:r>
      <w:r>
        <w:rPr>
          <w:rFonts w:ascii="Times New Roman" w:hAnsi="Times New Roman" w:cs="Times New Roman"/>
          <w:kern w:val="0"/>
          <w:sz w:val="20"/>
          <w:vertAlign w:val="superscript"/>
        </w:rPr>
        <w:t>16</w:t>
      </w:r>
      <w:r>
        <w:rPr>
          <w:rFonts w:ascii="Times New Roman" w:hAnsi="Times New Roman" w:cs="Times New Roman"/>
          <w:sz w:val="20"/>
          <w:szCs w:val="20"/>
        </w:rPr>
        <w:fldChar w:fldCharType="end"/>
      </w:r>
      <w:r>
        <w:rPr>
          <w:rFonts w:ascii="Times New Roman" w:hAnsi="Times New Roman" w:cs="Times New Roman"/>
          <w:sz w:val="20"/>
          <w:szCs w:val="20"/>
        </w:rPr>
        <w:t>. Each optimization comprised 50 trials, and the objective was to minimize the mean RMSE across the five predefined cross-validation folds within the training set. The random seed was fixed at 2026.</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The hyperparameter configuration producing the lowest mean cross-validation RMSE was retained for final model fitting. Hyperparameter selection was performed exclusively within the training set, and the held-out test set was not accessed during model selection. The selected pipeline was subsequently refitted on the complete training set and evaluated once on the held-out test set.</w:t>
      </w:r>
    </w:p>
    <w:p>
      <w:pPr>
        <w:spacing w:line="276" w:lineRule="auto"/>
        <w:ind w:firstLine="420"/>
        <w:rPr>
          <w:rFonts w:ascii="Times New Roman" w:hAnsi="Times New Roman" w:cs="Times New Roman"/>
          <w:sz w:val="20"/>
          <w:szCs w:val="20"/>
        </w:rPr>
      </w:pPr>
      <w:r>
        <w:rPr>
          <w:rFonts w:ascii="Times New Roman" w:hAnsi="Times New Roman" w:cs="Times New Roman"/>
          <w:sz w:val="20"/>
          <w:szCs w:val="20"/>
        </w:rPr>
        <w:t>LightGBM and Ridge regression used separate model-specific hyperparameter spaces. Within each model family, the trial budget, cross-validation folds, random seed and optimization objective were held fixed across all target–representation tasks. The search spaces are summarized in Supplementary Tables 10 and 11, and the selected hyperparameters are reported in Supplementary Tables 12 and 13.</w:t>
      </w:r>
    </w:p>
    <w:p>
      <w:pPr>
        <w:pStyle w:val="11"/>
        <w:jc w:val="center"/>
        <w:rPr>
          <w:rFonts w:cs="Times New Roman"/>
          <w:b/>
          <w:bCs w:val="0"/>
          <w:color w:val="auto"/>
        </w:rPr>
      </w:pPr>
      <w:r>
        <w:rPr>
          <w:rFonts w:cs="Times New Roman"/>
          <w:b/>
          <w:bCs w:val="0"/>
          <w:color w:val="auto"/>
        </w:rPr>
        <w:t>Supplementary Table 1</w:t>
      </w:r>
      <w:r>
        <w:rPr>
          <w:rFonts w:eastAsia="宋体" w:cs="Times New Roman"/>
          <w:b/>
          <w:bCs w:val="0"/>
          <w:color w:val="auto"/>
        </w:rPr>
        <w:t>0</w:t>
      </w:r>
      <w:r>
        <w:rPr>
          <w:rFonts w:cs="Times New Roman"/>
          <w:b/>
          <w:bCs w:val="0"/>
          <w:color w:val="auto"/>
        </w:rPr>
        <w:t xml:space="preserve"> | LightGBM hyperparameter search space</w:t>
      </w:r>
    </w:p>
    <w:tbl>
      <w:tblPr>
        <w:tblStyle w:val="21"/>
        <w:tblW w:w="0" w:type="auto"/>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08"/>
        <w:gridCol w:w="2767"/>
        <w:gridCol w:w="2767"/>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tblHeader/>
          <w:jc w:val="center"/>
        </w:trPr>
        <w:tc>
          <w:tcPr>
            <w:tcW w:w="2208" w:type="dxa"/>
            <w:tcBorders>
              <w:top w:val="single" w:color="auto" w:sz="8" w:space="0"/>
              <w:bottom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b/>
                <w:sz w:val="16"/>
                <w:lang w:eastAsia="en-US"/>
              </w:rPr>
              <w:t>Hyperparameter</w:t>
            </w:r>
          </w:p>
        </w:tc>
        <w:tc>
          <w:tcPr>
            <w:tcW w:w="2767" w:type="dxa"/>
            <w:tcBorders>
              <w:top w:val="single" w:color="auto" w:sz="8" w:space="0"/>
              <w:bottom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b/>
                <w:sz w:val="16"/>
                <w:lang w:eastAsia="en-US"/>
              </w:rPr>
              <w:t>Search range or value</w:t>
            </w:r>
          </w:p>
        </w:tc>
        <w:tc>
          <w:tcPr>
            <w:tcW w:w="2767" w:type="dxa"/>
            <w:tcBorders>
              <w:top w:val="single" w:color="auto" w:sz="8" w:space="0"/>
              <w:bottom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b/>
                <w:sz w:val="16"/>
                <w:lang w:eastAsia="en-US"/>
              </w:rPr>
              <w:t>Scale/type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tcBorders>
              <w:top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n_estimators</w:t>
            </w:r>
          </w:p>
        </w:tc>
        <w:tc>
          <w:tcPr>
            <w:tcW w:w="2767" w:type="dxa"/>
            <w:tcBorders>
              <w:top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300-2500</w:t>
            </w:r>
          </w:p>
        </w:tc>
        <w:tc>
          <w:tcPr>
            <w:tcW w:w="2767" w:type="dxa"/>
            <w:tcBorders>
              <w:top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integer</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learning_rate</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0.005-0.10</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log-uniform</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num_leaves</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15-127</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integer</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max_depth</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3-12</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integer</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min_child_samples</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10-120</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integer</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min_child_weight</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1e-3-10.0</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log-uniform</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subsample</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0.6-1.0</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uniform</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subsample_freq</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1</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fixed</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colsample_bytree</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0.6-1.0</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uniform</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reg_alpha</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1e-4-20.0</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log-uniform</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reg_lambda</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1e-4-20.0</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log-uniform</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min_split_gain</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0.0-0.5</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uniform</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8"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max_bin</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127-255</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integer</w:t>
            </w:r>
          </w:p>
        </w:tc>
      </w:tr>
    </w:tbl>
    <w:p>
      <w:pPr>
        <w:pStyle w:val="11"/>
        <w:jc w:val="center"/>
        <w:rPr>
          <w:rFonts w:cs="Times New Roman"/>
          <w:b/>
          <w:bCs w:val="0"/>
          <w:color w:val="auto"/>
        </w:rPr>
      </w:pPr>
      <w:r>
        <w:rPr>
          <w:rFonts w:cs="Times New Roman"/>
          <w:b/>
          <w:bCs w:val="0"/>
          <w:color w:val="auto"/>
        </w:rPr>
        <w:t>Supplementary Table 1</w:t>
      </w:r>
      <w:r>
        <w:rPr>
          <w:rFonts w:eastAsia="宋体" w:cs="Times New Roman"/>
          <w:b/>
          <w:bCs w:val="0"/>
          <w:color w:val="auto"/>
        </w:rPr>
        <w:t>1</w:t>
      </w:r>
      <w:r>
        <w:rPr>
          <w:rFonts w:cs="Times New Roman"/>
          <w:b/>
          <w:bCs w:val="0"/>
          <w:color w:val="auto"/>
        </w:rPr>
        <w:t xml:space="preserve"> | Ridge hyperparameter search space</w:t>
      </w:r>
    </w:p>
    <w:tbl>
      <w:tblPr>
        <w:tblStyle w:val="21"/>
        <w:tblW w:w="0" w:type="auto"/>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60"/>
        <w:gridCol w:w="2767"/>
        <w:gridCol w:w="2767"/>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2160" w:type="dxa"/>
            <w:tcBorders>
              <w:top w:val="single" w:color="auto" w:sz="8" w:space="0"/>
              <w:bottom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b/>
                <w:sz w:val="16"/>
                <w:lang w:eastAsia="en-US"/>
              </w:rPr>
              <w:t>Hyperparameter</w:t>
            </w:r>
          </w:p>
        </w:tc>
        <w:tc>
          <w:tcPr>
            <w:tcW w:w="2767" w:type="dxa"/>
            <w:tcBorders>
              <w:top w:val="single" w:color="auto" w:sz="8" w:space="0"/>
              <w:bottom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b/>
                <w:sz w:val="16"/>
                <w:lang w:eastAsia="en-US"/>
              </w:rPr>
              <w:t>Search range or value</w:t>
            </w:r>
          </w:p>
        </w:tc>
        <w:tc>
          <w:tcPr>
            <w:tcW w:w="2767" w:type="dxa"/>
            <w:tcBorders>
              <w:top w:val="single" w:color="auto" w:sz="8" w:space="0"/>
              <w:bottom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b/>
                <w:sz w:val="16"/>
                <w:lang w:eastAsia="en-US"/>
              </w:rPr>
              <w:t>Scale/type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60" w:type="dxa"/>
            <w:tcBorders>
              <w:top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alpha</w:t>
            </w:r>
          </w:p>
        </w:tc>
        <w:tc>
          <w:tcPr>
            <w:tcW w:w="2767" w:type="dxa"/>
            <w:tcBorders>
              <w:top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1e-3-1e5</w:t>
            </w:r>
          </w:p>
        </w:tc>
        <w:tc>
          <w:tcPr>
            <w:tcW w:w="2767" w:type="dxa"/>
            <w:tcBorders>
              <w:top w:val="single" w:color="auto" w:sz="4" w:space="0"/>
            </w:tcBorders>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log-uniform</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160"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solver</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auto</w:t>
            </w:r>
          </w:p>
        </w:tc>
        <w:tc>
          <w:tcPr>
            <w:tcW w:w="2767" w:type="dxa"/>
            <w:vAlign w:val="center"/>
          </w:tcPr>
          <w:p>
            <w:pPr>
              <w:jc w:val="center"/>
              <w:rPr>
                <w:rFonts w:ascii="Times New Roman" w:hAnsi="Times New Roman" w:cs="Times New Roman"/>
                <w:lang w:eastAsia="en-US"/>
              </w:rPr>
            </w:pPr>
            <w:r>
              <w:rPr>
                <w:rFonts w:ascii="Times New Roman" w:hAnsi="Times New Roman" w:eastAsia="Times New Roman" w:cs="Times New Roman"/>
                <w:sz w:val="16"/>
                <w:lang w:eastAsia="en-US"/>
              </w:rPr>
              <w:t>fixed</w:t>
            </w:r>
          </w:p>
        </w:tc>
      </w:tr>
    </w:tbl>
    <w:p>
      <w:pPr>
        <w:pStyle w:val="11"/>
        <w:jc w:val="center"/>
        <w:rPr>
          <w:rFonts w:cs="Times New Roman"/>
          <w:b/>
          <w:bCs w:val="0"/>
          <w:color w:val="auto"/>
        </w:rPr>
      </w:pPr>
      <w:r>
        <w:rPr>
          <w:rFonts w:cs="Times New Roman"/>
          <w:b/>
          <w:bCs w:val="0"/>
          <w:color w:val="auto"/>
        </w:rPr>
        <w:t>Supplementary Table 1</w:t>
      </w:r>
      <w:r>
        <w:rPr>
          <w:rFonts w:eastAsia="宋体" w:cs="Times New Roman"/>
          <w:b/>
          <w:bCs w:val="0"/>
          <w:color w:val="auto"/>
        </w:rPr>
        <w:t>2a</w:t>
      </w:r>
      <w:r>
        <w:rPr>
          <w:rFonts w:cs="Times New Roman"/>
          <w:b/>
          <w:bCs w:val="0"/>
          <w:color w:val="auto"/>
        </w:rPr>
        <w:t xml:space="preserve"> | Selected LightGBM boosting and tree-structure hyperparameters for each target–representation pair</w:t>
      </w:r>
    </w:p>
    <w:tbl>
      <w:tblPr>
        <w:tblStyle w:val="20"/>
        <w:tblW w:w="8385" w:type="dxa"/>
        <w:jc w:val="center"/>
        <w:tblLayout w:type="fixed"/>
        <w:tblCellMar>
          <w:top w:w="0" w:type="dxa"/>
          <w:left w:w="108" w:type="dxa"/>
          <w:bottom w:w="0" w:type="dxa"/>
          <w:right w:w="108" w:type="dxa"/>
        </w:tblCellMar>
      </w:tblPr>
      <w:tblGrid>
        <w:gridCol w:w="808"/>
        <w:gridCol w:w="1458"/>
        <w:gridCol w:w="1282"/>
        <w:gridCol w:w="1301"/>
        <w:gridCol w:w="1265"/>
        <w:gridCol w:w="1274"/>
        <w:gridCol w:w="997"/>
      </w:tblGrid>
      <w:tr>
        <w:tblPrEx>
          <w:tblCellMar>
            <w:top w:w="0" w:type="dxa"/>
            <w:left w:w="108" w:type="dxa"/>
            <w:bottom w:w="0" w:type="dxa"/>
            <w:right w:w="108" w:type="dxa"/>
          </w:tblCellMar>
        </w:tblPrEx>
        <w:trPr>
          <w:cantSplit/>
          <w:tblHeader/>
          <w:jc w:val="center"/>
        </w:trPr>
        <w:tc>
          <w:tcPr>
            <w:tcW w:w="808"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7"/>
              </w:rPr>
              <w:t>Target</w:t>
            </w:r>
          </w:p>
        </w:tc>
        <w:tc>
          <w:tcPr>
            <w:tcW w:w="1458"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7"/>
              </w:rPr>
              <w:t>Feature space</w:t>
            </w:r>
          </w:p>
        </w:tc>
        <w:tc>
          <w:tcPr>
            <w:tcW w:w="1282"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7"/>
              </w:rPr>
              <w:t>n_estimators</w:t>
            </w:r>
          </w:p>
        </w:tc>
        <w:tc>
          <w:tcPr>
            <w:tcW w:w="1301"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7"/>
              </w:rPr>
              <w:t>learning_rate</w:t>
            </w:r>
          </w:p>
        </w:tc>
        <w:tc>
          <w:tcPr>
            <w:tcW w:w="1265"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7"/>
              </w:rPr>
              <w:t>num_leaves</w:t>
            </w:r>
          </w:p>
        </w:tc>
        <w:tc>
          <w:tcPr>
            <w:tcW w:w="1274"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7"/>
              </w:rPr>
              <w:t>max_depth</w:t>
            </w:r>
          </w:p>
        </w:tc>
        <w:tc>
          <w:tcPr>
            <w:tcW w:w="997"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7"/>
              </w:rPr>
              <w:t>max_bin</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CEES</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Manual</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863</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0.0399628</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54</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9</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162</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CEES</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MOFTransformer</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2,184</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0.0377403</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17</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5</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166</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CEES</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Uni-MOF</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1,672</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0.020661</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32</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8</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250</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CEES</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Manual + MOFTransformer</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1,661</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0.00785522</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78</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7</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209</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CEES</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Manual + Uni-MOF</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1,829</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0.00755272</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74</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205</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DMMP</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Manual</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2,118</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0.0176447</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127</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7</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178</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DMMP</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MOFTransformer</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2,072</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0.0238377</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127</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7</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186</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DMMP</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Uni-MOF</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1,970</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0.0109268</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27</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11</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182</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DMMP</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Manual + MOFTransformer</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2,499</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0.0101829</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121</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183</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DMMP</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Manual + Uni-MOF</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2,310</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0.0134598</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113</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7</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183</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EtCl</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Manual</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1,575</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0.0257667</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127</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199</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EtCl</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MOFTransformer</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2,186</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0.0142429</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20</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11</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127</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EtCl</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Uni-MOF</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1,749</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0.0196713</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108</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185</w:t>
            </w:r>
          </w:p>
        </w:tc>
      </w:tr>
      <w:tr>
        <w:tblPrEx>
          <w:tblCellMar>
            <w:top w:w="0" w:type="dxa"/>
            <w:left w:w="108" w:type="dxa"/>
            <w:bottom w:w="0" w:type="dxa"/>
            <w:right w:w="108" w:type="dxa"/>
          </w:tblCellMar>
        </w:tblPrEx>
        <w:trPr>
          <w:cantSplit/>
          <w:jc w:val="center"/>
        </w:trPr>
        <w:tc>
          <w:tcPr>
            <w:tcW w:w="80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EtCl</w:t>
            </w:r>
          </w:p>
        </w:tc>
        <w:tc>
          <w:tcPr>
            <w:tcW w:w="1458"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Manual + MOFTransformer</w:t>
            </w:r>
          </w:p>
        </w:tc>
        <w:tc>
          <w:tcPr>
            <w:tcW w:w="1282"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1,878</w:t>
            </w:r>
          </w:p>
        </w:tc>
        <w:tc>
          <w:tcPr>
            <w:tcW w:w="130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0.0174379</w:t>
            </w:r>
          </w:p>
        </w:tc>
        <w:tc>
          <w:tcPr>
            <w:tcW w:w="126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110</w:t>
            </w:r>
          </w:p>
        </w:tc>
        <w:tc>
          <w:tcPr>
            <w:tcW w:w="1274"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12</w:t>
            </w:r>
          </w:p>
        </w:tc>
        <w:tc>
          <w:tcPr>
            <w:tcW w:w="997"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188</w:t>
            </w:r>
          </w:p>
        </w:tc>
      </w:tr>
      <w:tr>
        <w:tblPrEx>
          <w:tblCellMar>
            <w:top w:w="0" w:type="dxa"/>
            <w:left w:w="108" w:type="dxa"/>
            <w:bottom w:w="0" w:type="dxa"/>
            <w:right w:w="108" w:type="dxa"/>
          </w:tblCellMar>
        </w:tblPrEx>
        <w:trPr>
          <w:cantSplit/>
          <w:jc w:val="center"/>
        </w:trPr>
        <w:tc>
          <w:tcPr>
            <w:tcW w:w="808"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EtCl</w:t>
            </w:r>
          </w:p>
        </w:tc>
        <w:tc>
          <w:tcPr>
            <w:tcW w:w="1458"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Manual + Uni-MOF</w:t>
            </w:r>
          </w:p>
        </w:tc>
        <w:tc>
          <w:tcPr>
            <w:tcW w:w="1282"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2,443</w:t>
            </w:r>
          </w:p>
        </w:tc>
        <w:tc>
          <w:tcPr>
            <w:tcW w:w="1301"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0.0145633</w:t>
            </w:r>
          </w:p>
        </w:tc>
        <w:tc>
          <w:tcPr>
            <w:tcW w:w="1265"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106</w:t>
            </w:r>
          </w:p>
        </w:tc>
        <w:tc>
          <w:tcPr>
            <w:tcW w:w="1274"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7</w:t>
            </w:r>
          </w:p>
        </w:tc>
        <w:tc>
          <w:tcPr>
            <w:tcW w:w="997"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7"/>
              </w:rPr>
              <w:t>175</w:t>
            </w:r>
          </w:p>
        </w:tc>
      </w:tr>
    </w:tbl>
    <w:p>
      <w:pPr>
        <w:pStyle w:val="11"/>
        <w:jc w:val="center"/>
        <w:rPr>
          <w:rFonts w:cs="Times New Roman"/>
          <w:b/>
          <w:bCs w:val="0"/>
          <w:color w:val="auto"/>
        </w:rPr>
      </w:pPr>
    </w:p>
    <w:p>
      <w:pPr>
        <w:pStyle w:val="11"/>
        <w:jc w:val="center"/>
        <w:rPr>
          <w:rFonts w:cs="Times New Roman"/>
          <w:b/>
          <w:bCs w:val="0"/>
          <w:color w:val="auto"/>
        </w:rPr>
      </w:pPr>
      <w:r>
        <w:rPr>
          <w:rFonts w:cs="Times New Roman"/>
          <w:b/>
          <w:bCs w:val="0"/>
          <w:color w:val="auto"/>
        </w:rPr>
        <w:t>Supplementary Table 1</w:t>
      </w:r>
      <w:r>
        <w:rPr>
          <w:rFonts w:eastAsia="宋体" w:cs="Times New Roman"/>
          <w:b/>
          <w:bCs w:val="0"/>
          <w:color w:val="auto"/>
        </w:rPr>
        <w:t>2b</w:t>
      </w:r>
      <w:r>
        <w:rPr>
          <w:rFonts w:cs="Times New Roman"/>
          <w:b/>
          <w:bCs w:val="0"/>
          <w:color w:val="auto"/>
        </w:rPr>
        <w:t xml:space="preserve"> | Selected LightGBM sampling, regularization and split-control hyperparameters for each target–representation pair</w:t>
      </w:r>
    </w:p>
    <w:tbl>
      <w:tblPr>
        <w:tblStyle w:val="20"/>
        <w:tblW w:w="0" w:type="auto"/>
        <w:jc w:val="center"/>
        <w:tblLayout w:type="fixed"/>
        <w:tblCellMar>
          <w:top w:w="0" w:type="dxa"/>
          <w:left w:w="108" w:type="dxa"/>
          <w:bottom w:w="0" w:type="dxa"/>
          <w:right w:w="108" w:type="dxa"/>
        </w:tblCellMar>
      </w:tblPr>
      <w:tblGrid>
        <w:gridCol w:w="678"/>
        <w:gridCol w:w="916"/>
        <w:gridCol w:w="1010"/>
        <w:gridCol w:w="1486"/>
        <w:gridCol w:w="905"/>
        <w:gridCol w:w="895"/>
        <w:gridCol w:w="941"/>
        <w:gridCol w:w="1025"/>
        <w:gridCol w:w="871"/>
      </w:tblGrid>
      <w:tr>
        <w:tblPrEx>
          <w:tblCellMar>
            <w:top w:w="0" w:type="dxa"/>
            <w:left w:w="108" w:type="dxa"/>
            <w:bottom w:w="0" w:type="dxa"/>
            <w:right w:w="108" w:type="dxa"/>
          </w:tblCellMar>
        </w:tblPrEx>
        <w:trPr>
          <w:cantSplit/>
          <w:tblHeader/>
          <w:jc w:val="center"/>
        </w:trPr>
        <w:tc>
          <w:tcPr>
            <w:tcW w:w="678"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8"/>
              </w:rPr>
              <w:t>Target</w:t>
            </w:r>
          </w:p>
        </w:tc>
        <w:tc>
          <w:tcPr>
            <w:tcW w:w="916"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8"/>
              </w:rPr>
              <w:t>Feature space</w:t>
            </w:r>
          </w:p>
        </w:tc>
        <w:tc>
          <w:tcPr>
            <w:tcW w:w="1010"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8"/>
              </w:rPr>
              <w:t>min_child_samples</w:t>
            </w:r>
          </w:p>
        </w:tc>
        <w:tc>
          <w:tcPr>
            <w:tcW w:w="1486"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8"/>
              </w:rPr>
              <w:t>min_child_weight</w:t>
            </w:r>
          </w:p>
        </w:tc>
        <w:tc>
          <w:tcPr>
            <w:tcW w:w="905"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8"/>
              </w:rPr>
              <w:t>subsample</w:t>
            </w:r>
          </w:p>
        </w:tc>
        <w:tc>
          <w:tcPr>
            <w:tcW w:w="895"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8"/>
              </w:rPr>
              <w:t>colsample_bytree</w:t>
            </w:r>
          </w:p>
        </w:tc>
        <w:tc>
          <w:tcPr>
            <w:tcW w:w="941"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8"/>
              </w:rPr>
              <w:t>reg_alpha</w:t>
            </w:r>
          </w:p>
        </w:tc>
        <w:tc>
          <w:tcPr>
            <w:tcW w:w="1025"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8"/>
              </w:rPr>
              <w:t>reg_lambda</w:t>
            </w:r>
          </w:p>
        </w:tc>
        <w:tc>
          <w:tcPr>
            <w:tcW w:w="871" w:type="dxa"/>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8"/>
              </w:rPr>
              <w:t>min_split_gain</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CEES</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Manual</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13</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0.79695</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0.996271</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0.622355</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1.38688</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0.00580355</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0.417131</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CEES</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MOFTransformer</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54</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0.00183527</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0.670458</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0.780821</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18.6098</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18.3559</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0.0315352</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CEES</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Uni-MOF</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29</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6.00686</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0.704432</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0.982785</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0.00632457</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5.55185</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0.449605</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CEES</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Manual + MOFTransformer</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19</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1.01962</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0.85972</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0.993266</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0.000103452</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0.0152415</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0.267459</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CEES</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Manual + Uni-MOF</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20</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2.75078</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0.700368</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0.931326</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0.0431059</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0.517572</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0.197448</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DMMP</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Manual</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10</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1.15106</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0.969228</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0.970046</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0.0584349</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6.54034</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0.036112</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DMMP</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MOFTransformer</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66</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0.0499772</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0.600124</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0.678806</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2.51565</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6.88125</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0.187503</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DMMP</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Uni-MOF</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62</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0.0016899</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0.694664</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0.63776</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0.0500599</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0.2072</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0.0667616</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DMMP</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Manual + MOFTransformer</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37</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0.0121904</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0.910454</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0.695141</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0.771771</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0.00146303</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0.329062</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DMMP</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Manual + Uni-MOF</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34</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0.0150635</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0.663924</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0.63008</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2.76527</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2.08952</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0.0661342</w:t>
            </w:r>
          </w:p>
        </w:tc>
      </w:tr>
      <w:tr>
        <w:tblPrEx>
          <w:tblCellMar>
            <w:top w:w="0" w:type="dxa"/>
            <w:left w:w="108" w:type="dxa"/>
            <w:bottom w:w="0" w:type="dxa"/>
            <w:right w:w="108" w:type="dxa"/>
          </w:tblCellMar>
        </w:tblPrEx>
        <w:trPr>
          <w:cantSplit/>
          <w:trHeight w:val="562" w:hRule="atLeas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EtCl</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Manual</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12</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9.83321</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0.78444</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0.940949</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0.129423</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0.0855209</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0.00171501</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EtCl</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MOFTransformer</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120</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3.31567</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0.953169</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0.720499</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0.00404481</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0.00807331</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0.159449</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EtCl</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Uni-MOF</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84</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1.09855</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0.755894</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0.937931</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0.10566</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3.3024</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0.105052</w:t>
            </w:r>
          </w:p>
        </w:tc>
      </w:tr>
      <w:tr>
        <w:tblPrEx>
          <w:tblCellMar>
            <w:top w:w="0" w:type="dxa"/>
            <w:left w:w="108" w:type="dxa"/>
            <w:bottom w:w="0" w:type="dxa"/>
            <w:right w:w="108" w:type="dxa"/>
          </w:tblCellMar>
        </w:tblPrEx>
        <w:trPr>
          <w:cantSplit/>
          <w:jc w:val="center"/>
        </w:trPr>
        <w:tc>
          <w:tcPr>
            <w:tcW w:w="678"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EtCl</w:t>
            </w:r>
          </w:p>
        </w:tc>
        <w:tc>
          <w:tcPr>
            <w:tcW w:w="916" w:type="dxa"/>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Manual + MOFTransformer</w:t>
            </w:r>
          </w:p>
        </w:tc>
        <w:tc>
          <w:tcPr>
            <w:tcW w:w="1010"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65</w:t>
            </w:r>
          </w:p>
        </w:tc>
        <w:tc>
          <w:tcPr>
            <w:tcW w:w="1486"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0.0413756</w:t>
            </w:r>
          </w:p>
        </w:tc>
        <w:tc>
          <w:tcPr>
            <w:tcW w:w="90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0.742167</w:t>
            </w:r>
          </w:p>
        </w:tc>
        <w:tc>
          <w:tcPr>
            <w:tcW w:w="89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0.71846</w:t>
            </w:r>
          </w:p>
        </w:tc>
        <w:tc>
          <w:tcPr>
            <w:tcW w:w="94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0.0286854</w:t>
            </w:r>
          </w:p>
        </w:tc>
        <w:tc>
          <w:tcPr>
            <w:tcW w:w="1025"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0.895199</w:t>
            </w:r>
          </w:p>
        </w:tc>
        <w:tc>
          <w:tcPr>
            <w:tcW w:w="871" w:type="dxa"/>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0.0367521</w:t>
            </w:r>
          </w:p>
        </w:tc>
      </w:tr>
      <w:tr>
        <w:tblPrEx>
          <w:tblCellMar>
            <w:top w:w="0" w:type="dxa"/>
            <w:left w:w="108" w:type="dxa"/>
            <w:bottom w:w="0" w:type="dxa"/>
            <w:right w:w="108" w:type="dxa"/>
          </w:tblCellMar>
        </w:tblPrEx>
        <w:trPr>
          <w:cantSplit/>
          <w:jc w:val="center"/>
        </w:trPr>
        <w:tc>
          <w:tcPr>
            <w:tcW w:w="678" w:type="dxa"/>
            <w:tcBorders>
              <w:top w:val="nil"/>
              <w:left w:val="nil"/>
              <w:bottom w:val="single" w:color="000000" w:sz="8" w:space="0"/>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EtCl</w:t>
            </w:r>
          </w:p>
        </w:tc>
        <w:tc>
          <w:tcPr>
            <w:tcW w:w="916" w:type="dxa"/>
            <w:tcBorders>
              <w:top w:val="nil"/>
              <w:left w:val="nil"/>
              <w:bottom w:val="single" w:color="000000" w:sz="8" w:space="0"/>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8"/>
              </w:rPr>
              <w:t>Manual + Uni-MOF</w:t>
            </w:r>
          </w:p>
        </w:tc>
        <w:tc>
          <w:tcPr>
            <w:tcW w:w="1010"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29</w:t>
            </w:r>
          </w:p>
        </w:tc>
        <w:tc>
          <w:tcPr>
            <w:tcW w:w="1486"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0.0994787</w:t>
            </w:r>
          </w:p>
        </w:tc>
        <w:tc>
          <w:tcPr>
            <w:tcW w:w="905"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0.852505</w:t>
            </w:r>
          </w:p>
        </w:tc>
        <w:tc>
          <w:tcPr>
            <w:tcW w:w="895"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0.786463</w:t>
            </w:r>
          </w:p>
        </w:tc>
        <w:tc>
          <w:tcPr>
            <w:tcW w:w="941"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0.000154363</w:t>
            </w:r>
          </w:p>
        </w:tc>
        <w:tc>
          <w:tcPr>
            <w:tcW w:w="1025"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0.000307379</w:t>
            </w:r>
          </w:p>
        </w:tc>
        <w:tc>
          <w:tcPr>
            <w:tcW w:w="871" w:type="dxa"/>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8"/>
              </w:rPr>
              <w:t>0.0626191</w:t>
            </w:r>
          </w:p>
        </w:tc>
      </w:tr>
    </w:tbl>
    <w:p>
      <w:pPr>
        <w:pStyle w:val="11"/>
        <w:jc w:val="center"/>
        <w:rPr>
          <w:rFonts w:cs="Times New Roman" w:eastAsiaTheme="minorEastAsia"/>
          <w:b/>
          <w:bCs w:val="0"/>
          <w:color w:val="auto"/>
        </w:rPr>
      </w:pPr>
      <w:r>
        <w:rPr>
          <w:rFonts w:cs="Times New Roman"/>
          <w:b/>
          <w:bCs w:val="0"/>
          <w:color w:val="auto"/>
        </w:rPr>
        <w:t>Supplementary Table 1</w:t>
      </w:r>
      <w:r>
        <w:rPr>
          <w:rFonts w:eastAsia="宋体" w:cs="Times New Roman"/>
          <w:b/>
          <w:bCs w:val="0"/>
          <w:color w:val="auto"/>
        </w:rPr>
        <w:t>3</w:t>
      </w:r>
      <w:r>
        <w:rPr>
          <w:rFonts w:cs="Times New Roman"/>
          <w:b/>
          <w:bCs w:val="0"/>
          <w:color w:val="auto"/>
        </w:rPr>
        <w:t xml:space="preserve"> | Selected Ridge regularization strengths for each target–representation pair</w:t>
      </w:r>
    </w:p>
    <w:tbl>
      <w:tblPr>
        <w:tblStyle w:val="20"/>
        <w:tblW w:w="0" w:type="auto"/>
        <w:jc w:val="center"/>
        <w:tblLayout w:type="autofit"/>
        <w:tblCellMar>
          <w:top w:w="0" w:type="dxa"/>
          <w:left w:w="108" w:type="dxa"/>
          <w:bottom w:w="0" w:type="dxa"/>
          <w:right w:w="108" w:type="dxa"/>
        </w:tblCellMar>
      </w:tblPr>
      <w:tblGrid>
        <w:gridCol w:w="665"/>
        <w:gridCol w:w="2127"/>
        <w:gridCol w:w="2208"/>
      </w:tblGrid>
      <w:tr>
        <w:tblPrEx>
          <w:tblCellMar>
            <w:top w:w="0" w:type="dxa"/>
            <w:left w:w="108" w:type="dxa"/>
            <w:bottom w:w="0" w:type="dxa"/>
            <w:right w:w="108" w:type="dxa"/>
          </w:tblCellMar>
        </w:tblPrEx>
        <w:trPr>
          <w:cantSplit/>
          <w:tblHeader/>
          <w:jc w:val="center"/>
        </w:trPr>
        <w:tc>
          <w:tcPr>
            <w:tcW w:w="0" w:type="auto"/>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9"/>
              </w:rPr>
              <w:t>Target</w:t>
            </w:r>
          </w:p>
        </w:tc>
        <w:tc>
          <w:tcPr>
            <w:tcW w:w="0" w:type="auto"/>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9"/>
              </w:rPr>
              <w:t>Feature space</w:t>
            </w:r>
          </w:p>
        </w:tc>
        <w:tc>
          <w:tcPr>
            <w:tcW w:w="0" w:type="auto"/>
            <w:tcBorders>
              <w:top w:val="single" w:color="000000" w:sz="8" w:space="0"/>
              <w:left w:val="nil"/>
              <w:bottom w:val="single" w:color="000000" w:sz="4" w:space="0"/>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b/>
                <w:sz w:val="19"/>
              </w:rPr>
              <w:t>Regularization strength, α</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CEES</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Manual</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cs="Times New Roman"/>
              </w:rPr>
              <w:t>9.658</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CEES</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MOFTransformer</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cs="Times New Roman"/>
                <w:szCs w:val="21"/>
              </w:rPr>
              <w:t>1028.316</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CEES</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Uni-MOF</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cs="Times New Roman"/>
              </w:rPr>
              <w:t>338.324</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CEES</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宋体" w:cs="Times New Roman"/>
                <w:sz w:val="19"/>
              </w:rPr>
            </w:pPr>
            <w:r>
              <w:rPr>
                <w:rFonts w:ascii="Times New Roman" w:hAnsi="Times New Roman" w:eastAsia="Times New Roman" w:cs="Times New Roman"/>
                <w:sz w:val="19"/>
              </w:rPr>
              <w:t>Manual</w:t>
            </w:r>
            <w:r>
              <w:rPr>
                <w:rFonts w:ascii="Times New Roman" w:hAnsi="Times New Roman" w:eastAsia="宋体" w:cs="Times New Roman"/>
                <w:sz w:val="19"/>
              </w:rPr>
              <w:t>+</w:t>
            </w:r>
            <w:r>
              <w:rPr>
                <w:rFonts w:ascii="Times New Roman" w:hAnsi="Times New Roman" w:eastAsia="Times New Roman" w:cs="Times New Roman"/>
                <w:sz w:val="19"/>
              </w:rPr>
              <w:t>MOFTransformer</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eastAsia="Times New Roman" w:cs="Times New Roman"/>
                <w:sz w:val="19"/>
              </w:rPr>
            </w:pPr>
            <w:r>
              <w:rPr>
                <w:rFonts w:ascii="Times New Roman" w:hAnsi="Times New Roman" w:eastAsia="Times New Roman" w:cs="Times New Roman"/>
                <w:szCs w:val="28"/>
              </w:rPr>
              <w:t>730.133</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CEES</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Manual</w:t>
            </w:r>
            <w:r>
              <w:rPr>
                <w:rFonts w:ascii="Times New Roman" w:hAnsi="Times New Roman" w:eastAsia="宋体" w:cs="Times New Roman"/>
                <w:sz w:val="19"/>
              </w:rPr>
              <w:t>+</w:t>
            </w:r>
            <w:r>
              <w:rPr>
                <w:rFonts w:ascii="Times New Roman" w:hAnsi="Times New Roman" w:eastAsia="Times New Roman" w:cs="Times New Roman"/>
                <w:sz w:val="19"/>
              </w:rPr>
              <w:t>Uni-MOF</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eastAsia="宋体" w:cs="Times New Roman"/>
                <w:sz w:val="19"/>
              </w:rPr>
            </w:pPr>
            <w:r>
              <w:rPr>
                <w:rFonts w:ascii="Times New Roman" w:hAnsi="Times New Roman" w:eastAsia="Times New Roman" w:cs="Times New Roman"/>
                <w:szCs w:val="28"/>
              </w:rPr>
              <w:t>241.61</w:t>
            </w:r>
            <w:r>
              <w:rPr>
                <w:rFonts w:ascii="Times New Roman" w:hAnsi="Times New Roman" w:eastAsia="宋体" w:cs="Times New Roman"/>
                <w:szCs w:val="28"/>
              </w:rPr>
              <w:t>1</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DMMP</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Manual</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Cs w:val="28"/>
              </w:rPr>
              <w:t>9.13175</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DMMP</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MOFTransformer</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cs="Times New Roman"/>
              </w:rPr>
              <w:t>866.839</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DMMP</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Uni-MOF</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9"/>
              </w:rPr>
              <w:t>194.297</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DMMP</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Manual</w:t>
            </w:r>
            <w:r>
              <w:rPr>
                <w:rFonts w:ascii="Times New Roman" w:hAnsi="Times New Roman" w:eastAsia="宋体" w:cs="Times New Roman"/>
                <w:sz w:val="19"/>
              </w:rPr>
              <w:t>+</w:t>
            </w:r>
            <w:r>
              <w:rPr>
                <w:rFonts w:ascii="Times New Roman" w:hAnsi="Times New Roman" w:eastAsia="Times New Roman" w:cs="Times New Roman"/>
                <w:sz w:val="19"/>
              </w:rPr>
              <w:t>MOFTransformer</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eastAsia="宋体" w:cs="Times New Roman"/>
                <w:sz w:val="19"/>
              </w:rPr>
            </w:pPr>
            <w:r>
              <w:rPr>
                <w:rFonts w:ascii="Times New Roman" w:hAnsi="Times New Roman" w:eastAsia="Times New Roman" w:cs="Times New Roman"/>
                <w:sz w:val="19"/>
              </w:rPr>
              <w:t>666.46</w:t>
            </w:r>
            <w:r>
              <w:rPr>
                <w:rFonts w:ascii="Times New Roman" w:hAnsi="Times New Roman" w:eastAsia="宋体" w:cs="Times New Roman"/>
                <w:sz w:val="19"/>
              </w:rPr>
              <w:t>4</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DMMP</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Manual</w:t>
            </w:r>
            <w:r>
              <w:rPr>
                <w:rFonts w:ascii="Times New Roman" w:hAnsi="Times New Roman" w:eastAsia="宋体" w:cs="Times New Roman"/>
                <w:sz w:val="19"/>
              </w:rPr>
              <w:t>+</w:t>
            </w:r>
            <w:r>
              <w:rPr>
                <w:rFonts w:ascii="Times New Roman" w:hAnsi="Times New Roman" w:eastAsia="Times New Roman" w:cs="Times New Roman"/>
                <w:sz w:val="19"/>
              </w:rPr>
              <w:t>Uni-MOF</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eastAsia="宋体" w:cs="Times New Roman"/>
                <w:sz w:val="19"/>
              </w:rPr>
            </w:pPr>
            <w:r>
              <w:rPr>
                <w:rFonts w:ascii="Times New Roman" w:hAnsi="Times New Roman" w:eastAsia="Times New Roman" w:cs="Times New Roman"/>
                <w:sz w:val="19"/>
              </w:rPr>
              <w:t>125.76</w:t>
            </w:r>
            <w:r>
              <w:rPr>
                <w:rFonts w:ascii="Times New Roman" w:hAnsi="Times New Roman" w:eastAsia="宋体" w:cs="Times New Roman"/>
                <w:sz w:val="19"/>
              </w:rPr>
              <w:t>7</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EtCl</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Manual</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9"/>
              </w:rPr>
              <w:t>13.306</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EtCl</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MOFTransformer</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9"/>
              </w:rPr>
              <w:t>857.404</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EtCl</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cs="Times New Roman"/>
              </w:rPr>
            </w:pPr>
            <w:r>
              <w:rPr>
                <w:rFonts w:ascii="Times New Roman" w:hAnsi="Times New Roman" w:eastAsia="Times New Roman" w:cs="Times New Roman"/>
                <w:sz w:val="19"/>
              </w:rPr>
              <w:t>Uni-MOF</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cs="Times New Roman"/>
              </w:rPr>
            </w:pPr>
            <w:r>
              <w:rPr>
                <w:rFonts w:ascii="Times New Roman" w:hAnsi="Times New Roman" w:eastAsia="Times New Roman" w:cs="Times New Roman"/>
                <w:sz w:val="19"/>
              </w:rPr>
              <w:t>195.097</w:t>
            </w:r>
          </w:p>
        </w:tc>
      </w:tr>
      <w:tr>
        <w:tblPrEx>
          <w:tblCellMar>
            <w:top w:w="0" w:type="dxa"/>
            <w:left w:w="108" w:type="dxa"/>
            <w:bottom w:w="0" w:type="dxa"/>
            <w:right w:w="108" w:type="dxa"/>
          </w:tblCellMar>
        </w:tblPrEx>
        <w:trPr>
          <w:cantSplit/>
          <w:jc w:val="center"/>
        </w:trPr>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EtCl</w:t>
            </w:r>
          </w:p>
        </w:tc>
        <w:tc>
          <w:tcPr>
            <w:tcW w:w="0" w:type="auto"/>
            <w:tcBorders>
              <w:top w:val="nil"/>
              <w:left w:val="nil"/>
              <w:bottom w:val="nil"/>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Manual</w:t>
            </w:r>
            <w:r>
              <w:rPr>
                <w:rFonts w:ascii="Times New Roman" w:hAnsi="Times New Roman" w:eastAsia="宋体" w:cs="Times New Roman"/>
                <w:sz w:val="19"/>
              </w:rPr>
              <w:t>+</w:t>
            </w:r>
            <w:r>
              <w:rPr>
                <w:rFonts w:ascii="Times New Roman" w:hAnsi="Times New Roman" w:eastAsia="Times New Roman" w:cs="Times New Roman"/>
                <w:sz w:val="19"/>
              </w:rPr>
              <w:t>MOFTransformer</w:t>
            </w:r>
          </w:p>
        </w:tc>
        <w:tc>
          <w:tcPr>
            <w:tcW w:w="0" w:type="auto"/>
            <w:tcBorders>
              <w:top w:val="nil"/>
              <w:left w:val="nil"/>
              <w:bottom w:val="nil"/>
              <w:right w:val="nil"/>
            </w:tcBorders>
            <w:tcMar>
              <w:top w:w="35" w:type="dxa"/>
              <w:left w:w="42" w:type="dxa"/>
              <w:bottom w:w="35" w:type="dxa"/>
              <w:right w:w="42" w:type="dxa"/>
            </w:tcMar>
            <w:vAlign w:val="center"/>
          </w:tcPr>
          <w:p>
            <w:pPr>
              <w:jc w:val="center"/>
              <w:rPr>
                <w:rFonts w:ascii="Times New Roman" w:hAnsi="Times New Roman" w:eastAsia="宋体" w:cs="Times New Roman"/>
                <w:sz w:val="19"/>
              </w:rPr>
            </w:pPr>
            <w:r>
              <w:rPr>
                <w:rFonts w:ascii="Times New Roman" w:hAnsi="Times New Roman" w:eastAsia="Times New Roman" w:cs="Times New Roman"/>
                <w:sz w:val="19"/>
              </w:rPr>
              <w:t>536.38</w:t>
            </w:r>
            <w:r>
              <w:rPr>
                <w:rFonts w:ascii="Times New Roman" w:hAnsi="Times New Roman" w:eastAsia="宋体" w:cs="Times New Roman"/>
                <w:sz w:val="19"/>
              </w:rPr>
              <w:t>2</w:t>
            </w:r>
          </w:p>
        </w:tc>
      </w:tr>
      <w:tr>
        <w:tblPrEx>
          <w:tblCellMar>
            <w:top w:w="0" w:type="dxa"/>
            <w:left w:w="108" w:type="dxa"/>
            <w:bottom w:w="0" w:type="dxa"/>
            <w:right w:w="108" w:type="dxa"/>
          </w:tblCellMar>
        </w:tblPrEx>
        <w:trPr>
          <w:cantSplit/>
          <w:jc w:val="center"/>
        </w:trPr>
        <w:tc>
          <w:tcPr>
            <w:tcW w:w="0" w:type="auto"/>
            <w:tcBorders>
              <w:top w:val="nil"/>
              <w:left w:val="nil"/>
              <w:bottom w:val="single" w:color="000000" w:sz="8" w:space="0"/>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EtCl</w:t>
            </w:r>
          </w:p>
        </w:tc>
        <w:tc>
          <w:tcPr>
            <w:tcW w:w="0" w:type="auto"/>
            <w:tcBorders>
              <w:top w:val="nil"/>
              <w:left w:val="nil"/>
              <w:bottom w:val="single" w:color="000000" w:sz="8" w:space="0"/>
              <w:right w:val="nil"/>
            </w:tcBorders>
            <w:tcMar>
              <w:top w:w="35" w:type="dxa"/>
              <w:left w:w="42" w:type="dxa"/>
              <w:bottom w:w="35" w:type="dxa"/>
              <w:right w:w="42" w:type="dxa"/>
            </w:tcMar>
            <w:vAlign w:val="center"/>
          </w:tcPr>
          <w:p>
            <w:pPr>
              <w:jc w:val="left"/>
              <w:rPr>
                <w:rFonts w:ascii="Times New Roman" w:hAnsi="Times New Roman" w:eastAsia="Times New Roman" w:cs="Times New Roman"/>
                <w:sz w:val="19"/>
              </w:rPr>
            </w:pPr>
            <w:r>
              <w:rPr>
                <w:rFonts w:ascii="Times New Roman" w:hAnsi="Times New Roman" w:eastAsia="Times New Roman" w:cs="Times New Roman"/>
                <w:sz w:val="19"/>
              </w:rPr>
              <w:t>Manual</w:t>
            </w:r>
            <w:r>
              <w:rPr>
                <w:rFonts w:ascii="Times New Roman" w:hAnsi="Times New Roman" w:eastAsia="宋体" w:cs="Times New Roman"/>
                <w:sz w:val="19"/>
              </w:rPr>
              <w:t>+</w:t>
            </w:r>
            <w:r>
              <w:rPr>
                <w:rFonts w:ascii="Times New Roman" w:hAnsi="Times New Roman" w:eastAsia="Times New Roman" w:cs="Times New Roman"/>
                <w:sz w:val="19"/>
              </w:rPr>
              <w:t>Uni-MOF</w:t>
            </w:r>
          </w:p>
        </w:tc>
        <w:tc>
          <w:tcPr>
            <w:tcW w:w="0" w:type="auto"/>
            <w:tcBorders>
              <w:top w:val="nil"/>
              <w:left w:val="nil"/>
              <w:bottom w:val="single" w:color="000000" w:sz="8" w:space="0"/>
              <w:right w:val="nil"/>
            </w:tcBorders>
            <w:tcMar>
              <w:top w:w="35" w:type="dxa"/>
              <w:left w:w="42" w:type="dxa"/>
              <w:bottom w:w="35" w:type="dxa"/>
              <w:right w:w="42" w:type="dxa"/>
            </w:tcMar>
            <w:vAlign w:val="center"/>
          </w:tcPr>
          <w:p>
            <w:pPr>
              <w:jc w:val="center"/>
              <w:rPr>
                <w:rFonts w:ascii="Times New Roman" w:hAnsi="Times New Roman" w:eastAsia="宋体" w:cs="Times New Roman"/>
                <w:sz w:val="19"/>
              </w:rPr>
            </w:pPr>
            <w:r>
              <w:rPr>
                <w:rFonts w:ascii="Times New Roman" w:hAnsi="Times New Roman" w:eastAsia="Times New Roman" w:cs="Times New Roman"/>
                <w:sz w:val="19"/>
              </w:rPr>
              <w:t>97.53</w:t>
            </w:r>
            <w:r>
              <w:rPr>
                <w:rFonts w:ascii="Times New Roman" w:hAnsi="Times New Roman" w:eastAsia="宋体" w:cs="Times New Roman"/>
                <w:sz w:val="19"/>
              </w:rPr>
              <w:t>8</w:t>
            </w:r>
          </w:p>
        </w:tc>
      </w:tr>
    </w:tbl>
    <w:p>
      <w:pPr>
        <w:rPr>
          <w:rFonts w:ascii="Times New Roman" w:hAnsi="Times New Roman" w:cs="Times New Roman"/>
          <w:b/>
          <w:bCs/>
          <w:sz w:val="22"/>
        </w:rPr>
      </w:pPr>
    </w:p>
    <w:p>
      <w:pPr>
        <w:rPr>
          <w:rFonts w:ascii="Times New Roman" w:hAnsi="Times New Roman" w:cs="Times New Roman"/>
          <w:b/>
          <w:bCs/>
          <w:sz w:val="22"/>
        </w:rPr>
      </w:pPr>
      <w:r>
        <w:rPr>
          <w:rFonts w:ascii="Times New Roman" w:hAnsi="Times New Roman" w:cs="Times New Roman"/>
          <w:b/>
          <w:bCs/>
          <w:sz w:val="22"/>
        </w:rPr>
        <w:t>S5.5 Full prediction results</w:t>
      </w:r>
    </w:p>
    <w:p>
      <w:pPr>
        <w:rPr>
          <w:rFonts w:ascii="Times New Roman" w:hAnsi="Times New Roman" w:cs="Times New Roman"/>
        </w:rPr>
      </w:pPr>
      <w:r>
        <w:rPr>
          <w:rFonts w:ascii="Times New Roman" w:hAnsi="Times New Roman" w:cs="Times New Roman"/>
          <w:sz w:val="20"/>
          <w:szCs w:val="20"/>
        </w:rPr>
        <w:t>The held-out test-set results for all target–representation combinations are reported in Supplementary Tables 14 and 15. All metrics were calculated once on the fixed 1,507-material test set after model selection and final refitting had been completed. Top-1% hit rates are reported as percentages.</w:t>
      </w:r>
    </w:p>
    <w:p>
      <w:pPr>
        <w:pStyle w:val="11"/>
        <w:jc w:val="center"/>
        <w:rPr>
          <w:rFonts w:cs="Times New Roman" w:eastAsiaTheme="minorEastAsia"/>
          <w:b/>
          <w:bCs w:val="0"/>
          <w:color w:val="auto"/>
        </w:rPr>
      </w:pPr>
      <w:r>
        <w:rPr>
          <w:rFonts w:cs="Times New Roman"/>
          <w:b/>
          <w:bCs w:val="0"/>
          <w:color w:val="auto"/>
        </w:rPr>
        <w:t>Supplementary Table 1</w:t>
      </w:r>
      <w:r>
        <w:rPr>
          <w:rFonts w:eastAsia="宋体" w:cs="Times New Roman"/>
          <w:b/>
          <w:bCs w:val="0"/>
          <w:color w:val="auto"/>
        </w:rPr>
        <w:t>4</w:t>
      </w:r>
      <w:r>
        <w:rPr>
          <w:rFonts w:cs="Times New Roman"/>
          <w:b/>
          <w:bCs w:val="0"/>
          <w:color w:val="auto"/>
        </w:rPr>
        <w:t xml:space="preserve"> | Held-out test-set LightGBM representation benchmark results</w:t>
      </w:r>
    </w:p>
    <w:tbl>
      <w:tblPr>
        <w:tblStyle w:val="21"/>
        <w:tblW w:w="8080"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843"/>
        <w:gridCol w:w="850"/>
        <w:gridCol w:w="851"/>
        <w:gridCol w:w="850"/>
        <w:gridCol w:w="1134"/>
        <w:gridCol w:w="1559"/>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993" w:type="dxa"/>
            <w:tcBorders>
              <w:top w:val="single" w:color="auto" w:sz="8" w:space="0"/>
              <w:bottom w:val="single" w:color="auto" w:sz="8"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Target</w:t>
            </w:r>
          </w:p>
        </w:tc>
        <w:tc>
          <w:tcPr>
            <w:tcW w:w="1843" w:type="dxa"/>
            <w:tcBorders>
              <w:top w:val="single" w:color="auto" w:sz="8" w:space="0"/>
              <w:bottom w:val="single" w:color="auto" w:sz="8"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Feature space</w:t>
            </w:r>
          </w:p>
        </w:tc>
        <w:tc>
          <w:tcPr>
            <w:tcW w:w="850" w:type="dxa"/>
            <w:tcBorders>
              <w:top w:val="single" w:color="auto" w:sz="8" w:space="0"/>
              <w:bottom w:val="single" w:color="auto" w:sz="8"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R²</w:t>
            </w:r>
          </w:p>
        </w:tc>
        <w:tc>
          <w:tcPr>
            <w:tcW w:w="851" w:type="dxa"/>
            <w:tcBorders>
              <w:top w:val="single" w:color="auto" w:sz="8" w:space="0"/>
              <w:bottom w:val="single" w:color="auto" w:sz="8"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RMSE</w:t>
            </w:r>
          </w:p>
        </w:tc>
        <w:tc>
          <w:tcPr>
            <w:tcW w:w="850" w:type="dxa"/>
            <w:tcBorders>
              <w:top w:val="single" w:color="auto" w:sz="8" w:space="0"/>
              <w:bottom w:val="single" w:color="auto" w:sz="8"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MAE</w:t>
            </w:r>
          </w:p>
        </w:tc>
        <w:tc>
          <w:tcPr>
            <w:tcW w:w="1134" w:type="dxa"/>
            <w:tcBorders>
              <w:top w:val="single" w:color="auto" w:sz="8" w:space="0"/>
              <w:bottom w:val="single" w:color="auto" w:sz="8"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Spearman</w:t>
            </w:r>
          </w:p>
        </w:tc>
        <w:tc>
          <w:tcPr>
            <w:tcW w:w="1559" w:type="dxa"/>
            <w:tcBorders>
              <w:top w:val="single" w:color="auto" w:sz="8" w:space="0"/>
              <w:bottom w:val="single" w:color="auto" w:sz="8"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Top-1% (%)</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tcBorders>
              <w:top w:val="single" w:color="auto" w:sz="8"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43" w:type="dxa"/>
            <w:tcBorders>
              <w:top w:val="single" w:color="auto" w:sz="8"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w:t>
            </w:r>
          </w:p>
        </w:tc>
        <w:tc>
          <w:tcPr>
            <w:tcW w:w="850" w:type="dxa"/>
            <w:tcBorders>
              <w:top w:val="single" w:color="auto" w:sz="8"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0.715</w:t>
            </w:r>
          </w:p>
        </w:tc>
        <w:tc>
          <w:tcPr>
            <w:tcW w:w="851" w:type="dxa"/>
            <w:tcBorders>
              <w:top w:val="single" w:color="auto" w:sz="8"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1.206</w:t>
            </w:r>
          </w:p>
        </w:tc>
        <w:tc>
          <w:tcPr>
            <w:tcW w:w="850" w:type="dxa"/>
            <w:tcBorders>
              <w:top w:val="single" w:color="auto" w:sz="8"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0.572</w:t>
            </w:r>
          </w:p>
        </w:tc>
        <w:tc>
          <w:tcPr>
            <w:tcW w:w="1134" w:type="dxa"/>
            <w:tcBorders>
              <w:top w:val="single" w:color="auto" w:sz="8"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0.824</w:t>
            </w:r>
          </w:p>
        </w:tc>
        <w:tc>
          <w:tcPr>
            <w:tcW w:w="1559" w:type="dxa"/>
            <w:tcBorders>
              <w:top w:val="single" w:color="auto" w:sz="8"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62.5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MOFTransformer</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0.577</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1.469</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0.903</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0.736</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50.0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Uni-MOF</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0.507</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1.585</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1.051</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0.684</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43.8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MOFTransformer</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0.723</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1.188</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0.582</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0.810</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43.8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0.709</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1.218</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0.590</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0.818</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50.0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0.662</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0.895</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0.555</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0.796</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68.8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MOFTransformer</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0.479</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1.111</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0.782</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0.670</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31.2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Uni-MOF</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0.499</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1.090</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0.818</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0.674</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25.0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MOFTransformer</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0.614</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0.956</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0.643</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0.762</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43.8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0.650</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0.911</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0.622</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0.788</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56.2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0.667</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0.560</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0.313</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0.855</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37.5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MOFTransformer</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0.451</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0.719</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0.459</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0.751</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12.5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Uni-MOF</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0.412</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0.744</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0.507</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0.715</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12.5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MOFTransformer</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0.589</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0.622</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0.368</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0.793</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12.5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9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43"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0.637</w:t>
            </w:r>
          </w:p>
        </w:tc>
        <w:tc>
          <w:tcPr>
            <w:tcW w:w="85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0.584</w:t>
            </w:r>
          </w:p>
        </w:tc>
        <w:tc>
          <w:tcPr>
            <w:tcW w:w="85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0.368</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0.845</w:t>
            </w:r>
          </w:p>
        </w:tc>
        <w:tc>
          <w:tcPr>
            <w:tcW w:w="1559"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25.0</w:t>
            </w:r>
          </w:p>
        </w:tc>
      </w:tr>
    </w:tbl>
    <w:p>
      <w:pPr>
        <w:pStyle w:val="11"/>
        <w:jc w:val="center"/>
        <w:rPr>
          <w:rFonts w:cs="Times New Roman" w:eastAsiaTheme="minorEastAsia"/>
          <w:b/>
          <w:bCs w:val="0"/>
          <w:color w:val="auto"/>
        </w:rPr>
      </w:pPr>
      <w:r>
        <w:rPr>
          <w:rFonts w:cs="Times New Roman"/>
          <w:b/>
          <w:bCs w:val="0"/>
          <w:color w:val="auto"/>
        </w:rPr>
        <w:t>Supplementary Table 1</w:t>
      </w:r>
      <w:r>
        <w:rPr>
          <w:rFonts w:eastAsia="宋体" w:cs="Times New Roman"/>
          <w:b/>
          <w:bCs w:val="0"/>
          <w:color w:val="auto"/>
        </w:rPr>
        <w:t>5</w:t>
      </w:r>
      <w:r>
        <w:rPr>
          <w:rFonts w:cs="Times New Roman"/>
          <w:b/>
          <w:bCs w:val="0"/>
          <w:color w:val="auto"/>
        </w:rPr>
        <w:t xml:space="preserve"> | Held-out test-set Ridge representation benchmark results</w:t>
      </w:r>
    </w:p>
    <w:tbl>
      <w:tblPr>
        <w:tblStyle w:val="21"/>
        <w:tblW w:w="7724"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0"/>
        <w:gridCol w:w="1836"/>
        <w:gridCol w:w="876"/>
        <w:gridCol w:w="840"/>
        <w:gridCol w:w="876"/>
        <w:gridCol w:w="1116"/>
        <w:gridCol w:w="1300"/>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880"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Target</w:t>
            </w:r>
          </w:p>
        </w:tc>
        <w:tc>
          <w:tcPr>
            <w:tcW w:w="1836"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Feature space</w:t>
            </w:r>
          </w:p>
        </w:tc>
        <w:tc>
          <w:tcPr>
            <w:tcW w:w="876"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R²</w:t>
            </w:r>
          </w:p>
        </w:tc>
        <w:tc>
          <w:tcPr>
            <w:tcW w:w="840"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RMSE</w:t>
            </w:r>
          </w:p>
        </w:tc>
        <w:tc>
          <w:tcPr>
            <w:tcW w:w="876"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MAE</w:t>
            </w:r>
          </w:p>
        </w:tc>
        <w:tc>
          <w:tcPr>
            <w:tcW w:w="1116"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Spearman</w:t>
            </w:r>
          </w:p>
        </w:tc>
        <w:tc>
          <w:tcPr>
            <w:tcW w:w="1300"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Top-1% (%)</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36"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w:t>
            </w:r>
          </w:p>
        </w:tc>
        <w:tc>
          <w:tcPr>
            <w:tcW w:w="876"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0.438</w:t>
            </w:r>
          </w:p>
        </w:tc>
        <w:tc>
          <w:tcPr>
            <w:tcW w:w="840"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1.692</w:t>
            </w:r>
          </w:p>
        </w:tc>
        <w:tc>
          <w:tcPr>
            <w:tcW w:w="876"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1.073</w:t>
            </w:r>
          </w:p>
        </w:tc>
        <w:tc>
          <w:tcPr>
            <w:tcW w:w="1116"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0.660</w:t>
            </w:r>
          </w:p>
        </w:tc>
        <w:tc>
          <w:tcPr>
            <w:tcW w:w="1300"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50.0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MOFTransformer</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0.516</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1.570</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1.050</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0.703</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56.2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Uni-MOF</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0.384</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1.773</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1.270</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0.597</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37.5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MOFTransformer</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0.544</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1.524</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0.990</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0.727</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56.2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CEES</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0.525</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1.557</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0.996</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0.726</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43.8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0.284</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1.302</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1.005</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0.508</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25.0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MOFTransformer</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0.393</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1.199</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0.891</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0.607</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25.0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Uni-MOF</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0.371</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1.220</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0.934</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0.594</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18.8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MOFTransformer</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0.421</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1.171</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0.867</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0.629</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18.8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DMMP</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0.451</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1.141</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0.843</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0.661</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31.2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0.321</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0.800</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0.576</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0.719</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MOFTransformer</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0.349</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0.783</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0.542</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0.702</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Uni-MOF</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0.316</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0.802</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0.584</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0.655</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12.5</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MOFTransformer</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0.389</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0.758</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0.521</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0.735</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EtCl</w:t>
            </w:r>
          </w:p>
        </w:tc>
        <w:tc>
          <w:tcPr>
            <w:tcW w:w="183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0.431</w:t>
            </w:r>
          </w:p>
        </w:tc>
        <w:tc>
          <w:tcPr>
            <w:tcW w:w="84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0.732</w:t>
            </w:r>
          </w:p>
        </w:tc>
        <w:tc>
          <w:tcPr>
            <w:tcW w:w="87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0.527</w:t>
            </w:r>
          </w:p>
        </w:tc>
        <w:tc>
          <w:tcPr>
            <w:tcW w:w="1116"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0.754</w:t>
            </w:r>
          </w:p>
        </w:tc>
        <w:tc>
          <w:tcPr>
            <w:tcW w:w="1300"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31.2</w:t>
            </w:r>
          </w:p>
        </w:tc>
      </w:tr>
    </w:tbl>
    <w:p>
      <w:pPr>
        <w:rPr>
          <w:rFonts w:ascii="Times New Roman" w:hAnsi="Times New Roman" w:cs="Times New Roman"/>
        </w:rPr>
      </w:pPr>
    </w:p>
    <w:p>
      <w:pPr>
        <w:rPr>
          <w:rFonts w:ascii="Times New Roman" w:hAnsi="Times New Roman" w:cs="Times New Roman"/>
          <w:b/>
          <w:bCs/>
          <w:sz w:val="22"/>
        </w:rPr>
      </w:pPr>
      <w:r>
        <w:rPr>
          <w:rFonts w:ascii="Times New Roman" w:hAnsi="Times New Roman" w:cs="Times New Roman"/>
          <w:b/>
          <w:bCs/>
          <w:sz w:val="22"/>
        </w:rPr>
        <w:t>S5.6 Parity plots and cumulative-recall analysis</w:t>
      </w:r>
    </w:p>
    <w:p>
      <w:pPr>
        <w:rPr>
          <w:rFonts w:ascii="Times New Roman" w:hAnsi="Times New Roman" w:cs="Times New Roman"/>
          <w:sz w:val="20"/>
          <w:szCs w:val="20"/>
        </w:rPr>
      </w:pPr>
      <w:r>
        <w:rPr>
          <w:rFonts w:ascii="Times New Roman" w:hAnsi="Times New Roman" w:cs="Times New Roman"/>
          <w:sz w:val="20"/>
          <w:szCs w:val="20"/>
        </w:rPr>
        <w:t xml:space="preserve">Held-out test-set parity plots were generated from the LightGBM predictions for all five material representations and the three adsorption targets. For each target–representation combination, the GCMC reference uptake was plotted against the corresponding predicted uptake. The parity plots were used to examine the location and direction of prediction errors across the adsorption range, including potential regression towards the mean and systematic deviations in the high-uptake region. The ideal-agreement line was defined as </w:t>
      </w:r>
      <m:oMath>
        <m:acc>
          <m:accPr>
            <m:ctrlPr>
              <w:rPr>
                <w:rFonts w:ascii="Cambria Math" w:hAnsi="Cambria Math" w:cs="Times New Roman"/>
                <w:sz w:val="20"/>
                <w:szCs w:val="20"/>
              </w:rPr>
            </m:ctrlPr>
          </m:accPr>
          <m:e>
            <m:r>
              <m:rPr/>
              <w:rPr>
                <w:rFonts w:ascii="Cambria Math" w:hAnsi="Cambria Math" w:cs="Times New Roman"/>
                <w:sz w:val="20"/>
                <w:szCs w:val="20"/>
              </w:rPr>
              <m:t>y</m:t>
            </m:r>
            <m:ctrlPr>
              <w:rPr>
                <w:rFonts w:ascii="Cambria Math" w:hAnsi="Cambria Math" w:cs="Times New Roman"/>
                <w:sz w:val="20"/>
                <w:szCs w:val="20"/>
              </w:rPr>
            </m:ctrlPr>
          </m:e>
        </m:acc>
        <m:r>
          <m:rPr/>
          <w:rPr>
            <w:rFonts w:ascii="Cambria Math" w:hAnsi="Cambria Math" w:cs="Times New Roman"/>
            <w:sz w:val="20"/>
            <w:szCs w:val="20"/>
          </w:rPr>
          <m:t>=y</m:t>
        </m:r>
      </m:oMath>
      <w:r>
        <w:rPr>
          <w:rFonts w:ascii="Times New Roman" w:hAnsi="Times New Roman" w:cs="Times New Roman"/>
          <w:sz w:val="20"/>
          <w:szCs w:val="20"/>
        </w:rPr>
        <w:t xml:space="preserve">, and the relative-error boundaries were defined as </w:t>
      </w:r>
      <m:oMath>
        <m:acc>
          <m:accPr>
            <m:ctrlPr>
              <w:rPr>
                <w:rFonts w:ascii="Cambria Math" w:hAnsi="Cambria Math" w:cs="Times New Roman"/>
                <w:sz w:val="20"/>
                <w:szCs w:val="20"/>
              </w:rPr>
            </m:ctrlPr>
          </m:accPr>
          <m:e>
            <m:r>
              <m:rPr/>
              <w:rPr>
                <w:rFonts w:ascii="Cambria Math" w:hAnsi="Cambria Math" w:cs="Times New Roman"/>
                <w:sz w:val="20"/>
                <w:szCs w:val="20"/>
              </w:rPr>
              <m:t>y</m:t>
            </m:r>
            <m:ctrlPr>
              <w:rPr>
                <w:rFonts w:ascii="Cambria Math" w:hAnsi="Cambria Math" w:cs="Times New Roman"/>
                <w:sz w:val="20"/>
                <w:szCs w:val="20"/>
              </w:rPr>
            </m:ctrlPr>
          </m:e>
        </m:acc>
        <m:r>
          <m:rPr/>
          <w:rPr>
            <w:rFonts w:ascii="Cambria Math" w:hAnsi="Cambria Math" w:cs="Times New Roman"/>
            <w:sz w:val="20"/>
            <w:szCs w:val="20"/>
          </w:rPr>
          <m:t>=0.85y</m:t>
        </m:r>
      </m:oMath>
      <w:r>
        <w:rPr>
          <w:rFonts w:ascii="Times New Roman" w:hAnsi="Times New Roman" w:cs="Times New Roman"/>
          <w:sz w:val="20"/>
          <w:szCs w:val="20"/>
        </w:rPr>
        <w:t xml:space="preserve">and </w:t>
      </w:r>
      <m:oMath>
        <m:acc>
          <m:accPr>
            <m:ctrlPr>
              <w:rPr>
                <w:rFonts w:ascii="Cambria Math" w:hAnsi="Cambria Math" w:cs="Times New Roman"/>
                <w:sz w:val="20"/>
                <w:szCs w:val="20"/>
              </w:rPr>
            </m:ctrlPr>
          </m:accPr>
          <m:e>
            <m:r>
              <m:rPr/>
              <w:rPr>
                <w:rFonts w:ascii="Cambria Math" w:hAnsi="Cambria Math" w:cs="Times New Roman"/>
                <w:sz w:val="20"/>
                <w:szCs w:val="20"/>
              </w:rPr>
              <m:t>y</m:t>
            </m:r>
            <m:ctrlPr>
              <w:rPr>
                <w:rFonts w:ascii="Cambria Math" w:hAnsi="Cambria Math" w:cs="Times New Roman"/>
                <w:sz w:val="20"/>
                <w:szCs w:val="20"/>
              </w:rPr>
            </m:ctrlPr>
          </m:e>
        </m:acc>
        <m:r>
          <m:rPr/>
          <w:rPr>
            <w:rFonts w:ascii="Cambria Math" w:hAnsi="Cambria Math" w:cs="Times New Roman"/>
            <w:sz w:val="20"/>
            <w:szCs w:val="20"/>
          </w:rPr>
          <m:t>=1.15y</m:t>
        </m:r>
      </m:oMath>
      <w:r>
        <w:rPr>
          <w:rFonts w:ascii="Times New Roman" w:hAnsi="Times New Roman" w:cs="Times New Roman"/>
          <w:sz w:val="20"/>
          <w:szCs w:val="20"/>
        </w:rPr>
        <w:t>.</w:t>
      </w:r>
    </w:p>
    <w:p>
      <w:pPr>
        <w:rPr>
          <w:rFonts w:ascii="Times New Roman" w:hAnsi="Times New Roman" w:cs="Times New Roman"/>
          <w:sz w:val="20"/>
          <w:szCs w:val="20"/>
        </w:rPr>
      </w:pPr>
      <w:r>
        <w:rPr>
          <w:rFonts w:ascii="Times New Roman" w:hAnsi="Times New Roman" w:cs="Times New Roman"/>
          <w:sz w:val="20"/>
          <w:szCs w:val="20"/>
        </w:rPr>
        <w:t>The complete parity-plot matrix contained 15 panels, corresponding to five representations evaluated for CEES, DMMP and EtCl. All panels were generated using the fixed held-out test set described in Section S5.3. The Manual + Uni-MOF panels shown in Fig. 3e are included in Supplementary Figure 1 together with the remaining representations to enable direct comparison under the same evaluation protocol.</w:t>
      </w:r>
    </w:p>
    <w:p>
      <w:pPr>
        <w:jc w:val="center"/>
        <w:rPr>
          <w:rFonts w:ascii="Times New Roman" w:hAnsi="Times New Roman" w:cs="Times New Roman"/>
          <w:sz w:val="20"/>
          <w:szCs w:val="20"/>
        </w:rPr>
      </w:pPr>
      <w:r>
        <w:rPr>
          <w:rFonts w:ascii="Times New Roman" w:hAnsi="Times New Roman" w:cs="Times New Roman"/>
          <w:sz w:val="20"/>
          <w:szCs w:val="20"/>
        </w:rPr>
        <w:drawing>
          <wp:inline distT="0" distB="0" distL="114300" distR="114300">
            <wp:extent cx="4555490" cy="4009390"/>
            <wp:effectExtent l="0" t="0" r="1270" b="13970"/>
            <wp:docPr id="1" name="图片 1" descr="Supplementary_Figure_1_12panel_parity_ai_edi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_Figure_1_12panel_parity_ai_editable"/>
                    <pic:cNvPicPr>
                      <a:picLocks noChangeAspect="1"/>
                    </pic:cNvPicPr>
                  </pic:nvPicPr>
                  <pic:blipFill>
                    <a:blip r:embed="rId5"/>
                    <a:stretch>
                      <a:fillRect/>
                    </a:stretch>
                  </pic:blipFill>
                  <pic:spPr>
                    <a:xfrm>
                      <a:off x="0" y="0"/>
                      <a:ext cx="4555490" cy="4009390"/>
                    </a:xfrm>
                    <a:prstGeom prst="rect">
                      <a:avLst/>
                    </a:prstGeom>
                  </pic:spPr>
                </pic:pic>
              </a:graphicData>
            </a:graphic>
          </wp:inline>
        </w:drawing>
      </w:r>
    </w:p>
    <w:p>
      <w:pPr>
        <w:pStyle w:val="11"/>
        <w:jc w:val="center"/>
        <w:rPr>
          <w:rFonts w:cs="Times New Roman" w:eastAsiaTheme="minorEastAsia"/>
          <w:b/>
          <w:bCs w:val="0"/>
          <w:color w:val="auto"/>
        </w:rPr>
      </w:pPr>
      <w:r>
        <w:rPr>
          <w:rFonts w:cs="Times New Roman"/>
          <w:b/>
          <w:bCs w:val="0"/>
          <w:color w:val="auto"/>
        </w:rPr>
        <w:t>Supplementary Figure 1 | Held-out test-set parity plots for the five material representations</w:t>
      </w:r>
    </w:p>
    <w:p>
      <w:pPr>
        <w:ind w:firstLine="420"/>
        <w:rPr>
          <w:rFonts w:ascii="Times New Roman" w:hAnsi="Times New Roman" w:cs="Times New Roman"/>
          <w:sz w:val="20"/>
          <w:szCs w:val="20"/>
        </w:rPr>
      </w:pPr>
      <w:r>
        <w:rPr>
          <w:rFonts w:ascii="Times New Roman" w:hAnsi="Times New Roman" w:cs="Times New Roman"/>
          <w:sz w:val="20"/>
          <w:szCs w:val="20"/>
        </w:rPr>
        <w:t>Predicted LightGBM uptake values are plotted against the corresponding GCMC reference values for Manual, MOFTransformer, Uni-MOF, Manual + MOFTransformer and Manual + Uni-MOF across CEES, DMMP and EtCl. The solid diagonal line denotes ideal agreement, whereas the dashed lines indicate ±15% relative error. Points below the lower dashed line indicate underprediction relative to the GCMC value, whereas points above the upper dashed line indicate overprediction. All panels use the fixed held-out test set.</w:t>
      </w:r>
    </w:p>
    <w:p>
      <w:pPr>
        <w:ind w:firstLine="420"/>
        <w:rPr>
          <w:rFonts w:ascii="Times New Roman" w:hAnsi="Times New Roman" w:cs="Times New Roman"/>
          <w:sz w:val="20"/>
          <w:szCs w:val="20"/>
        </w:rPr>
      </w:pPr>
      <w:r>
        <w:rPr>
          <w:rFonts w:ascii="Times New Roman" w:hAnsi="Times New Roman" w:cs="Times New Roman"/>
          <w:sz w:val="20"/>
          <w:szCs w:val="20"/>
        </w:rPr>
        <w:t>The cumulative-recall curves shown in Fig. 3f were generated from the same held-out LightGBM predictions. For each representation and adsorption target, the test materials were ranked in descending order of predicted uptake. The screened fraction was then increased progressively, and the fraction of true Top-1% materials recovered within the retained candidates was calculated using Supplementary Equation (23). The true Top-1% reference set remained fixed throughout each curve.</w:t>
      </w:r>
    </w:p>
    <w:p>
      <w:pPr>
        <w:ind w:firstLine="420"/>
        <w:rPr>
          <w:rFonts w:ascii="Times New Roman" w:hAnsi="Times New Roman" w:cs="Times New Roman"/>
          <w:sz w:val="20"/>
          <w:szCs w:val="20"/>
        </w:rPr>
      </w:pPr>
      <w:r>
        <w:rPr>
          <w:rFonts w:ascii="Times New Roman" w:hAnsi="Times New Roman" w:cs="Times New Roman"/>
          <w:sz w:val="20"/>
          <w:szCs w:val="20"/>
        </w:rPr>
        <w:t>This analysis represents static screening based on a single held-out prediction ranking. The model was not refitted as the screened fraction increased, and no additional labels were revealed during curve construction. The cumulative-recall curves therefore quantify the screening efficiency of each representation-based prediction model and should be distinguished from the sequential Bayesian-optimization experiments described later in the manuscript.</w:t>
      </w: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br w:type="page"/>
      </w:r>
    </w:p>
    <w:p>
      <w:pPr>
        <w:pStyle w:val="2"/>
        <w:spacing w:before="0" w:after="0"/>
        <w:rPr>
          <w:rFonts w:ascii="Times New Roman" w:hAnsi="Times New Roman" w:cs="Times New Roman"/>
          <w:color w:val="auto"/>
          <w:sz w:val="28"/>
          <w:szCs w:val="28"/>
        </w:rPr>
      </w:pPr>
      <w:r>
        <w:rPr>
          <w:rFonts w:ascii="Times New Roman" w:hAnsi="Times New Roman" w:cs="Times New Roman"/>
          <w:b/>
          <w:bCs/>
          <w:color w:val="auto"/>
          <w:sz w:val="28"/>
          <w:szCs w:val="28"/>
        </w:rPr>
        <w:t>Supplementary Note 6 — Pool-based RepMOBO framework, computational implementation and evaluation protocol</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S6.1 Problem formulation and BO input-space construction</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6.1.1 Pool-based multi-objective formulation</w:t>
      </w:r>
    </w:p>
    <w:p>
      <w:pPr>
        <w:ind w:firstLine="420"/>
        <w:rPr>
          <w:rFonts w:ascii="Times New Roman" w:hAnsi="Times New Roman" w:cs="Times New Roman"/>
          <w:b/>
          <w:bCs/>
        </w:rPr>
      </w:pPr>
      <w:r>
        <w:rPr>
          <w:rFonts w:ascii="Times New Roman" w:hAnsi="Times New Roman" w:cs="Times New Roman"/>
        </w:rPr>
        <w:t xml:space="preserve">We formulated the discovery benchmark as a retrospective, pool-based multi-objective Bayesian optimization problem over a fixed library of </w:t>
      </w:r>
      <m:oMath>
        <m:r>
          <m:rPr/>
          <w:rPr>
            <w:rFonts w:ascii="Cambria Math" w:hAnsi="Cambria Math" w:cs="Times New Roman"/>
          </w:rPr>
          <m:t>N=</m:t>
        </m:r>
        <m:r>
          <m:rPr>
            <m:sty m:val="p"/>
          </m:rPr>
          <w:rPr>
            <w:rFonts w:ascii="Cambria Math" w:hAnsi="Cambria Math" w:cs="Times New Roman"/>
          </w:rPr>
          <m:t>7,532</m:t>
        </m:r>
      </m:oMath>
      <w:r>
        <w:rPr>
          <w:rFonts w:ascii="Times New Roman" w:hAnsi="Times New Roman" w:cs="Times New Roman"/>
        </w:rPr>
        <w:t xml:space="preserve">metal–organic frameworks (MOFs). Each candidate material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oMath>
      <w:r>
        <w:rPr>
          <w:rFonts w:ascii="Times New Roman" w:hAnsi="Times New Roman" w:cs="Times New Roman"/>
        </w:rPr>
        <w:t>was associated with a three-dimensional objective vector,</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m:sty m:val="b"/>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m:t>
        </m:r>
        <m:d>
          <m:dPr>
            <m:sepChr m:val=","/>
            <m:ctrlPr>
              <w:rPr>
                <w:rFonts w:ascii="Cambria Math" w:hAnsi="Cambria Math" w:cs="Times New Roman"/>
                <w:sz w:val="20"/>
                <w:szCs w:val="20"/>
              </w:rPr>
            </m:ctrlPr>
          </m:dPr>
          <m:e>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CEES</m:t>
                    </m:r>
                    <m:ctrlPr>
                      <w:rPr>
                        <w:rFonts w:ascii="Cambria Math" w:hAnsi="Cambria Math" w:cs="Times New Roman"/>
                        <w:sz w:val="20"/>
                        <w:szCs w:val="20"/>
                      </w:rPr>
                    </m:ctrlPr>
                  </m:e>
                </m:phant>
                <m:ctrlPr>
                  <w:rPr>
                    <w:rFonts w:ascii="Cambria Math" w:hAnsi="Cambria Math" w:cs="Times New Roman"/>
                    <w:sz w:val="20"/>
                    <w:szCs w:val="20"/>
                  </w:rPr>
                </m:ctrlPr>
              </m:sup>
            </m:sSubSup>
            <m:ctrlPr>
              <w:rPr>
                <w:rFonts w:ascii="Cambria Math" w:hAnsi="Cambria Math" w:cs="Times New Roman"/>
                <w:sz w:val="20"/>
                <w:szCs w:val="20"/>
              </w:rPr>
            </m:ctrlPr>
          </m:e>
          <m:e>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DMMP</m:t>
                    </m:r>
                    <m:ctrlPr>
                      <w:rPr>
                        <w:rFonts w:ascii="Cambria Math" w:hAnsi="Cambria Math" w:cs="Times New Roman"/>
                        <w:sz w:val="20"/>
                        <w:szCs w:val="20"/>
                      </w:rPr>
                    </m:ctrlPr>
                  </m:e>
                </m:phant>
                <m:ctrlPr>
                  <w:rPr>
                    <w:rFonts w:ascii="Cambria Math" w:hAnsi="Cambria Math" w:cs="Times New Roman"/>
                    <w:sz w:val="20"/>
                    <w:szCs w:val="20"/>
                  </w:rPr>
                </m:ctrlPr>
              </m:sup>
            </m:sSubSup>
            <m:ctrlPr>
              <w:rPr>
                <w:rFonts w:ascii="Cambria Math" w:hAnsi="Cambria Math" w:cs="Times New Roman"/>
                <w:sz w:val="20"/>
                <w:szCs w:val="20"/>
              </w:rPr>
            </m:ctrlPr>
          </m:e>
          <m:e>
            <m:sSubSup>
              <m:sSubSupPr>
                <m:ctrlPr>
                  <w:rPr>
                    <w:rFonts w:ascii="Cambria Math" w:hAnsi="Cambria Math" w:cs="Times New Roman"/>
                    <w:sz w:val="20"/>
                    <w:szCs w:val="20"/>
                  </w:rPr>
                </m:ctrlPr>
              </m:sSubSup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up>
                <m:phant>
                  <m:phantPr>
                    <m:ctrlPr>
                      <w:rPr>
                        <w:rFonts w:ascii="Cambria Math" w:hAnsi="Cambria Math" w:cs="Times New Roman"/>
                        <w:sz w:val="20"/>
                        <w:szCs w:val="20"/>
                      </w:rPr>
                    </m:ctrlPr>
                  </m:phantPr>
                  <m:e>
                    <m:r>
                      <m:rPr>
                        <m:sty m:val="p"/>
                      </m:rPr>
                      <w:rPr>
                        <w:rFonts w:ascii="Cambria Math" w:hAnsi="Cambria Math" w:cs="Times New Roman"/>
                        <w:sz w:val="20"/>
                        <w:szCs w:val="20"/>
                      </w:rPr>
                      <m:t>EtCl</m:t>
                    </m:r>
                    <m:ctrlPr>
                      <w:rPr>
                        <w:rFonts w:ascii="Cambria Math" w:hAnsi="Cambria Math" w:cs="Times New Roman"/>
                        <w:sz w:val="20"/>
                        <w:szCs w:val="20"/>
                      </w:rPr>
                    </m:ctrlPr>
                  </m:e>
                </m:phant>
                <m:ctrlPr>
                  <w:rPr>
                    <w:rFonts w:ascii="Cambria Math" w:hAnsi="Cambria Math" w:cs="Times New Roman"/>
                    <w:sz w:val="20"/>
                    <w:szCs w:val="20"/>
                  </w:rPr>
                </m:ctrlPr>
              </m:sup>
            </m:sSubSup>
            <m:ctrlPr>
              <w:rPr>
                <w:rFonts w:ascii="Cambria Math" w:hAnsi="Cambria Math" w:cs="Times New Roman"/>
                <w:sz w:val="20"/>
                <w:szCs w:val="20"/>
              </w:rPr>
            </m:ctrlPr>
          </m:e>
        </m:d>
        <m:r>
          <m:rPr/>
          <w:rPr>
            <w:rFonts w:ascii="Cambria Math" w:hAnsi="Cambria Math" w:cs="Times New Roman"/>
            <w:sz w:val="20"/>
            <w:szCs w:val="20"/>
          </w:rPr>
          <m:t>∈</m:t>
        </m:r>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r>
              <m:rPr/>
              <w:rPr>
                <w:rFonts w:ascii="Cambria Math" w:hAnsi="Cambria Math" w:cs="Times New Roman"/>
                <w:sz w:val="20"/>
                <w:szCs w:val="20"/>
              </w:rPr>
              <m:t>3</m:t>
            </m:r>
            <m:ctrlPr>
              <w:rPr>
                <w:rFonts w:ascii="Cambria Math" w:hAnsi="Cambria Math" w:cs="Times New Roman"/>
                <w:sz w:val="20"/>
                <w:szCs w:val="20"/>
              </w:rPr>
            </m:ctrlPr>
          </m:sup>
        </m:sSup>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(27)</w:t>
      </w:r>
    </w:p>
    <w:p>
      <w:pPr>
        <w:rPr>
          <w:rFonts w:ascii="Times New Roman" w:hAnsi="Times New Roman" w:cs="Times New Roman"/>
        </w:rPr>
      </w:pPr>
      <w:r>
        <w:rPr>
          <w:rFonts w:ascii="Times New Roman" w:hAnsi="Times New Roman" w:cs="Times New Roman"/>
        </w:rPr>
        <w:t>where the three components denote the corresponding GCMC-derived uptake values for CEES, DMMP and ethyl chloride (EtCl). All three objectives were maximized simultaneously.</w:t>
      </w:r>
    </w:p>
    <w:p>
      <w:pPr>
        <w:ind w:firstLine="420"/>
        <w:rPr>
          <w:rFonts w:ascii="Times New Roman" w:hAnsi="Times New Roman" w:cs="Times New Roman"/>
        </w:rPr>
      </w:pPr>
      <w:r>
        <w:rPr>
          <w:rFonts w:ascii="Times New Roman" w:hAnsi="Times New Roman" w:cs="Times New Roman"/>
        </w:rPr>
        <w:t xml:space="preserve">The complete GCMC-labelled library was available for retrospective evaluation but was treated as an oracle during optimization. The BO policy could access the representation coordinates of every candidate from the outset, whereas the objective vector of a material was revealed only after that material had been queried. Let </w:t>
      </w:r>
      <m:oMath>
        <m:r>
          <m:rPr>
            <m:scr m:val="script"/>
          </m:rPr>
          <w:rPr>
            <w:rFonts w:ascii="Cambria Math" w:hAnsi="Cambria Math" w:eastAsia="MS Mincho" w:cs="Times New Roman"/>
          </w:rPr>
          <m:t>ℳ={</m:t>
        </m:r>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sSubSup>
          <m:sSubSupPr>
            <m:ctrlPr>
              <w:rPr>
                <w:rFonts w:ascii="Cambria Math" w:hAnsi="Cambria Math" w:cs="Times New Roman"/>
              </w:rPr>
            </m:ctrlPr>
          </m:sSubSupPr>
          <m:e>
            <m:r>
              <m:rPr/>
              <w:rPr>
                <w:rFonts w:ascii="Cambria Math" w:hAnsi="Cambria Math" w:cs="Times New Roman"/>
              </w:rPr>
              <m:t>}</m:t>
            </m:r>
            <m:ctrlPr>
              <w:rPr>
                <w:rFonts w:ascii="Cambria Math" w:hAnsi="Cambria Math" w:cs="Times New Roman"/>
              </w:rPr>
            </m:ctrlPr>
          </m:e>
          <m:sub>
            <m:r>
              <m:rPr/>
              <w:rPr>
                <w:rFonts w:ascii="Cambria Math" w:hAnsi="Cambria Math" w:cs="Times New Roman"/>
              </w:rPr>
              <m:t>i=1</m:t>
            </m:r>
            <m:ctrlPr>
              <w:rPr>
                <w:rFonts w:ascii="Cambria Math" w:hAnsi="Cambria Math" w:cs="Times New Roman"/>
              </w:rPr>
            </m:ctrlPr>
          </m:sub>
          <m:sup>
            <m:r>
              <m:rPr/>
              <w:rPr>
                <w:rFonts w:ascii="Cambria Math" w:hAnsi="Cambria Math" w:cs="Times New Roman"/>
              </w:rPr>
              <m:t>N</m:t>
            </m:r>
            <m:ctrlPr>
              <w:rPr>
                <w:rFonts w:ascii="Cambria Math" w:hAnsi="Cambria Math" w:cs="Times New Roman"/>
              </w:rPr>
            </m:ctrlPr>
          </m:sup>
        </m:sSubSup>
      </m:oMath>
      <w:r>
        <w:rPr>
          <w:rFonts w:ascii="Times New Roman" w:hAnsi="Times New Roman" w:cs="Times New Roman"/>
        </w:rPr>
        <w:t xml:space="preserve"> denote the complete candidate pool. At BO iteration </w:t>
      </w:r>
      <m:oMath>
        <m:r>
          <m:rPr/>
          <w:rPr>
            <w:rFonts w:ascii="Cambria Math" w:hAnsi="Cambria Math" w:cs="Times New Roman"/>
          </w:rPr>
          <m:t>t</m:t>
        </m:r>
      </m:oMath>
      <w:r>
        <w:rPr>
          <w:rFonts w:ascii="Times New Roman" w:hAnsi="Times New Roman" w:cs="Times New Roman"/>
        </w:rPr>
        <w:t xml:space="preserve">,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m:scr m:val="script"/>
          </m:rPr>
          <w:rPr>
            <w:rFonts w:ascii="Cambria Math" w:hAnsi="Cambria Math" w:eastAsia="MS Mincho" w:cs="Times New Roman"/>
          </w:rPr>
          <m:t>⊂ℳ</m:t>
        </m:r>
      </m:oMath>
      <w:r>
        <w:rPr>
          <w:rFonts w:ascii="Times New Roman" w:hAnsi="Times New Roman" w:cs="Times New Roman"/>
        </w:rPr>
        <w:t xml:space="preserve">denotes the cumulative queried set and </w:t>
      </w:r>
      <m:oMath>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m:scr m:val="script"/>
          </m:rPr>
          <w:rPr>
            <w:rFonts w:ascii="Cambria Math" w:hAnsi="Cambria Math" w:eastAsia="MS Mincho" w:cs="Times New Roman"/>
          </w:rPr>
          <m:t>=ℳ∖</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 denotes the remaining unqueried pool. A policy selects a finite batch </w:t>
      </w:r>
      <m:oMath>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rPr>
        <w:t xml:space="preserve"> Once the complete batch has been constructed, the oracle reveals all three objective values for the materials in </w:t>
      </w:r>
      <m:oMath>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and the pool partition is updated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Q</m:t>
            </m:r>
            <m:ctrlPr>
              <w:rPr>
                <w:rFonts w:ascii="Cambria Math" w:hAnsi="Cambria Math" w:cs="Times New Roman"/>
                <w:sz w:val="20"/>
                <w:szCs w:val="20"/>
              </w:rPr>
            </m:ctrlPr>
          </m:e>
          <m:sub>
            <m:r>
              <m:rPr/>
              <w:rPr>
                <w:rFonts w:ascii="Cambria Math" w:hAnsi="Cambria Math" w:cs="Times New Roman"/>
                <w:sz w:val="20"/>
                <w:szCs w:val="20"/>
              </w:rPr>
              <m:t>t+1</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Q</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B</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(28)</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U</m:t>
            </m:r>
            <m:ctrlPr>
              <w:rPr>
                <w:rFonts w:ascii="Cambria Math" w:hAnsi="Cambria Math" w:cs="Times New Roman"/>
                <w:sz w:val="20"/>
                <w:szCs w:val="20"/>
              </w:rPr>
            </m:ctrlPr>
          </m:e>
          <m:sub>
            <m:r>
              <m:rPr/>
              <w:rPr>
                <w:rFonts w:ascii="Cambria Math" w:hAnsi="Cambria Math" w:cs="Times New Roman"/>
                <w:sz w:val="20"/>
                <w:szCs w:val="20"/>
              </w:rPr>
              <m:t>t+1</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U</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B</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(29)</w:t>
      </w:r>
    </w:p>
    <w:p>
      <w:pPr>
        <w:ind w:firstLine="420"/>
        <w:rPr>
          <w:rFonts w:ascii="Times New Roman" w:hAnsi="Times New Roman" w:cs="Times New Roman"/>
        </w:rPr>
      </w:pPr>
      <w:r>
        <w:rPr>
          <w:rFonts w:ascii="Times New Roman" w:hAnsi="Times New Roman" w:cs="Times New Roman"/>
        </w:rPr>
        <w:t>Accordingly, RepMOBO prioritizes candidates within a finite and predefined material library; it does not generate, modify or optimize MOF structures outside the supplied pool. We therefore describe the benchmark as retrospective pool-based MOBO rather than online experimental active learning. “Retrospective” indicates that complete oracle responses exist for benchmarking, whereas “pool-based” indicates that every acquisition is restricted to the fixed candidate library.</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6.1.2 BO input-space construction</w:t>
      </w:r>
    </w:p>
    <w:p>
      <w:pPr>
        <w:ind w:firstLine="420"/>
        <w:rPr>
          <w:rFonts w:ascii="Times New Roman" w:hAnsi="Times New Roman" w:cs="Times New Roman"/>
        </w:rPr>
      </w:pPr>
      <w:r>
        <w:rPr>
          <w:rFonts w:ascii="Times New Roman" w:hAnsi="Times New Roman" w:cs="Times New Roman"/>
        </w:rPr>
        <w:t xml:space="preserve">Five fixed representation spaces were used as inputs to the surrogate models and selection policies: the Manual descriptor space and four principal-component representations derived from the combined Manual + Uni-MOF representation. The Manual space contained 14 physicochemical and geometric descriptors, whose definitions and physical interpretation are provided in Supplementary Note 1. The Uni-MOF representation was a pretrained 512-dimensional embedding described in Supplementary Note 4. After alignment by the unique MOF identifier, the two representation blocks were concatenated to form a 526-dimensional Hybrid matrix, </w:t>
      </w:r>
      <m:oMath>
        <m:sSup>
          <m:sSupPr>
            <m:ctrlPr>
              <w:rPr>
                <w:rFonts w:ascii="Cambria Math" w:hAnsi="Cambria Math" w:cs="Times New Roman"/>
              </w:rPr>
            </m:ctrlPr>
          </m:sSupPr>
          <m:e>
            <m:r>
              <m:rPr/>
              <w:rPr>
                <w:rFonts w:ascii="Cambria Math" w:hAnsi="Cambria Math" w:cs="Times New Roman"/>
              </w:rPr>
              <m:t>X</m:t>
            </m:r>
            <m:ctrlPr>
              <w:rPr>
                <w:rFonts w:ascii="Cambria Math" w:hAnsi="Cambria Math" w:cs="Times New Roman"/>
              </w:rPr>
            </m:ctrlPr>
          </m:e>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H</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p>
        <m:r>
          <m:rPr/>
          <w:rPr>
            <w:rFonts w:ascii="Cambria Math" w:hAnsi="Cambria Math" w:cs="Times New Roman"/>
          </w:rPr>
          <m:t>=</m:t>
        </m:r>
        <m:d>
          <m:dPr>
            <m:begChr m:val="["/>
            <m:sepChr m:val=","/>
            <m:endChr m:val="]"/>
            <m:ctrlPr>
              <w:rPr>
                <w:rFonts w:ascii="Cambria Math" w:hAnsi="Cambria Math" w:cs="Times New Roman"/>
              </w:rPr>
            </m:ctrlPr>
          </m:dPr>
          <m:e>
            <m:sSup>
              <m:sSupPr>
                <m:ctrlPr>
                  <w:rPr>
                    <w:rFonts w:ascii="Cambria Math" w:hAnsi="Cambria Math" w:cs="Times New Roman"/>
                  </w:rPr>
                </m:ctrlPr>
              </m:sSupPr>
              <m:e>
                <m:r>
                  <m:rPr/>
                  <w:rPr>
                    <w:rFonts w:ascii="Cambria Math" w:hAnsi="Cambria Math" w:cs="Times New Roman"/>
                  </w:rPr>
                  <m:t>X</m:t>
                </m:r>
                <m:ctrlPr>
                  <w:rPr>
                    <w:rFonts w:ascii="Cambria Math" w:hAnsi="Cambria Math" w:cs="Times New Roman"/>
                  </w:rPr>
                </m:ctrlPr>
              </m:e>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p>
            <m:ctrlPr>
              <w:rPr>
                <w:rFonts w:ascii="Cambria Math" w:hAnsi="Cambria Math" w:cs="Times New Roman"/>
              </w:rPr>
            </m:ctrlPr>
          </m:e>
          <m:e>
            <m:sSup>
              <m:sSupPr>
                <m:ctrlPr>
                  <w:rPr>
                    <w:rFonts w:ascii="Cambria Math" w:hAnsi="Cambria Math" w:cs="Times New Roman"/>
                  </w:rPr>
                </m:ctrlPr>
              </m:sSupPr>
              <m:e>
                <m:r>
                  <m:rPr/>
                  <w:rPr>
                    <w:rFonts w:ascii="Cambria Math" w:hAnsi="Cambria Math" w:cs="Times New Roman"/>
                  </w:rPr>
                  <m:t>X</m:t>
                </m:r>
                <m:ctrlPr>
                  <w:rPr>
                    <w:rFonts w:ascii="Cambria Math" w:hAnsi="Cambria Math" w:cs="Times New Roman"/>
                  </w:rPr>
                </m:ctrlPr>
              </m:e>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U</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p>
            <m:ctrlPr>
              <w:rPr>
                <w:rFonts w:ascii="Cambria Math" w:hAnsi="Cambria Math" w:cs="Times New Roman"/>
              </w:rPr>
            </m:ctrlPr>
          </m:e>
        </m:d>
        <m:r>
          <m:rPr/>
          <w:rPr>
            <w:rFonts w:ascii="Cambria Math" w:hAnsi="Cambria Math" w:cs="Times New Roman"/>
          </w:rPr>
          <m:t>∈</m:t>
        </m:r>
        <m:sSup>
          <m:sSupPr>
            <m:ctrlPr>
              <w:rPr>
                <w:rFonts w:ascii="Cambria Math" w:hAnsi="Cambria Math" w:cs="Times New Roman"/>
              </w:rPr>
            </m:ctrlPr>
          </m:sSupPr>
          <m:e>
            <m:r>
              <m:rPr/>
              <w:rPr>
                <w:rFonts w:ascii="Cambria Math" w:hAnsi="Cambria Math" w:cs="Times New Roman"/>
              </w:rPr>
              <m:t>R</m:t>
            </m:r>
            <m:ctrlPr>
              <w:rPr>
                <w:rFonts w:ascii="Cambria Math" w:hAnsi="Cambria Math" w:cs="Times New Roman"/>
              </w:rPr>
            </m:ctrlPr>
          </m:e>
          <m:sup>
            <m:r>
              <m:rPr/>
              <w:rPr>
                <w:rFonts w:ascii="Cambria Math" w:hAnsi="Cambria Math" w:cs="Times New Roman"/>
              </w:rPr>
              <m:t>7532×526</m:t>
            </m:r>
            <m:ctrlPr>
              <w:rPr>
                <w:rFonts w:ascii="Cambria Math" w:hAnsi="Cambria Math" w:cs="Times New Roman"/>
              </w:rPr>
            </m:ctrlPr>
          </m:sup>
        </m:sSup>
        <m:r>
          <m:rPr/>
          <w:rPr>
            <w:rFonts w:ascii="Cambria Math" w:hAnsi="Cambria Math" w:cs="Times New Roman"/>
          </w:rPr>
          <m:t>,</m:t>
        </m:r>
      </m:oMath>
      <w:r>
        <w:rPr>
          <w:rFonts w:ascii="Times New Roman" w:hAnsi="Times New Roman" w:cs="Times New Roman"/>
        </w:rPr>
        <w:t xml:space="preserve"> where </w:t>
      </w:r>
      <m:oMath>
        <m:sSup>
          <m:sSupPr>
            <m:ctrlPr>
              <w:rPr>
                <w:rFonts w:ascii="Cambria Math" w:hAnsi="Cambria Math" w:cs="Times New Roman"/>
              </w:rPr>
            </m:ctrlPr>
          </m:sSupPr>
          <m:e>
            <m:r>
              <m:rPr/>
              <w:rPr>
                <w:rFonts w:ascii="Cambria Math" w:hAnsi="Cambria Math" w:cs="Times New Roman"/>
              </w:rPr>
              <m:t>X</m:t>
            </m:r>
            <m:ctrlPr>
              <w:rPr>
                <w:rFonts w:ascii="Cambria Math" w:hAnsi="Cambria Math" w:cs="Times New Roman"/>
              </w:rPr>
            </m:ctrlPr>
          </m:e>
          <m:sup>
            <m:d>
              <m:dPr>
                <m:ctrlPr>
                  <w:rPr>
                    <w:rFonts w:ascii="Cambria Math" w:hAnsi="Cambria Math" w:cs="Times New Roman"/>
                  </w:rPr>
                </m:ctrlPr>
              </m:dPr>
              <m:e>
                <m:r>
                  <m:rPr>
                    <m:sty m:val="p"/>
                  </m:rPr>
                  <w:rPr>
                    <w:rFonts w:ascii="Cambria Math" w:hAnsi="Cambria Math" w:cs="Times New Roman"/>
                  </w:rPr>
                  <m:t>M</m:t>
                </m:r>
                <m:ctrlPr>
                  <w:rPr>
                    <w:rFonts w:ascii="Cambria Math" w:hAnsi="Cambria Math" w:cs="Times New Roman"/>
                  </w:rPr>
                </m:ctrlPr>
              </m:e>
            </m:d>
            <m:ctrlPr>
              <w:rPr>
                <w:rFonts w:ascii="Cambria Math" w:hAnsi="Cambria Math" w:cs="Times New Roman"/>
              </w:rPr>
            </m:ctrlPr>
          </m:sup>
        </m:sSup>
        <m:r>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R</m:t>
            </m:r>
            <m:ctrlPr>
              <w:rPr>
                <w:rFonts w:ascii="Cambria Math" w:hAnsi="Cambria Math" w:cs="Times New Roman"/>
              </w:rPr>
            </m:ctrlPr>
          </m:e>
          <m:sup>
            <m:r>
              <m:rPr/>
              <w:rPr>
                <w:rFonts w:ascii="Cambria Math" w:hAnsi="Cambria Math" w:cs="Times New Roman"/>
              </w:rPr>
              <m:t>7532×14</m:t>
            </m:r>
            <m:ctrlPr>
              <w:rPr>
                <w:rFonts w:ascii="Cambria Math" w:hAnsi="Cambria Math" w:cs="Times New Roman"/>
              </w:rPr>
            </m:ctrlPr>
          </m:sup>
        </m:sSup>
      </m:oMath>
      <w:r>
        <w:rPr>
          <w:rFonts w:ascii="Times New Roman" w:hAnsi="Times New Roman" w:cs="Times New Roman"/>
        </w:rPr>
        <w:t xml:space="preserve">and </w:t>
      </w:r>
      <m:oMath>
        <m:sSup>
          <m:sSupPr>
            <m:ctrlPr>
              <w:rPr>
                <w:rFonts w:ascii="Cambria Math" w:hAnsi="Cambria Math" w:cs="Times New Roman"/>
              </w:rPr>
            </m:ctrlPr>
          </m:sSupPr>
          <m:e>
            <m:r>
              <m:rPr/>
              <w:rPr>
                <w:rFonts w:ascii="Cambria Math" w:hAnsi="Cambria Math" w:cs="Times New Roman"/>
              </w:rPr>
              <m:t>X</m:t>
            </m:r>
            <m:ctrlPr>
              <w:rPr>
                <w:rFonts w:ascii="Cambria Math" w:hAnsi="Cambria Math" w:cs="Times New Roman"/>
              </w:rPr>
            </m:ctrlPr>
          </m:e>
          <m:sup>
            <m:d>
              <m:dPr>
                <m:ctrlPr>
                  <w:rPr>
                    <w:rFonts w:ascii="Cambria Math" w:hAnsi="Cambria Math" w:cs="Times New Roman"/>
                  </w:rPr>
                </m:ctrlPr>
              </m:dPr>
              <m:e>
                <m:r>
                  <m:rPr>
                    <m:sty m:val="p"/>
                  </m:rPr>
                  <w:rPr>
                    <w:rFonts w:ascii="Cambria Math" w:hAnsi="Cambria Math" w:cs="Times New Roman"/>
                  </w:rPr>
                  <m:t>U</m:t>
                </m:r>
                <m:ctrlPr>
                  <w:rPr>
                    <w:rFonts w:ascii="Cambria Math" w:hAnsi="Cambria Math" w:cs="Times New Roman"/>
                  </w:rPr>
                </m:ctrlPr>
              </m:e>
            </m:d>
            <m:ctrlPr>
              <w:rPr>
                <w:rFonts w:ascii="Cambria Math" w:hAnsi="Cambria Math" w:cs="Times New Roman"/>
              </w:rPr>
            </m:ctrlPr>
          </m:sup>
        </m:sSup>
        <m:r>
          <m:rPr/>
          <w:rPr>
            <w:rFonts w:ascii="Cambria Math" w:hAnsi="Cambria Math" w:cs="Times New Roman"/>
          </w:rPr>
          <m:t>∈</m:t>
        </m:r>
        <m:sSup>
          <m:sSupPr>
            <m:ctrlPr>
              <w:rPr>
                <w:rFonts w:ascii="Cambria Math" w:hAnsi="Cambria Math" w:cs="Times New Roman"/>
              </w:rPr>
            </m:ctrlPr>
          </m:sSupPr>
          <m:e>
            <m:r>
              <m:rPr>
                <m:sty m:val="p"/>
              </m:rPr>
              <w:rPr>
                <w:rFonts w:ascii="Cambria Math" w:hAnsi="Cambria Math" w:cs="Times New Roman"/>
              </w:rPr>
              <m:t>R</m:t>
            </m:r>
            <m:ctrlPr>
              <w:rPr>
                <w:rFonts w:ascii="Cambria Math" w:hAnsi="Cambria Math" w:cs="Times New Roman"/>
              </w:rPr>
            </m:ctrlPr>
          </m:e>
          <m:sup>
            <m:r>
              <m:rPr/>
              <w:rPr>
                <w:rFonts w:ascii="Cambria Math" w:hAnsi="Cambria Math" w:cs="Times New Roman"/>
              </w:rPr>
              <m:t>7532×512</m:t>
            </m:r>
            <m:ctrlPr>
              <w:rPr>
                <w:rFonts w:ascii="Cambria Math" w:hAnsi="Cambria Math" w:cs="Times New Roman"/>
              </w:rPr>
            </m:ctrlPr>
          </m:sup>
        </m:sSup>
      </m:oMath>
      <w:r>
        <w:rPr>
          <w:rFonts w:ascii="Times New Roman" w:hAnsi="Times New Roman" w:cs="Times New Roman"/>
        </w:rPr>
        <w:t>. Rows were aligned by the unique MOF identifier before concatenation.</w:t>
      </w:r>
    </w:p>
    <w:p>
      <w:pPr>
        <w:ind w:firstLine="420"/>
        <w:rPr>
          <w:rFonts w:ascii="Times New Roman" w:hAnsi="Times New Roman" w:cs="Times New Roman"/>
        </w:rPr>
      </w:pPr>
      <w:r>
        <w:rPr>
          <w:rFonts w:ascii="Times New Roman" w:hAnsi="Times New Roman" w:cs="Times New Roman"/>
        </w:rPr>
        <w:t xml:space="preserve">Before dimensionality reduction, each feature coordinate was standardized across the fixed candidate pool,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limUpp>
              <m:limUppPr>
                <m:ctrlPr>
                  <w:rPr>
                    <w:rFonts w:ascii="Cambria Math" w:hAnsi="Cambria Math" w:cs="Times New Roman"/>
                    <w:sz w:val="20"/>
                    <w:szCs w:val="20"/>
                  </w:rPr>
                </m:ctrlPr>
              </m:limUppPr>
              <m:e>
                <m:r>
                  <m:rPr/>
                  <w:rPr>
                    <w:rFonts w:ascii="Cambria Math" w:hAnsi="Cambria Math" w:cs="Times New Roman"/>
                    <w:sz w:val="20"/>
                    <w:szCs w:val="20"/>
                  </w:rPr>
                  <m:t>x</m:t>
                </m:r>
                <m:ctrlPr>
                  <w:rPr>
                    <w:rFonts w:ascii="Cambria Math" w:hAnsi="Cambria Math" w:cs="Times New Roman"/>
                    <w:sz w:val="20"/>
                    <w:szCs w:val="20"/>
                  </w:rPr>
                </m:ctrlPr>
              </m:e>
              <m:lim>
                <m:r>
                  <m:rPr/>
                  <w:rPr>
                    <w:rFonts w:ascii="Cambria Math" w:hAnsi="Cambria Math" w:cs="Times New Roman"/>
                    <w:sz w:val="20"/>
                    <w:szCs w:val="20"/>
                  </w:rPr>
                  <m:t>~</m:t>
                </m:r>
                <m:ctrlPr>
                  <w:rPr>
                    <w:rFonts w:ascii="Cambria Math" w:hAnsi="Cambria Math" w:cs="Times New Roman"/>
                    <w:sz w:val="20"/>
                    <w:szCs w:val="20"/>
                  </w:rPr>
                </m:ctrlPr>
              </m:lim>
            </m:limUpp>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r>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w:rPr>
                    <w:rFonts w:ascii="Cambria Math" w:hAnsi="Cambria Math" w:cs="Times New Roman"/>
                    <w:sz w:val="20"/>
                    <w:szCs w:val="20"/>
                  </w:rPr>
                  <m:t>x</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num>
          <m:den>
            <m:sSub>
              <m:sSubPr>
                <m:ctrlPr>
                  <w:rPr>
                    <w:rFonts w:ascii="Cambria Math" w:hAnsi="Cambria Math" w:cs="Times New Roman"/>
                    <w:sz w:val="20"/>
                    <w:szCs w:val="20"/>
                  </w:rPr>
                </m:ctrlPr>
              </m:sSubPr>
              <m:e>
                <m:r>
                  <m:rPr/>
                  <w:rPr>
                    <w:rFonts w:ascii="Cambria Math" w:hAnsi="Cambria Math" w:cs="Times New Roman"/>
                    <w:sz w:val="20"/>
                    <w:szCs w:val="20"/>
                  </w:rPr>
                  <m:t>s</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den>
        </m:f>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(30)</w:t>
      </w:r>
    </w:p>
    <w:p>
      <w:pPr>
        <w:ind w:firstLine="420"/>
        <w:rPr>
          <w:rFonts w:ascii="Times New Roman" w:hAnsi="Times New Roman" w:cs="Times New Roman"/>
        </w:rPr>
      </w:pPr>
      <w:r>
        <w:rPr>
          <w:rFonts w:ascii="Times New Roman" w:hAnsi="Times New Roman" w:cs="Times New Roman"/>
        </w:rPr>
        <w:t xml:space="preserve">where </w:t>
      </w:r>
      <m:oMath>
        <m:sSub>
          <m:sSubPr>
            <m:ctrlPr>
              <w:rPr>
                <w:rFonts w:ascii="Cambria Math" w:hAnsi="Cambria Math" w:cs="Times New Roman"/>
              </w:rPr>
            </m:ctrlPr>
          </m:sSubPr>
          <m:e>
            <m:r>
              <m:rPr/>
              <w:rPr>
                <w:rFonts w:ascii="Cambria Math" w:hAnsi="Cambria Math" w:cs="Times New Roman"/>
              </w:rPr>
              <m:t>x</m:t>
            </m:r>
            <m:ctrlPr>
              <w:rPr>
                <w:rFonts w:ascii="Cambria Math" w:hAnsi="Cambria Math" w:cs="Times New Roman"/>
              </w:rPr>
            </m:ctrlPr>
          </m:e>
          <m:sub>
            <m:r>
              <m:rPr/>
              <w:rPr>
                <w:rFonts w:ascii="Cambria Math" w:hAnsi="Cambria Math" w:cs="Times New Roman"/>
              </w:rPr>
              <m:t>ij</m:t>
            </m:r>
            <m:ctrlPr>
              <w:rPr>
                <w:rFonts w:ascii="Cambria Math" w:hAnsi="Cambria Math" w:cs="Times New Roman"/>
              </w:rPr>
            </m:ctrlPr>
          </m:sub>
        </m:sSub>
      </m:oMath>
      <w:r>
        <w:rPr>
          <w:rFonts w:ascii="Times New Roman" w:hAnsi="Times New Roman" w:cs="Times New Roman"/>
        </w:rPr>
        <w:t xml:space="preserve">denotes feature </w:t>
      </w:r>
      <m:oMath>
        <m:r>
          <m:rPr/>
          <w:rPr>
            <w:rFonts w:ascii="Cambria Math" w:hAnsi="Cambria Math" w:cs="Times New Roman"/>
          </w:rPr>
          <m:t>j</m:t>
        </m:r>
      </m:oMath>
      <w:r>
        <w:rPr>
          <w:rFonts w:ascii="Times New Roman" w:hAnsi="Times New Roman" w:cs="Times New Roman"/>
        </w:rPr>
        <w:t xml:space="preserve">of material </w:t>
      </w:r>
      <m:oMath>
        <m:r>
          <m:rPr/>
          <w:rPr>
            <w:rFonts w:ascii="Cambria Math" w:hAnsi="Cambria Math" w:cs="Times New Roman"/>
          </w:rPr>
          <m:t>i</m:t>
        </m:r>
      </m:oMath>
      <w:r>
        <w:rPr>
          <w:rFonts w:ascii="Times New Roman" w:hAnsi="Times New Roman" w:cs="Times New Roman"/>
        </w:rPr>
        <w:t xml:space="preserve">, and </w:t>
      </w:r>
      <m:oMath>
        <m:sSub>
          <m:sSubPr>
            <m:ctrlPr>
              <w:rPr>
                <w:rFonts w:ascii="Cambria Math" w:hAnsi="Cambria Math" w:cs="Times New Roman"/>
              </w:rPr>
            </m:ctrlPr>
          </m:sSub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r>
          <m:rPr/>
          <w:rPr>
            <w:rFonts w:ascii="Cambria Math" w:hAnsi="Cambria Math" w:cs="Times New Roman"/>
          </w:rPr>
          <m:t xml:space="preserve"> </m:t>
        </m:r>
      </m:oMath>
      <w:r>
        <w:rPr>
          <w:rFonts w:ascii="Times New Roman" w:hAnsi="Times New Roman" w:cs="Times New Roman"/>
        </w:rPr>
        <w:t xml:space="preserve">and </w:t>
      </w:r>
      <m:oMath>
        <m:sSub>
          <m:sSubPr>
            <m:ctrlPr>
              <w:rPr>
                <w:rFonts w:ascii="Cambria Math" w:hAnsi="Cambria Math" w:cs="Times New Roman"/>
              </w:rPr>
            </m:ctrlPr>
          </m:sSubPr>
          <m:e>
            <m:r>
              <m:rPr/>
              <w:rPr>
                <w:rFonts w:ascii="Cambria Math" w:hAnsi="Cambria Math" w:cs="Times New Roman"/>
              </w:rPr>
              <m:t>s</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r>
          <m:rPr/>
          <w:rPr>
            <w:rFonts w:ascii="Cambria Math" w:hAnsi="Cambria Math" w:cs="Times New Roman"/>
          </w:rPr>
          <m:t xml:space="preserve"> </m:t>
        </m:r>
      </m:oMath>
      <w:r>
        <w:rPr>
          <w:rFonts w:ascii="Times New Roman" w:hAnsi="Times New Roman" w:cs="Times New Roman"/>
        </w:rPr>
        <w:t xml:space="preserve">denote the corresponding pool-wide mean and standard deviation. This transformation placed heterogeneous physical descriptors and embedding coordinates on comparable numerical scales, preventing variables with larger native ranges from dominating the covariance structure solely because of their units or numerical magnitudes. Because the benchmark was transductive and pool based, feature coordinates for all 7,532 candidates were available before querying; however, no GCMC response labels were used during feature scaling. Principal-component analysis (PCA) was then applied to the standardized Hybrid representation. Let </w:t>
      </w:r>
      <m:oMath>
        <m:sSub>
          <m:sSubPr>
            <m:ctrlPr>
              <w:rPr>
                <w:rFonts w:ascii="Cambria Math" w:hAnsi="Cambria Math" w:cs="Times New Roman"/>
              </w:rPr>
            </m:ctrlPr>
          </m:sSubPr>
          <m:e>
            <m:r>
              <m:rPr/>
              <w:rPr>
                <w:rFonts w:ascii="Cambria Math" w:hAnsi="Cambria Math" w:cs="Times New Roman"/>
              </w:rPr>
              <m:t>λ</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λ</m:t>
            </m:r>
            <m:ctrlPr>
              <w:rPr>
                <w:rFonts w:ascii="Cambria Math" w:hAnsi="Cambria Math" w:cs="Times New Roman"/>
              </w:rPr>
            </m:ctrlPr>
          </m:e>
          <m:sub>
            <m:r>
              <m:rPr/>
              <w:rPr>
                <w:rFonts w:ascii="Cambria Math" w:hAnsi="Cambria Math" w:cs="Times New Roman"/>
              </w:rPr>
              <m:t>2</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λ</m:t>
            </m:r>
            <m:ctrlPr>
              <w:rPr>
                <w:rFonts w:ascii="Cambria Math" w:hAnsi="Cambria Math" w:cs="Times New Roman"/>
              </w:rPr>
            </m:ctrlPr>
          </m:e>
          <m:sub>
            <m:r>
              <m:rPr/>
              <w:rPr>
                <w:rFonts w:ascii="Cambria Math" w:hAnsi="Cambria Math" w:cs="Times New Roman"/>
              </w:rPr>
              <m:t>526</m:t>
            </m:r>
            <m:ctrlPr>
              <w:rPr>
                <w:rFonts w:ascii="Cambria Math" w:hAnsi="Cambria Math" w:cs="Times New Roman"/>
              </w:rPr>
            </m:ctrlPr>
          </m:sub>
        </m:sSub>
      </m:oMath>
      <w:r>
        <w:rPr>
          <w:rFonts w:ascii="Times New Roman" w:hAnsi="Times New Roman" w:cs="Times New Roman"/>
        </w:rPr>
        <w:t xml:space="preserve"> denote the ordered PCA eigenvalues. For a prescribed cumulative explained-variance threshold </w:t>
      </w:r>
      <m:oMath>
        <m:r>
          <m:rPr/>
          <w:rPr>
            <w:rFonts w:ascii="Cambria Math" w:hAnsi="Cambria Math" w:cs="Times New Roman"/>
          </w:rPr>
          <m:t>α</m:t>
        </m:r>
      </m:oMath>
      <w:r>
        <w:rPr>
          <w:rFonts w:ascii="Times New Roman" w:hAnsi="Times New Roman" w:cs="Times New Roman"/>
        </w:rPr>
        <w:t xml:space="preserve">, the retained dimensionality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α</m:t>
            </m:r>
            <m:ctrlPr>
              <w:rPr>
                <w:rFonts w:ascii="Cambria Math" w:hAnsi="Cambria Math" w:cs="Times New Roman"/>
              </w:rPr>
            </m:ctrlPr>
          </m:sub>
        </m:sSub>
      </m:oMath>
      <w:r>
        <w:rPr>
          <w:rFonts w:ascii="Times New Roman" w:hAnsi="Times New Roman" w:cs="Times New Roman"/>
        </w:rPr>
        <w:t xml:space="preserve">was defined as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m</m:t>
            </m:r>
            <m:ctrlPr>
              <w:rPr>
                <w:rFonts w:ascii="Cambria Math" w:hAnsi="Cambria Math" w:cs="Times New Roman"/>
                <w:sz w:val="20"/>
                <w:szCs w:val="20"/>
              </w:rPr>
            </m:ctrlPr>
          </m:e>
          <m:sub>
            <m:r>
              <m:rPr/>
              <w:rPr>
                <w:rFonts w:ascii="Cambria Math" w:hAnsi="Cambria Math" w:cs="Times New Roman"/>
                <w:sz w:val="20"/>
                <w:szCs w:val="20"/>
              </w:rPr>
              <m:t>α</m:t>
            </m:r>
            <m:ctrlPr>
              <w:rPr>
                <w:rFonts w:ascii="Cambria Math" w:hAnsi="Cambria Math" w:cs="Times New Roman"/>
                <w:sz w:val="20"/>
                <w:szCs w:val="20"/>
              </w:rPr>
            </m:ctrlPr>
          </m:sub>
        </m:sSub>
        <m:r>
          <m:rPr/>
          <w:rPr>
            <w:rFonts w:ascii="Cambria Math" w:hAnsi="Cambria Math" w:cs="Times New Roman"/>
            <w:sz w:val="20"/>
            <w:szCs w:val="20"/>
          </w:rPr>
          <m:t>=</m:t>
        </m:r>
        <m:r>
          <m:rPr>
            <m:sty m:val="p"/>
          </m:rPr>
          <w:rPr>
            <w:rFonts w:ascii="Cambria Math" w:hAnsi="Cambria Math" w:cs="Times New Roman"/>
            <w:sz w:val="20"/>
            <w:szCs w:val="20"/>
          </w:rPr>
          <m:t>min</m:t>
        </m:r>
        <m:r>
          <m:rPr/>
          <w:rPr>
            <w:rFonts w:ascii="Cambria Math" w:hAnsi="Cambria Math" w:cs="Times New Roman"/>
            <w:sz w:val="20"/>
            <w:szCs w:val="20"/>
          </w:rPr>
          <m:t>⁡</m:t>
        </m:r>
        <m:d>
          <m:dPr>
            <m:begChr m:val="{"/>
            <m:endChr m:val="}"/>
            <m:ctrlPr>
              <w:rPr>
                <w:rFonts w:ascii="Cambria Math" w:hAnsi="Cambria Math" w:cs="Times New Roman"/>
                <w:sz w:val="20"/>
                <w:szCs w:val="20"/>
              </w:rPr>
            </m:ctrlPr>
          </m:dPr>
          <m:e>
            <m:r>
              <m:rPr/>
              <w:rPr>
                <w:rFonts w:ascii="Cambria Math" w:hAnsi="Cambria Math" w:cs="Times New Roman"/>
                <w:sz w:val="20"/>
                <w:szCs w:val="20"/>
              </w:rPr>
              <m:t>m:</m:t>
            </m:r>
            <m:f>
              <m:fPr>
                <m:ctrlPr>
                  <w:rPr>
                    <w:rFonts w:ascii="Cambria Math" w:hAnsi="Cambria Math" w:cs="Times New Roman"/>
                    <w:sz w:val="20"/>
                    <w:szCs w:val="20"/>
                  </w:rPr>
                </m:ctrlPr>
              </m:fPr>
              <m:num>
                <m:nary>
                  <m:naryPr>
                    <m:chr m:val="∑"/>
                    <m:grow m:val="1"/>
                    <m:limLoc m:val="subSup"/>
                    <m:ctrlPr>
                      <w:rPr>
                        <w:rFonts w:ascii="Cambria Math" w:hAnsi="Cambria Math" w:cs="Times New Roman"/>
                        <w:sz w:val="20"/>
                        <w:szCs w:val="20"/>
                      </w:rPr>
                    </m:ctrlPr>
                  </m:naryPr>
                  <m:sub>
                    <m:r>
                      <m:rPr/>
                      <w:rPr>
                        <w:rFonts w:ascii="Cambria Math" w:hAnsi="Cambria Math" w:cs="Times New Roman"/>
                        <w:sz w:val="20"/>
                        <w:szCs w:val="20"/>
                      </w:rPr>
                      <m:t>j=1</m:t>
                    </m:r>
                    <m:ctrlPr>
                      <w:rPr>
                        <w:rFonts w:ascii="Cambria Math" w:hAnsi="Cambria Math" w:cs="Times New Roman"/>
                        <w:sz w:val="20"/>
                        <w:szCs w:val="20"/>
                      </w:rPr>
                    </m:ctrlPr>
                  </m:sub>
                  <m:sup>
                    <m:r>
                      <m:rPr/>
                      <w:rPr>
                        <w:rFonts w:ascii="Cambria Math" w:hAnsi="Cambria Math" w:cs="Times New Roman"/>
                        <w:sz w:val="20"/>
                        <w:szCs w:val="20"/>
                      </w:rPr>
                      <m:t>m</m:t>
                    </m:r>
                    <m:ctrlPr>
                      <w:rPr>
                        <w:rFonts w:ascii="Cambria Math" w:hAnsi="Cambria Math" w:cs="Times New Roman"/>
                        <w:sz w:val="20"/>
                        <w:szCs w:val="20"/>
                      </w:rPr>
                    </m:ctrlPr>
                  </m:sup>
                  <m:e>
                    <m:sSub>
                      <m:sSubPr>
                        <m:ctrlPr>
                          <w:rPr>
                            <w:rFonts w:ascii="Cambria Math" w:hAnsi="Cambria Math" w:cs="Times New Roman"/>
                            <w:sz w:val="20"/>
                            <w:szCs w:val="20"/>
                          </w:rPr>
                        </m:ctrlPr>
                      </m:sSubPr>
                      <m:e>
                        <m:r>
                          <m:rPr/>
                          <w:rPr>
                            <w:rFonts w:ascii="Cambria Math" w:hAnsi="Cambria Math" w:cs="Times New Roman"/>
                            <w:sz w:val="20"/>
                            <w:szCs w:val="20"/>
                          </w:rPr>
                          <m:t>λ</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e>
                </m:nary>
                <m:ctrlPr>
                  <w:rPr>
                    <w:rFonts w:ascii="Cambria Math" w:hAnsi="Cambria Math" w:cs="Times New Roman"/>
                    <w:sz w:val="20"/>
                    <w:szCs w:val="20"/>
                  </w:rPr>
                </m:ctrlPr>
              </m:num>
              <m:den>
                <m:nary>
                  <m:naryPr>
                    <m:chr m:val="∑"/>
                    <m:grow m:val="1"/>
                    <m:limLoc m:val="subSup"/>
                    <m:ctrlPr>
                      <w:rPr>
                        <w:rFonts w:ascii="Cambria Math" w:hAnsi="Cambria Math" w:cs="Times New Roman"/>
                        <w:sz w:val="20"/>
                        <w:szCs w:val="20"/>
                      </w:rPr>
                    </m:ctrlPr>
                  </m:naryPr>
                  <m:sub>
                    <m:r>
                      <m:rPr/>
                      <w:rPr>
                        <w:rFonts w:ascii="Cambria Math" w:hAnsi="Cambria Math" w:cs="Times New Roman"/>
                        <w:sz w:val="20"/>
                        <w:szCs w:val="20"/>
                      </w:rPr>
                      <m:t>j=1</m:t>
                    </m:r>
                    <m:ctrlPr>
                      <w:rPr>
                        <w:rFonts w:ascii="Cambria Math" w:hAnsi="Cambria Math" w:cs="Times New Roman"/>
                        <w:sz w:val="20"/>
                        <w:szCs w:val="20"/>
                      </w:rPr>
                    </m:ctrlPr>
                  </m:sub>
                  <m:sup>
                    <m:r>
                      <m:rPr/>
                      <w:rPr>
                        <w:rFonts w:ascii="Cambria Math" w:hAnsi="Cambria Math" w:cs="Times New Roman"/>
                        <w:sz w:val="20"/>
                        <w:szCs w:val="20"/>
                      </w:rPr>
                      <m:t>526</m:t>
                    </m:r>
                    <m:ctrlPr>
                      <w:rPr>
                        <w:rFonts w:ascii="Cambria Math" w:hAnsi="Cambria Math" w:cs="Times New Roman"/>
                        <w:sz w:val="20"/>
                        <w:szCs w:val="20"/>
                      </w:rPr>
                    </m:ctrlPr>
                  </m:sup>
                  <m:e>
                    <m:sSub>
                      <m:sSubPr>
                        <m:ctrlPr>
                          <w:rPr>
                            <w:rFonts w:ascii="Cambria Math" w:hAnsi="Cambria Math" w:cs="Times New Roman"/>
                            <w:sz w:val="20"/>
                            <w:szCs w:val="20"/>
                          </w:rPr>
                        </m:ctrlPr>
                      </m:sSubPr>
                      <m:e>
                        <m:r>
                          <m:rPr/>
                          <w:rPr>
                            <w:rFonts w:ascii="Cambria Math" w:hAnsi="Cambria Math" w:cs="Times New Roman"/>
                            <w:sz w:val="20"/>
                            <w:szCs w:val="20"/>
                          </w:rPr>
                          <m:t>λ</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e>
                </m:nary>
                <m:ctrlPr>
                  <w:rPr>
                    <w:rFonts w:ascii="Cambria Math" w:hAnsi="Cambria Math" w:cs="Times New Roman"/>
                    <w:sz w:val="20"/>
                    <w:szCs w:val="20"/>
                  </w:rPr>
                </m:ctrlPr>
              </m:den>
            </m:f>
            <m:r>
              <m:rPr/>
              <w:rPr>
                <w:rFonts w:ascii="Cambria Math" w:hAnsi="Cambria Math" w:cs="Times New Roman"/>
                <w:sz w:val="20"/>
                <w:szCs w:val="20"/>
              </w:rPr>
              <m:t>≥α</m:t>
            </m:r>
            <m:ctrlPr>
              <w:rPr>
                <w:rFonts w:ascii="Cambria Math" w:hAnsi="Cambria Math" w:cs="Times New Roman"/>
                <w:sz w:val="20"/>
                <w:szCs w:val="20"/>
              </w:rPr>
            </m:ctrlPr>
          </m:e>
        </m:d>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(31)</w:t>
      </w:r>
    </w:p>
    <w:p>
      <w:pPr>
        <w:ind w:firstLine="420"/>
        <w:rPr>
          <w:rFonts w:ascii="Times New Roman" w:hAnsi="Times New Roman" w:cs="Times New Roman"/>
        </w:rPr>
      </w:pPr>
      <w:r>
        <w:rPr>
          <w:rFonts w:ascii="Times New Roman" w:hAnsi="Times New Roman" w:cs="Times New Roman"/>
        </w:rPr>
        <w:t xml:space="preserve">The retained score matrix was obtained by projecting the standardized Hybrid matrix onto the first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α</m:t>
            </m:r>
            <m:ctrlPr>
              <w:rPr>
                <w:rFonts w:ascii="Cambria Math" w:hAnsi="Cambria Math" w:cs="Times New Roman"/>
              </w:rPr>
            </m:ctrlPr>
          </m:sub>
        </m:sSub>
      </m:oMath>
      <w:r>
        <w:rPr>
          <w:rFonts w:ascii="Times New Roman" w:hAnsi="Times New Roman" w:cs="Times New Roman"/>
        </w:rPr>
        <w:t>loading vectors,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p>
          <m:sSupPr>
            <m:ctrlPr>
              <w:rPr>
                <w:rFonts w:ascii="Cambria Math" w:hAnsi="Cambria Math" w:cs="Times New Roman"/>
                <w:sz w:val="20"/>
                <w:szCs w:val="20"/>
              </w:rPr>
            </m:ctrlPr>
          </m:sSupPr>
          <m:e>
            <m:r>
              <m:rPr/>
              <w:rPr>
                <w:rFonts w:ascii="Cambria Math" w:hAnsi="Cambria Math" w:cs="Times New Roman"/>
                <w:sz w:val="20"/>
                <w:szCs w:val="20"/>
              </w:rPr>
              <m:t>Z</m:t>
            </m:r>
            <m:ctrlPr>
              <w:rPr>
                <w:rFonts w:ascii="Cambria Math" w:hAnsi="Cambria Math" w:cs="Times New Roman"/>
                <w:sz w:val="20"/>
                <w:szCs w:val="20"/>
              </w:rPr>
            </m:ctrlPr>
          </m:e>
          <m:sup>
            <m:d>
              <m:dPr>
                <m:ctrlPr>
                  <w:rPr>
                    <w:rFonts w:ascii="Cambria Math" w:hAnsi="Cambria Math" w:cs="Times New Roman"/>
                    <w:sz w:val="20"/>
                    <w:szCs w:val="20"/>
                  </w:rPr>
                </m:ctrlPr>
              </m:dPr>
              <m:e>
                <m:r>
                  <m:rPr/>
                  <w:rPr>
                    <w:rFonts w:ascii="Cambria Math" w:hAnsi="Cambria Math" w:cs="Times New Roman"/>
                    <w:sz w:val="20"/>
                    <w:szCs w:val="20"/>
                  </w:rPr>
                  <m:t>α</m:t>
                </m:r>
                <m:ctrlPr>
                  <w:rPr>
                    <w:rFonts w:ascii="Cambria Math" w:hAnsi="Cambria Math" w:cs="Times New Roman"/>
                    <w:sz w:val="20"/>
                    <w:szCs w:val="20"/>
                  </w:rPr>
                </m:ctrlPr>
              </m:e>
            </m:d>
            <m:ctrlPr>
              <w:rPr>
                <w:rFonts w:ascii="Cambria Math" w:hAnsi="Cambria Math" w:cs="Times New Roman"/>
                <w:sz w:val="20"/>
                <w:szCs w:val="20"/>
              </w:rPr>
            </m:ctrlPr>
          </m:sup>
        </m:sSup>
        <m:r>
          <m:rPr/>
          <w:rPr>
            <w:rFonts w:ascii="Cambria Math" w:hAnsi="Cambria Math" w:cs="Times New Roman"/>
            <w:sz w:val="20"/>
            <w:szCs w:val="20"/>
          </w:rPr>
          <m:t>=</m:t>
        </m:r>
        <m:sSup>
          <m:sSupPr>
            <m:ctrlPr>
              <w:rPr>
                <w:rFonts w:ascii="Cambria Math" w:hAnsi="Cambria Math" w:cs="Times New Roman"/>
                <w:sz w:val="20"/>
                <w:szCs w:val="20"/>
              </w:rPr>
            </m:ctrlPr>
          </m:sSupPr>
          <m:e>
            <m:limUpp>
              <m:limUppPr>
                <m:ctrlPr>
                  <w:rPr>
                    <w:rFonts w:ascii="Cambria Math" w:hAnsi="Cambria Math" w:cs="Times New Roman"/>
                    <w:sz w:val="20"/>
                    <w:szCs w:val="20"/>
                  </w:rPr>
                </m:ctrlPr>
              </m:limUppPr>
              <m:e>
                <m:r>
                  <m:rPr/>
                  <w:rPr>
                    <w:rFonts w:ascii="Cambria Math" w:hAnsi="Cambria Math" w:cs="Times New Roman"/>
                    <w:sz w:val="20"/>
                    <w:szCs w:val="20"/>
                  </w:rPr>
                  <m:t>X</m:t>
                </m:r>
                <m:ctrlPr>
                  <w:rPr>
                    <w:rFonts w:ascii="Cambria Math" w:hAnsi="Cambria Math" w:cs="Times New Roman"/>
                    <w:sz w:val="20"/>
                    <w:szCs w:val="20"/>
                  </w:rPr>
                </m:ctrlPr>
              </m:e>
              <m:lim>
                <m:r>
                  <m:rPr/>
                  <w:rPr>
                    <w:rFonts w:ascii="Cambria Math" w:hAnsi="Cambria Math" w:cs="Times New Roman"/>
                    <w:sz w:val="20"/>
                    <w:szCs w:val="20"/>
                  </w:rPr>
                  <m:t>~</m:t>
                </m:r>
                <m:ctrlPr>
                  <w:rPr>
                    <w:rFonts w:ascii="Cambria Math" w:hAnsi="Cambria Math" w:cs="Times New Roman"/>
                    <w:sz w:val="20"/>
                    <w:szCs w:val="20"/>
                  </w:rPr>
                </m:ctrlPr>
              </m:lim>
            </m:limUpp>
            <m:ctrlPr>
              <w:rPr>
                <w:rFonts w:ascii="Cambria Math" w:hAnsi="Cambria Math" w:cs="Times New Roman"/>
                <w:sz w:val="20"/>
                <w:szCs w:val="20"/>
              </w:rPr>
            </m:ctrlPr>
          </m:e>
          <m:sup>
            <m:d>
              <m:dPr>
                <m:ctrlPr>
                  <w:rPr>
                    <w:rFonts w:ascii="Cambria Math" w:hAnsi="Cambria Math" w:cs="Times New Roman"/>
                    <w:sz w:val="20"/>
                    <w:szCs w:val="20"/>
                  </w:rPr>
                </m:ctrlPr>
              </m:dPr>
              <m:e>
                <m:phant>
                  <m:phantPr>
                    <m:ctrlPr>
                      <w:rPr>
                        <w:rFonts w:ascii="Cambria Math" w:hAnsi="Cambria Math" w:cs="Times New Roman"/>
                        <w:sz w:val="20"/>
                        <w:szCs w:val="20"/>
                      </w:rPr>
                    </m:ctrlPr>
                  </m:phantPr>
                  <m:e>
                    <m:r>
                      <m:rPr>
                        <m:sty m:val="p"/>
                      </m:rPr>
                      <w:rPr>
                        <w:rFonts w:ascii="Cambria Math" w:hAnsi="Cambria Math" w:cs="Times New Roman"/>
                        <w:sz w:val="20"/>
                        <w:szCs w:val="20"/>
                      </w:rPr>
                      <m:t>H</m:t>
                    </m:r>
                    <m:ctrlPr>
                      <w:rPr>
                        <w:rFonts w:ascii="Cambria Math" w:hAnsi="Cambria Math" w:cs="Times New Roman"/>
                        <w:sz w:val="20"/>
                        <w:szCs w:val="20"/>
                      </w:rPr>
                    </m:ctrlPr>
                  </m:e>
                </m:phant>
                <m:ctrlPr>
                  <w:rPr>
                    <w:rFonts w:ascii="Cambria Math" w:hAnsi="Cambria Math" w:cs="Times New Roman"/>
                    <w:sz w:val="20"/>
                    <w:szCs w:val="20"/>
                  </w:rPr>
                </m:ctrlPr>
              </m:e>
            </m:d>
            <m:ctrlPr>
              <w:rPr>
                <w:rFonts w:ascii="Cambria Math" w:hAnsi="Cambria Math" w:cs="Times New Roman"/>
                <w:sz w:val="20"/>
                <w:szCs w:val="20"/>
              </w:rPr>
            </m:ctrlPr>
          </m:sup>
        </m:sSup>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1:</m:t>
            </m:r>
            <m:sSub>
              <m:sSubPr>
                <m:ctrlPr>
                  <w:rPr>
                    <w:rFonts w:ascii="Cambria Math" w:hAnsi="Cambria Math" w:cs="Times New Roman"/>
                    <w:sz w:val="20"/>
                    <w:szCs w:val="20"/>
                  </w:rPr>
                </m:ctrlPr>
              </m:sSubPr>
              <m:e>
                <m:r>
                  <m:rPr/>
                  <w:rPr>
                    <w:rFonts w:ascii="Cambria Math" w:hAnsi="Cambria Math" w:cs="Times New Roman"/>
                    <w:sz w:val="20"/>
                    <w:szCs w:val="20"/>
                  </w:rPr>
                  <m:t>m</m:t>
                </m:r>
                <m:ctrlPr>
                  <w:rPr>
                    <w:rFonts w:ascii="Cambria Math" w:hAnsi="Cambria Math" w:cs="Times New Roman"/>
                    <w:sz w:val="20"/>
                    <w:szCs w:val="20"/>
                  </w:rPr>
                </m:ctrlPr>
              </m:e>
              <m:sub>
                <m:r>
                  <m:rPr/>
                  <w:rPr>
                    <w:rFonts w:ascii="Cambria Math" w:hAnsi="Cambria Math" w:cs="Times New Roman"/>
                    <w:sz w:val="20"/>
                    <w:szCs w:val="20"/>
                  </w:rPr>
                  <m:t>α</m:t>
                </m:r>
                <m:ctrlPr>
                  <w:rPr>
                    <w:rFonts w:ascii="Cambria Math" w:hAnsi="Cambria Math" w:cs="Times New Roman"/>
                    <w:sz w:val="20"/>
                    <w:szCs w:val="20"/>
                  </w:rPr>
                </m:ctrlPr>
              </m:sub>
            </m:sSub>
            <m:ctrlPr>
              <w:rPr>
                <w:rFonts w:ascii="Cambria Math" w:hAnsi="Cambria Math" w:cs="Times New Roman"/>
                <w:sz w:val="20"/>
                <w:szCs w:val="20"/>
              </w:rPr>
            </m:ctrlPr>
          </m:sub>
        </m:sSub>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(32)</w:t>
      </w:r>
    </w:p>
    <w:p>
      <w:pPr>
        <w:ind w:firstLine="420"/>
        <w:rPr>
          <w:rFonts w:ascii="Times New Roman" w:hAnsi="Times New Roman" w:cs="Times New Roman"/>
        </w:rPr>
      </w:pPr>
      <w:r>
        <w:rPr>
          <w:rFonts w:ascii="Times New Roman" w:hAnsi="Times New Roman" w:cs="Times New Roman"/>
        </w:rPr>
        <w:t xml:space="preserve">Four cumulative explained-variance thresholds were considered, </w:t>
      </w:r>
      <m:oMath>
        <m:r>
          <m:rPr/>
          <w:rPr>
            <w:rFonts w:ascii="Cambria Math" w:hAnsi="Cambria Math" w:cs="Times New Roman"/>
          </w:rPr>
          <m:t>α∈{</m:t>
        </m:r>
        <m:r>
          <m:rPr>
            <m:sty m:val="p"/>
          </m:rPr>
          <w:rPr>
            <w:rFonts w:ascii="Cambria Math" w:hAnsi="Cambria Math" w:cs="Times New Roman"/>
          </w:rPr>
          <m:t>0.80,0.85,0.90,0.95</m:t>
        </m:r>
        <m:r>
          <m:rPr/>
          <w:rPr>
            <w:rFonts w:ascii="Cambria Math" w:hAnsi="Cambria Math" w:cs="Times New Roman"/>
          </w:rPr>
          <m:t>},</m:t>
        </m:r>
      </m:oMath>
      <w:r>
        <w:rPr>
          <w:rFonts w:ascii="Times New Roman" w:hAnsi="Times New Roman" w:cs="Times New Roman"/>
        </w:rPr>
        <w:t xml:space="preserve"> yielding the P80, P85, P90 and P95 input spaces with 41, 58, 86 and 145 retained principal components, respectively.</w:t>
      </w:r>
    </w:p>
    <w:p>
      <w:pPr>
        <w:ind w:firstLine="420"/>
        <w:rPr>
          <w:rFonts w:ascii="Times New Roman" w:hAnsi="Times New Roman" w:cs="Times New Roman"/>
        </w:rPr>
      </w:pPr>
      <w:r>
        <w:rPr>
          <w:rFonts w:ascii="Times New Roman" w:hAnsi="Times New Roman" w:cs="Times New Roman"/>
        </w:rPr>
        <w:t xml:space="preserve">For the BO model-input matrices, the retained component scores were standardized component-wise after projection,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sz w:val="20"/>
                <w:szCs w:val="20"/>
              </w:rPr>
            </m:ctrlPr>
          </m:sSubSupPr>
          <m:e>
            <m:limUpp>
              <m:limUppPr>
                <m:ctrlPr>
                  <w:rPr>
                    <w:rFonts w:ascii="Cambria Math" w:hAnsi="Cambria Math" w:cs="Times New Roman"/>
                    <w:sz w:val="20"/>
                    <w:szCs w:val="20"/>
                  </w:rPr>
                </m:ctrlPr>
              </m:limUppPr>
              <m:e>
                <m:r>
                  <m:rPr/>
                  <w:rPr>
                    <w:rFonts w:ascii="Cambria Math" w:hAnsi="Cambria Math" w:cs="Times New Roman"/>
                    <w:sz w:val="20"/>
                    <w:szCs w:val="20"/>
                  </w:rPr>
                  <m:t>z</m:t>
                </m:r>
                <m:ctrlPr>
                  <w:rPr>
                    <w:rFonts w:ascii="Cambria Math" w:hAnsi="Cambria Math" w:cs="Times New Roman"/>
                    <w:sz w:val="20"/>
                    <w:szCs w:val="20"/>
                  </w:rPr>
                </m:ctrlPr>
              </m:e>
              <m:lim>
                <m:r>
                  <m:rPr/>
                  <w:rPr>
                    <w:rFonts w:ascii="Cambria Math" w:hAnsi="Cambria Math" w:cs="Times New Roman"/>
                    <w:sz w:val="20"/>
                    <w:szCs w:val="20"/>
                  </w:rPr>
                  <m:t>~</m:t>
                </m:r>
                <m:ctrlPr>
                  <w:rPr>
                    <w:rFonts w:ascii="Cambria Math" w:hAnsi="Cambria Math" w:cs="Times New Roman"/>
                    <w:sz w:val="20"/>
                    <w:szCs w:val="20"/>
                  </w:rPr>
                </m:ctrlPr>
              </m:lim>
            </m:limUpp>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α</m:t>
                </m:r>
                <m:ctrlPr>
                  <w:rPr>
                    <w:rFonts w:ascii="Cambria Math" w:hAnsi="Cambria Math" w:cs="Times New Roman"/>
                    <w:sz w:val="20"/>
                    <w:szCs w:val="20"/>
                  </w:rPr>
                </m:ctrlPr>
              </m:e>
            </m:d>
            <m:ctrlPr>
              <w:rPr>
                <w:rFonts w:ascii="Cambria Math" w:hAnsi="Cambria Math" w:cs="Times New Roman"/>
                <w:sz w:val="20"/>
                <w:szCs w:val="20"/>
              </w:rPr>
            </m:ctrlPr>
          </m:sup>
        </m:sSubSup>
        <m:r>
          <m:rPr/>
          <w:rPr>
            <w:rFonts w:ascii="Cambria Math" w:hAnsi="Cambria Math" w:cs="Times New Roman"/>
            <w:sz w:val="20"/>
            <w:szCs w:val="20"/>
          </w:rPr>
          <m:t>=</m:t>
        </m:r>
        <m:f>
          <m:fPr>
            <m:ctrlPr>
              <w:rPr>
                <w:rFonts w:ascii="Cambria Math" w:hAnsi="Cambria Math" w:cs="Times New Roman"/>
                <w:sz w:val="20"/>
                <w:szCs w:val="20"/>
              </w:rPr>
            </m:ctrlPr>
          </m:fPr>
          <m:num>
            <m:sSubSup>
              <m:sSubSupPr>
                <m:ctrlPr>
                  <w:rPr>
                    <w:rFonts w:ascii="Cambria Math" w:hAnsi="Cambria Math" w:cs="Times New Roman"/>
                    <w:sz w:val="20"/>
                    <w:szCs w:val="20"/>
                  </w:rPr>
                </m:ctrlPr>
              </m:sSubSupPr>
              <m:e>
                <m:r>
                  <m:rPr/>
                  <w:rPr>
                    <w:rFonts w:ascii="Cambria Math" w:hAnsi="Cambria Math" w:cs="Times New Roman"/>
                    <w:sz w:val="20"/>
                    <w:szCs w:val="20"/>
                  </w:rPr>
                  <m:t>z</m:t>
                </m:r>
                <m:ctrlPr>
                  <w:rPr>
                    <w:rFonts w:ascii="Cambria Math" w:hAnsi="Cambria Math" w:cs="Times New Roman"/>
                    <w:sz w:val="20"/>
                    <w:szCs w:val="20"/>
                  </w:rPr>
                </m:ctrlPr>
              </m:e>
              <m:sub>
                <m:r>
                  <m:rPr/>
                  <w:rPr>
                    <w:rFonts w:ascii="Cambria Math" w:hAnsi="Cambria Math" w:cs="Times New Roman"/>
                    <w:sz w:val="20"/>
                    <w:szCs w:val="20"/>
                  </w:rPr>
                  <m:t>ij</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α</m:t>
                    </m:r>
                    <m:ctrlPr>
                      <w:rPr>
                        <w:rFonts w:ascii="Cambria Math" w:hAnsi="Cambria Math" w:cs="Times New Roman"/>
                        <w:sz w:val="20"/>
                        <w:szCs w:val="20"/>
                      </w:rPr>
                    </m:ctrlPr>
                  </m:e>
                </m:d>
                <m:ctrlPr>
                  <w:rPr>
                    <w:rFonts w:ascii="Cambria Math" w:hAnsi="Cambria Math" w:cs="Times New Roman"/>
                    <w:sz w:val="20"/>
                    <w:szCs w:val="20"/>
                  </w:rPr>
                </m:ctrlPr>
              </m:sup>
            </m:sSubSup>
            <m:r>
              <m:rPr/>
              <w:rPr>
                <w:rFonts w:ascii="Cambria Math" w:hAnsi="Cambria Math" w:cs="Times New Roman"/>
                <w:sz w:val="20"/>
                <w:szCs w:val="20"/>
              </w:rPr>
              <m:t>−</m:t>
            </m:r>
            <m:sSubSup>
              <m:sSubSupPr>
                <m:ctrlPr>
                  <w:rPr>
                    <w:rFonts w:ascii="Cambria Math" w:hAnsi="Cambria Math" w:cs="Times New Roman"/>
                    <w:sz w:val="20"/>
                    <w:szCs w:val="20"/>
                  </w:rPr>
                </m:ctrlPr>
              </m:sSubSup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z,j</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α</m:t>
                    </m:r>
                    <m:ctrlPr>
                      <w:rPr>
                        <w:rFonts w:ascii="Cambria Math" w:hAnsi="Cambria Math" w:cs="Times New Roman"/>
                        <w:sz w:val="20"/>
                        <w:szCs w:val="20"/>
                      </w:rPr>
                    </m:ctrlPr>
                  </m:e>
                </m:d>
                <m:ctrlPr>
                  <w:rPr>
                    <w:rFonts w:ascii="Cambria Math" w:hAnsi="Cambria Math" w:cs="Times New Roman"/>
                    <w:sz w:val="20"/>
                    <w:szCs w:val="20"/>
                  </w:rPr>
                </m:ctrlPr>
              </m:sup>
            </m:sSubSup>
            <m:ctrlPr>
              <w:rPr>
                <w:rFonts w:ascii="Cambria Math" w:hAnsi="Cambria Math" w:cs="Times New Roman"/>
                <w:sz w:val="20"/>
                <w:szCs w:val="20"/>
              </w:rPr>
            </m:ctrlPr>
          </m:num>
          <m:den>
            <m:sSubSup>
              <m:sSubSupPr>
                <m:ctrlPr>
                  <w:rPr>
                    <w:rFonts w:ascii="Cambria Math" w:hAnsi="Cambria Math" w:cs="Times New Roman"/>
                    <w:sz w:val="20"/>
                    <w:szCs w:val="20"/>
                  </w:rPr>
                </m:ctrlPr>
              </m:sSubSupPr>
              <m:e>
                <m:r>
                  <m:rPr/>
                  <w:rPr>
                    <w:rFonts w:ascii="Cambria Math" w:hAnsi="Cambria Math" w:cs="Times New Roman"/>
                    <w:sz w:val="20"/>
                    <w:szCs w:val="20"/>
                  </w:rPr>
                  <m:t>s</m:t>
                </m:r>
                <m:ctrlPr>
                  <w:rPr>
                    <w:rFonts w:ascii="Cambria Math" w:hAnsi="Cambria Math" w:cs="Times New Roman"/>
                    <w:sz w:val="20"/>
                    <w:szCs w:val="20"/>
                  </w:rPr>
                </m:ctrlPr>
              </m:e>
              <m:sub>
                <m:r>
                  <m:rPr/>
                  <w:rPr>
                    <w:rFonts w:ascii="Cambria Math" w:hAnsi="Cambria Math" w:cs="Times New Roman"/>
                    <w:sz w:val="20"/>
                    <w:szCs w:val="20"/>
                  </w:rPr>
                  <m:t>z,j</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α</m:t>
                    </m:r>
                    <m:ctrlPr>
                      <w:rPr>
                        <w:rFonts w:ascii="Cambria Math" w:hAnsi="Cambria Math" w:cs="Times New Roman"/>
                        <w:sz w:val="20"/>
                        <w:szCs w:val="20"/>
                      </w:rPr>
                    </m:ctrlPr>
                  </m:e>
                </m:d>
                <m:ctrlPr>
                  <w:rPr>
                    <w:rFonts w:ascii="Cambria Math" w:hAnsi="Cambria Math" w:cs="Times New Roman"/>
                    <w:sz w:val="20"/>
                    <w:szCs w:val="20"/>
                  </w:rPr>
                </m:ctrlPr>
              </m:sup>
            </m:sSubSup>
            <m:ctrlPr>
              <w:rPr>
                <w:rFonts w:ascii="Cambria Math" w:hAnsi="Cambria Math" w:cs="Times New Roman"/>
                <w:sz w:val="20"/>
                <w:szCs w:val="20"/>
              </w:rPr>
            </m:ctrlPr>
          </m:den>
        </m:f>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(33)</w:t>
      </w:r>
    </w:p>
    <w:p>
      <w:pPr>
        <w:ind w:firstLine="420"/>
        <w:rPr>
          <w:rFonts w:ascii="Times New Roman" w:hAnsi="Times New Roman" w:cs="Times New Roman"/>
        </w:rPr>
      </w:pPr>
      <w:r>
        <w:rPr>
          <w:rFonts w:ascii="Times New Roman" w:hAnsi="Times New Roman" w:cs="Times New Roman"/>
        </w:rPr>
        <w:t xml:space="preserve">where </w:t>
      </w:r>
      <m:oMath>
        <m:sSubSup>
          <m:sSubSupPr>
            <m:ctrlPr>
              <w:rPr>
                <w:rFonts w:ascii="Cambria Math" w:hAnsi="Cambria Math" w:cs="Times New Roman"/>
              </w:rPr>
            </m:ctrlPr>
          </m:sSubSupPr>
          <m:e>
            <m:r>
              <m:rPr/>
              <w:rPr>
                <w:rFonts w:ascii="Cambria Math" w:hAnsi="Cambria Math" w:cs="Times New Roman"/>
              </w:rPr>
              <m:t>z</m:t>
            </m:r>
            <m:ctrlPr>
              <w:rPr>
                <w:rFonts w:ascii="Cambria Math" w:hAnsi="Cambria Math" w:cs="Times New Roman"/>
              </w:rPr>
            </m:ctrlPr>
          </m:e>
          <m:sub>
            <m:r>
              <m:rPr/>
              <w:rPr>
                <w:rFonts w:ascii="Cambria Math" w:hAnsi="Cambria Math" w:cs="Times New Roman"/>
              </w:rPr>
              <m:t>ij</m:t>
            </m:r>
            <m:ctrlPr>
              <w:rPr>
                <w:rFonts w:ascii="Cambria Math" w:hAnsi="Cambria Math" w:cs="Times New Roman"/>
              </w:rPr>
            </m:ctrlPr>
          </m:sub>
          <m:sup>
            <m:d>
              <m:dPr>
                <m:ctrlPr>
                  <w:rPr>
                    <w:rFonts w:ascii="Cambria Math" w:hAnsi="Cambria Math" w:cs="Times New Roman"/>
                  </w:rPr>
                </m:ctrlPr>
              </m:dPr>
              <m:e>
                <m:r>
                  <m:rPr/>
                  <w:rPr>
                    <w:rFonts w:ascii="Cambria Math" w:hAnsi="Cambria Math" w:cs="Times New Roman"/>
                  </w:rPr>
                  <m:t>α</m:t>
                </m:r>
                <m:ctrlPr>
                  <w:rPr>
                    <w:rFonts w:ascii="Cambria Math" w:hAnsi="Cambria Math" w:cs="Times New Roman"/>
                  </w:rPr>
                </m:ctrlPr>
              </m:e>
            </m:d>
            <m:ctrlPr>
              <w:rPr>
                <w:rFonts w:ascii="Cambria Math" w:hAnsi="Cambria Math" w:cs="Times New Roman"/>
              </w:rPr>
            </m:ctrlPr>
          </m:sup>
        </m:sSubSup>
      </m:oMath>
      <w:r>
        <w:rPr>
          <w:rFonts w:ascii="Times New Roman" w:hAnsi="Times New Roman" w:cs="Times New Roman"/>
        </w:rPr>
        <w:t xml:space="preserve">is the score of material </w:t>
      </w:r>
      <m:oMath>
        <m:r>
          <m:rPr/>
          <w:rPr>
            <w:rFonts w:ascii="Cambria Math" w:hAnsi="Cambria Math" w:cs="Times New Roman"/>
          </w:rPr>
          <m:t>i</m:t>
        </m:r>
      </m:oMath>
      <w:r>
        <w:rPr>
          <w:rFonts w:ascii="Times New Roman" w:hAnsi="Times New Roman" w:cs="Times New Roman"/>
        </w:rPr>
        <w:t xml:space="preserve">on retained component </w:t>
      </w:r>
      <m:oMath>
        <m:r>
          <m:rPr/>
          <w:rPr>
            <w:rFonts w:ascii="Cambria Math" w:hAnsi="Cambria Math" w:cs="Times New Roman"/>
          </w:rPr>
          <m:t>j</m:t>
        </m:r>
      </m:oMath>
      <w:r>
        <w:rPr>
          <w:rFonts w:ascii="Times New Roman" w:hAnsi="Times New Roman" w:cs="Times New Roman"/>
        </w:rPr>
        <w:t xml:space="preserve">, and </w:t>
      </w:r>
      <m:oMath>
        <m:sSubSup>
          <m:sSubSupPr>
            <m:ctrlPr>
              <w:rPr>
                <w:rFonts w:ascii="Cambria Math" w:hAnsi="Cambria Math" w:cs="Times New Roman"/>
              </w:rPr>
            </m:ctrlPr>
          </m:sSubSup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z,j</m:t>
            </m:r>
            <m:ctrlPr>
              <w:rPr>
                <w:rFonts w:ascii="Cambria Math" w:hAnsi="Cambria Math" w:cs="Times New Roman"/>
              </w:rPr>
            </m:ctrlPr>
          </m:sub>
          <m:sup>
            <m:d>
              <m:dPr>
                <m:ctrlPr>
                  <w:rPr>
                    <w:rFonts w:ascii="Cambria Math" w:hAnsi="Cambria Math" w:cs="Times New Roman"/>
                  </w:rPr>
                </m:ctrlPr>
              </m:dPr>
              <m:e>
                <m:r>
                  <m:rPr/>
                  <w:rPr>
                    <w:rFonts w:ascii="Cambria Math" w:hAnsi="Cambria Math" w:cs="Times New Roman"/>
                  </w:rPr>
                  <m:t>α</m:t>
                </m:r>
                <m:ctrlPr>
                  <w:rPr>
                    <w:rFonts w:ascii="Cambria Math" w:hAnsi="Cambria Math" w:cs="Times New Roman"/>
                  </w:rPr>
                </m:ctrlPr>
              </m:e>
            </m:d>
            <m:ctrlPr>
              <w:rPr>
                <w:rFonts w:ascii="Cambria Math" w:hAnsi="Cambria Math" w:cs="Times New Roman"/>
              </w:rPr>
            </m:ctrlPr>
          </m:sup>
        </m:sSubSup>
      </m:oMath>
      <w:r>
        <w:rPr>
          <w:rFonts w:ascii="Times New Roman" w:hAnsi="Times New Roman" w:cs="Times New Roman"/>
        </w:rPr>
        <w:t xml:space="preserve">and </w:t>
      </w:r>
      <m:oMath>
        <m:sSubSup>
          <m:sSubSupPr>
            <m:ctrlPr>
              <w:rPr>
                <w:rFonts w:ascii="Cambria Math" w:hAnsi="Cambria Math" w:cs="Times New Roman"/>
              </w:rPr>
            </m:ctrlPr>
          </m:sSubSupPr>
          <m:e>
            <m:r>
              <m:rPr/>
              <w:rPr>
                <w:rFonts w:ascii="Cambria Math" w:hAnsi="Cambria Math" w:cs="Times New Roman"/>
              </w:rPr>
              <m:t>s</m:t>
            </m:r>
            <m:ctrlPr>
              <w:rPr>
                <w:rFonts w:ascii="Cambria Math" w:hAnsi="Cambria Math" w:cs="Times New Roman"/>
              </w:rPr>
            </m:ctrlPr>
          </m:e>
          <m:sub>
            <m:r>
              <m:rPr/>
              <w:rPr>
                <w:rFonts w:ascii="Cambria Math" w:hAnsi="Cambria Math" w:cs="Times New Roman"/>
              </w:rPr>
              <m:t>z,j</m:t>
            </m:r>
            <m:ctrlPr>
              <w:rPr>
                <w:rFonts w:ascii="Cambria Math" w:hAnsi="Cambria Math" w:cs="Times New Roman"/>
              </w:rPr>
            </m:ctrlPr>
          </m:sub>
          <m:sup>
            <m:d>
              <m:dPr>
                <m:ctrlPr>
                  <w:rPr>
                    <w:rFonts w:ascii="Cambria Math" w:hAnsi="Cambria Math" w:cs="Times New Roman"/>
                  </w:rPr>
                </m:ctrlPr>
              </m:dPr>
              <m:e>
                <m:r>
                  <m:rPr/>
                  <w:rPr>
                    <w:rFonts w:ascii="Cambria Math" w:hAnsi="Cambria Math" w:cs="Times New Roman"/>
                  </w:rPr>
                  <m:t>α</m:t>
                </m:r>
                <m:ctrlPr>
                  <w:rPr>
                    <w:rFonts w:ascii="Cambria Math" w:hAnsi="Cambria Math" w:cs="Times New Roman"/>
                  </w:rPr>
                </m:ctrlPr>
              </m:e>
            </m:d>
            <m:ctrlPr>
              <w:rPr>
                <w:rFonts w:ascii="Cambria Math" w:hAnsi="Cambria Math" w:cs="Times New Roman"/>
              </w:rPr>
            </m:ctrlPr>
          </m:sup>
        </m:sSubSup>
      </m:oMath>
      <w:r>
        <w:rPr>
          <w:rFonts w:ascii="Times New Roman" w:hAnsi="Times New Roman" w:cs="Times New Roman"/>
        </w:rPr>
        <w:t>are the corresponding mean and standard deviation. This second scaling step placed the retained components on comparable numerical scales and prevented the components explaining the largest variance from dominating GP distance calculations solely because of their PCA eigenvalues. The five BO input spaces and their preprocessing procedures are summarized in Supplementary Table 16.</w:t>
      </w:r>
    </w:p>
    <w:p>
      <w:pPr>
        <w:pStyle w:val="11"/>
        <w:jc w:val="center"/>
        <w:rPr>
          <w:rFonts w:cs="Times New Roman" w:eastAsiaTheme="minorEastAsia"/>
          <w:b/>
          <w:bCs w:val="0"/>
          <w:color w:val="auto"/>
        </w:rPr>
      </w:pPr>
      <w:r>
        <w:rPr>
          <w:rFonts w:cs="Times New Roman"/>
          <w:b/>
          <w:bCs w:val="0"/>
          <w:color w:val="auto"/>
        </w:rPr>
        <w:t>Supplementary Table 1</w:t>
      </w:r>
      <w:r>
        <w:rPr>
          <w:rFonts w:eastAsia="宋体" w:cs="Times New Roman"/>
          <w:b/>
          <w:bCs w:val="0"/>
          <w:color w:val="auto"/>
        </w:rPr>
        <w:t>6</w:t>
      </w:r>
      <w:r>
        <w:rPr>
          <w:rFonts w:cs="Times New Roman"/>
          <w:b/>
          <w:bCs w:val="0"/>
          <w:color w:val="auto"/>
        </w:rPr>
        <w:t xml:space="preserve"> | BO input spaces used in the RepMOBO benchmark</w:t>
      </w:r>
    </w:p>
    <w:tbl>
      <w:tblPr>
        <w:tblStyle w:val="21"/>
        <w:tblW w:w="8789"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2"/>
        <w:gridCol w:w="1842"/>
        <w:gridCol w:w="4111"/>
        <w:gridCol w:w="1134"/>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1702"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Input space</w:t>
            </w:r>
          </w:p>
        </w:tc>
        <w:tc>
          <w:tcPr>
            <w:tcW w:w="1842"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Source representation</w:t>
            </w:r>
          </w:p>
        </w:tc>
        <w:tc>
          <w:tcPr>
            <w:tcW w:w="4111"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Preprocessing</w:t>
            </w:r>
          </w:p>
        </w:tc>
        <w:tc>
          <w:tcPr>
            <w:tcW w:w="1134"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cs="Times New Roman"/>
                <w:b/>
                <w:bCs/>
                <w:sz w:val="20"/>
                <w:szCs w:val="20"/>
                <w:lang w:eastAsia="en-US"/>
              </w:rPr>
              <w:t>Dimension</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2"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w:t>
            </w:r>
          </w:p>
        </w:tc>
        <w:tc>
          <w:tcPr>
            <w:tcW w:w="1842"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descriptors</w:t>
            </w:r>
          </w:p>
        </w:tc>
        <w:tc>
          <w:tcPr>
            <w:tcW w:w="4111"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Feature-wise standardization</w:t>
            </w:r>
          </w:p>
        </w:tc>
        <w:tc>
          <w:tcPr>
            <w:tcW w:w="1134"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Hybrid-PCA80</w:t>
            </w:r>
          </w:p>
        </w:tc>
        <w:tc>
          <w:tcPr>
            <w:tcW w:w="184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411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Feature-wise standardization </w:t>
            </w:r>
            <m:oMath>
              <m:r>
                <m:rPr/>
                <w:rPr>
                  <w:rFonts w:ascii="Cambria Math" w:hAnsi="Cambria Math" w:cs="Times New Roman"/>
                  <w:sz w:val="20"/>
                  <w:szCs w:val="20"/>
                  <w:lang w:eastAsia="en-US"/>
                </w:rPr>
                <m:t>→</m:t>
              </m:r>
            </m:oMath>
            <w:r>
              <w:rPr>
                <w:rFonts w:ascii="Times New Roman" w:hAnsi="Times New Roman" w:cs="Times New Roman"/>
                <w:sz w:val="20"/>
                <w:szCs w:val="20"/>
                <w:lang w:eastAsia="en-US"/>
              </w:rPr>
              <w:t>PCA 80%</w:t>
            </w:r>
            <m:oMath>
              <m:r>
                <m:rPr/>
                <w:rPr>
                  <w:rFonts w:ascii="Cambria Math" w:hAnsi="Cambria Math" w:cs="Times New Roman"/>
                  <w:sz w:val="20"/>
                  <w:szCs w:val="20"/>
                  <w:lang w:eastAsia="en-US"/>
                </w:rPr>
                <m:t>→</m:t>
              </m:r>
            </m:oMath>
            <w:r>
              <w:rPr>
                <w:rFonts w:ascii="Times New Roman" w:hAnsi="Times New Roman" w:cs="Times New Roman"/>
                <w:sz w:val="20"/>
                <w:szCs w:val="20"/>
                <w:lang w:eastAsia="en-US"/>
              </w:rPr>
              <w:t>component-wise standardization</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41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Hybrid-PCA85</w:t>
            </w:r>
          </w:p>
        </w:tc>
        <w:tc>
          <w:tcPr>
            <w:tcW w:w="184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411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Feature-wise standardization </w:t>
            </w:r>
            <m:oMath>
              <m:r>
                <m:rPr/>
                <w:rPr>
                  <w:rFonts w:ascii="Cambria Math" w:hAnsi="Cambria Math" w:cs="Times New Roman"/>
                  <w:sz w:val="20"/>
                  <w:szCs w:val="20"/>
                  <w:lang w:eastAsia="en-US"/>
                </w:rPr>
                <m:t>→</m:t>
              </m:r>
            </m:oMath>
            <w:r>
              <w:rPr>
                <w:rFonts w:ascii="Times New Roman" w:hAnsi="Times New Roman" w:cs="Times New Roman"/>
                <w:sz w:val="20"/>
                <w:szCs w:val="20"/>
                <w:lang w:eastAsia="en-US"/>
              </w:rPr>
              <w:t>PCA 85%</w:t>
            </w:r>
            <m:oMath>
              <m:r>
                <m:rPr/>
                <w:rPr>
                  <w:rFonts w:ascii="Cambria Math" w:hAnsi="Cambria Math" w:cs="Times New Roman"/>
                  <w:sz w:val="20"/>
                  <w:szCs w:val="20"/>
                  <w:lang w:eastAsia="en-US"/>
                </w:rPr>
                <m:t>→</m:t>
              </m:r>
            </m:oMath>
            <w:r>
              <w:rPr>
                <w:rFonts w:ascii="Times New Roman" w:hAnsi="Times New Roman" w:cs="Times New Roman"/>
                <w:sz w:val="20"/>
                <w:szCs w:val="20"/>
                <w:lang w:eastAsia="en-US"/>
              </w:rPr>
              <w:t>component-wise standardization</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58</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Hybrid-PCA90</w:t>
            </w:r>
          </w:p>
        </w:tc>
        <w:tc>
          <w:tcPr>
            <w:tcW w:w="184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411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Feature-wise standardization </w:t>
            </w:r>
            <m:oMath>
              <m:r>
                <m:rPr/>
                <w:rPr>
                  <w:rFonts w:ascii="Cambria Math" w:hAnsi="Cambria Math" w:cs="Times New Roman"/>
                  <w:sz w:val="20"/>
                  <w:szCs w:val="20"/>
                  <w:lang w:eastAsia="en-US"/>
                </w:rPr>
                <m:t>→</m:t>
              </m:r>
            </m:oMath>
            <w:r>
              <w:rPr>
                <w:rFonts w:ascii="Times New Roman" w:hAnsi="Times New Roman" w:cs="Times New Roman"/>
                <w:sz w:val="20"/>
                <w:szCs w:val="20"/>
                <w:lang w:eastAsia="en-US"/>
              </w:rPr>
              <w:t>PCA 90%</w:t>
            </w:r>
            <m:oMath>
              <m:r>
                <m:rPr/>
                <w:rPr>
                  <w:rFonts w:ascii="Cambria Math" w:hAnsi="Cambria Math" w:cs="Times New Roman"/>
                  <w:sz w:val="20"/>
                  <w:szCs w:val="20"/>
                  <w:lang w:eastAsia="en-US"/>
                </w:rPr>
                <m:t>→</m:t>
              </m:r>
            </m:oMath>
            <w:r>
              <w:rPr>
                <w:rFonts w:ascii="Times New Roman" w:hAnsi="Times New Roman" w:cs="Times New Roman"/>
                <w:sz w:val="20"/>
                <w:szCs w:val="20"/>
                <w:lang w:eastAsia="en-US"/>
              </w:rPr>
              <w:t>component-wise standardization</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86</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0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Hybrid-PCA95</w:t>
            </w:r>
          </w:p>
        </w:tc>
        <w:tc>
          <w:tcPr>
            <w:tcW w:w="184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Manual + Uni-MOF</w:t>
            </w:r>
          </w:p>
        </w:tc>
        <w:tc>
          <w:tcPr>
            <w:tcW w:w="4111"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Feature-wise standardization </w:t>
            </w:r>
            <m:oMath>
              <m:r>
                <m:rPr/>
                <w:rPr>
                  <w:rFonts w:ascii="Cambria Math" w:hAnsi="Cambria Math" w:cs="Times New Roman"/>
                  <w:sz w:val="20"/>
                  <w:szCs w:val="20"/>
                  <w:lang w:eastAsia="en-US"/>
                </w:rPr>
                <m:t>→</m:t>
              </m:r>
            </m:oMath>
            <w:r>
              <w:rPr>
                <w:rFonts w:ascii="Times New Roman" w:hAnsi="Times New Roman" w:cs="Times New Roman"/>
                <w:sz w:val="20"/>
                <w:szCs w:val="20"/>
                <w:lang w:eastAsia="en-US"/>
              </w:rPr>
              <w:t>PCA 95%</w:t>
            </w:r>
            <m:oMath>
              <m:r>
                <m:rPr/>
                <w:rPr>
                  <w:rFonts w:ascii="Cambria Math" w:hAnsi="Cambria Math" w:cs="Times New Roman"/>
                  <w:sz w:val="20"/>
                  <w:szCs w:val="20"/>
                  <w:lang w:eastAsia="en-US"/>
                </w:rPr>
                <m:t>→</m:t>
              </m:r>
            </m:oMath>
            <w:r>
              <w:rPr>
                <w:rFonts w:ascii="Times New Roman" w:hAnsi="Times New Roman" w:cs="Times New Roman"/>
                <w:sz w:val="20"/>
                <w:szCs w:val="20"/>
                <w:lang w:eastAsia="en-US"/>
              </w:rPr>
              <w:t>component-wise standardization</w:t>
            </w:r>
          </w:p>
        </w:tc>
        <w:tc>
          <w:tcPr>
            <w:tcW w:w="1134"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145</w:t>
            </w:r>
          </w:p>
        </w:tc>
      </w:tr>
    </w:tbl>
    <w:p>
      <w:pPr>
        <w:rPr>
          <w:rFonts w:ascii="Times New Roman" w:hAnsi="Times New Roman" w:cs="Times New Roman"/>
        </w:rPr>
      </w:pP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S6.2 Gaussian-process surrogate, covariance parameterization and candidate-selection policies</w:t>
      </w:r>
    </w:p>
    <w:p>
      <w:pPr>
        <w:ind w:firstLine="420"/>
        <w:rPr>
          <w:rFonts w:ascii="Times New Roman" w:hAnsi="Times New Roman" w:cs="Times New Roman"/>
          <w:b/>
          <w:bCs/>
        </w:rPr>
      </w:pPr>
      <w:r>
        <w:rPr>
          <w:rFonts w:ascii="Times New Roman" w:hAnsi="Times New Roman" w:cs="Times New Roman"/>
        </w:rPr>
        <w:t>Model-guided Bayesian optimization comprised two coupled components: a probabilistic surrogate model and a candidate-selection rule. The surrogate estimated the adsorption responses and associated predictive uncertainty of the unqueried MOFs, whereas the selection rule converted these posterior distributions into priorities for the next candidate batch. The same Gaussian-process architecture was paired with either uncertainty-aware qEHVI or deterministic posterior-mean Greedy selection.</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6.2.1 Objective-specific Gaussian-process surrogate</w:t>
      </w:r>
    </w:p>
    <w:p>
      <w:pPr>
        <w:ind w:firstLine="420"/>
        <w:rPr>
          <w:rFonts w:ascii="Times New Roman" w:hAnsi="Times New Roman" w:cs="Times New Roman"/>
        </w:rPr>
      </w:pPr>
      <w:r>
        <w:rPr>
          <w:rFonts w:ascii="Times New Roman" w:hAnsi="Times New Roman" w:cs="Times New Roman"/>
        </w:rPr>
        <w:t xml:space="preserve">At optimization iteration </w:t>
      </w:r>
      <m:oMath>
        <m:r>
          <m:rPr/>
          <w:rPr>
            <w:rFonts w:ascii="Cambria Math" w:hAnsi="Cambria Math" w:cs="Times New Roman"/>
          </w:rPr>
          <m:t>t</m:t>
        </m:r>
      </m:oMath>
      <w:r>
        <w:rPr>
          <w:rFonts w:ascii="Times New Roman" w:hAnsi="Times New Roman" w:cs="Times New Roman"/>
        </w:rPr>
        <w:t xml:space="preserve">, let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denote the cumulative set of queried MOFs and let</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sz w:val="20"/>
                <w:szCs w:val="20"/>
              </w:rPr>
            </m:ctrlPr>
          </m:sSubSupPr>
          <m:e>
            <m:r>
              <m:rPr/>
              <w:rPr>
                <w:rFonts w:ascii="Cambria Math" w:hAnsi="Cambria Math" w:cs="Times New Roman"/>
                <w:sz w:val="20"/>
                <w:szCs w:val="20"/>
              </w:rPr>
              <m:t>X</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r</m:t>
                </m:r>
                <m:ctrlPr>
                  <w:rPr>
                    <w:rFonts w:ascii="Cambria Math" w:hAnsi="Cambria Math" w:cs="Times New Roman"/>
                    <w:sz w:val="20"/>
                    <w:szCs w:val="20"/>
                  </w:rPr>
                </m:ctrlPr>
              </m:e>
            </m:d>
            <m:ctrlPr>
              <w:rPr>
                <w:rFonts w:ascii="Cambria Math" w:hAnsi="Cambria Math" w:cs="Times New Roman"/>
                <w:sz w:val="20"/>
                <w:szCs w:val="20"/>
              </w:rPr>
            </m:ctrlPr>
          </m:sup>
        </m:sSubSup>
        <m:r>
          <m:rPr/>
          <w:rPr>
            <w:rFonts w:ascii="Cambria Math" w:hAnsi="Cambria Math" w:cs="Times New Roman"/>
            <w:sz w:val="20"/>
            <w:szCs w:val="20"/>
          </w:rPr>
          <m:t>=</m:t>
        </m:r>
        <m:sSup>
          <m:sSupPr>
            <m:ctrlPr>
              <w:rPr>
                <w:rFonts w:ascii="Cambria Math" w:hAnsi="Cambria Math" w:cs="Times New Roman"/>
                <w:sz w:val="20"/>
                <w:szCs w:val="20"/>
              </w:rPr>
            </m:ctrlPr>
          </m:sSupPr>
          <m:e>
            <m:d>
              <m:dPr>
                <m:begChr m:val="["/>
                <m:endChr m:val="]"/>
                <m:ctrlPr>
                  <w:rPr>
                    <w:rFonts w:ascii="Cambria Math" w:hAnsi="Cambria Math" w:cs="Times New Roman"/>
                    <w:sz w:val="20"/>
                    <w:szCs w:val="20"/>
                  </w:rPr>
                </m:ctrlPr>
              </m:dPr>
              <m:e>
                <m:sSubSup>
                  <m:sSubSupPr>
                    <m:ctrlPr>
                      <w:rPr>
                        <w:rFonts w:ascii="Cambria Math" w:hAnsi="Cambria Math" w:cs="Times New Roman"/>
                        <w:sz w:val="20"/>
                        <w:szCs w:val="20"/>
                      </w:rPr>
                    </m:ctrlPr>
                  </m:sSubSupPr>
                  <m:e>
                    <m:r>
                      <m:rPr>
                        <m:sty m:val="b"/>
                      </m:rPr>
                      <w:rPr>
                        <w:rFonts w:ascii="Cambria Math" w:hAnsi="Cambria Math" w:cs="Times New Roman"/>
                        <w:sz w:val="20"/>
                        <w:szCs w:val="20"/>
                      </w:rPr>
                      <m:t>x</m:t>
                    </m:r>
                    <m:ctrlPr>
                      <w:rPr>
                        <w:rFonts w:ascii="Cambria Math" w:hAnsi="Cambria Math" w:cs="Times New Roman"/>
                        <w:sz w:val="20"/>
                        <w:szCs w:val="20"/>
                      </w:rPr>
                    </m:ctrlPr>
                  </m:e>
                  <m:sub>
                    <m:sSub>
                      <m:sSubPr>
                        <m:ctrlPr>
                          <w:rPr>
                            <w:rFonts w:ascii="Cambria Math" w:hAnsi="Cambria Math" w:cs="Times New Roman"/>
                            <w:sz w:val="20"/>
                            <w:szCs w:val="20"/>
                          </w:rPr>
                        </m:ctrlPr>
                      </m:sSubPr>
                      <m:e>
                        <m:r>
                          <m:rPr/>
                          <w:rPr>
                            <w:rFonts w:ascii="Cambria Math" w:hAnsi="Cambria Math" w:cs="Times New Roman"/>
                            <w:sz w:val="20"/>
                            <w:szCs w:val="20"/>
                          </w:rPr>
                          <m:t>i</m:t>
                        </m:r>
                        <m:ctrlPr>
                          <w:rPr>
                            <w:rFonts w:ascii="Cambria Math" w:hAnsi="Cambria Math" w:cs="Times New Roman"/>
                            <w:sz w:val="20"/>
                            <w:szCs w:val="20"/>
                          </w:rPr>
                        </m:ctrlPr>
                      </m:e>
                      <m:sub>
                        <m:r>
                          <m:rPr/>
                          <w:rPr>
                            <w:rFonts w:ascii="Cambria Math" w:hAnsi="Cambria Math" w:cs="Times New Roman"/>
                            <w:sz w:val="20"/>
                            <w:szCs w:val="20"/>
                          </w:rPr>
                          <m:t>1</m:t>
                        </m:r>
                        <m:ctrlPr>
                          <w:rPr>
                            <w:rFonts w:ascii="Cambria Math" w:hAnsi="Cambria Math" w:cs="Times New Roman"/>
                            <w:sz w:val="20"/>
                            <w:szCs w:val="20"/>
                          </w:rPr>
                        </m:ctrlPr>
                      </m:sub>
                    </m:sSub>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r</m:t>
                        </m:r>
                        <m:ctrlPr>
                          <w:rPr>
                            <w:rFonts w:ascii="Cambria Math" w:hAnsi="Cambria Math" w:cs="Times New Roman"/>
                            <w:sz w:val="20"/>
                            <w:szCs w:val="20"/>
                          </w:rPr>
                        </m:ctrlPr>
                      </m:e>
                    </m:d>
                    <m:ctrlPr>
                      <w:rPr>
                        <w:rFonts w:ascii="Cambria Math" w:hAnsi="Cambria Math" w:cs="Times New Roman"/>
                        <w:sz w:val="20"/>
                        <w:szCs w:val="20"/>
                      </w:rPr>
                    </m:ctrlPr>
                  </m:sup>
                </m:sSubSup>
                <m:r>
                  <m:rPr/>
                  <w:rPr>
                    <w:rFonts w:ascii="Cambria Math" w:hAnsi="Cambria Math" w:cs="Times New Roman"/>
                    <w:sz w:val="20"/>
                    <w:szCs w:val="20"/>
                  </w:rPr>
                  <m:t>,…,</m:t>
                </m:r>
                <m:sSubSup>
                  <m:sSubSupPr>
                    <m:ctrlPr>
                      <w:rPr>
                        <w:rFonts w:ascii="Cambria Math" w:hAnsi="Cambria Math" w:cs="Times New Roman"/>
                        <w:sz w:val="20"/>
                        <w:szCs w:val="20"/>
                      </w:rPr>
                    </m:ctrlPr>
                  </m:sSubSupPr>
                  <m:e>
                    <m:r>
                      <m:rPr>
                        <m:sty m:val="b"/>
                      </m:rPr>
                      <w:rPr>
                        <w:rFonts w:ascii="Cambria Math" w:hAnsi="Cambria Math" w:cs="Times New Roman"/>
                        <w:sz w:val="20"/>
                        <w:szCs w:val="20"/>
                      </w:rPr>
                      <m:t>x</m:t>
                    </m:r>
                    <m:ctrlPr>
                      <w:rPr>
                        <w:rFonts w:ascii="Cambria Math" w:hAnsi="Cambria Math" w:cs="Times New Roman"/>
                        <w:sz w:val="20"/>
                        <w:szCs w:val="20"/>
                      </w:rPr>
                    </m:ctrlPr>
                  </m:e>
                  <m:sub>
                    <m:sSub>
                      <m:sSubPr>
                        <m:ctrlPr>
                          <w:rPr>
                            <w:rFonts w:ascii="Cambria Math" w:hAnsi="Cambria Math" w:cs="Times New Roman"/>
                            <w:sz w:val="20"/>
                            <w:szCs w:val="20"/>
                          </w:rPr>
                        </m:ctrlPr>
                      </m:sSubPr>
                      <m:e>
                        <m:r>
                          <m:rPr/>
                          <w:rPr>
                            <w:rFonts w:ascii="Cambria Math" w:hAnsi="Cambria Math" w:cs="Times New Roman"/>
                            <w:sz w:val="20"/>
                            <w:szCs w:val="20"/>
                          </w:rPr>
                          <m:t>i</m:t>
                        </m:r>
                        <m:ctrlPr>
                          <w:rPr>
                            <w:rFonts w:ascii="Cambria Math" w:hAnsi="Cambria Math" w:cs="Times New Roman"/>
                            <w:sz w:val="20"/>
                            <w:szCs w:val="20"/>
                          </w:rPr>
                        </m:ctrlPr>
                      </m:e>
                      <m:sub>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ctrlPr>
                          <w:rPr>
                            <w:rFonts w:ascii="Cambria Math" w:hAnsi="Cambria Math" w:cs="Times New Roman"/>
                            <w:sz w:val="20"/>
                            <w:szCs w:val="20"/>
                          </w:rPr>
                        </m:ctrlPr>
                      </m:sub>
                    </m:sSub>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r</m:t>
                        </m:r>
                        <m:ctrlPr>
                          <w:rPr>
                            <w:rFonts w:ascii="Cambria Math" w:hAnsi="Cambria Math" w:cs="Times New Roman"/>
                            <w:sz w:val="20"/>
                            <w:szCs w:val="20"/>
                          </w:rPr>
                        </m:ctrlPr>
                      </m:e>
                    </m:d>
                    <m:ctrlPr>
                      <w:rPr>
                        <w:rFonts w:ascii="Cambria Math" w:hAnsi="Cambria Math" w:cs="Times New Roman"/>
                        <w:sz w:val="20"/>
                        <w:szCs w:val="20"/>
                      </w:rPr>
                    </m:ctrlPr>
                  </m:sup>
                </m:sSubSup>
                <m:ctrlPr>
                  <w:rPr>
                    <w:rFonts w:ascii="Cambria Math" w:hAnsi="Cambria Math" w:cs="Times New Roman"/>
                    <w:sz w:val="20"/>
                    <w:szCs w:val="20"/>
                  </w:rPr>
                </m:ctrlPr>
              </m:e>
            </m:d>
            <m:ctrlPr>
              <w:rPr>
                <w:rFonts w:ascii="Cambria Math" w:hAnsi="Cambria Math" w:cs="Times New Roman"/>
                <w:sz w:val="20"/>
                <w:szCs w:val="20"/>
              </w:rPr>
            </m:ctrlPr>
          </m:e>
          <m:sup>
            <m:r>
              <m:rPr>
                <m:sty m:val="p"/>
                <m:scr m:val="sans-serif"/>
              </m:rPr>
              <w:rPr>
                <w:rFonts w:ascii="Cambria Math" w:hAnsi="Cambria Math" w:eastAsia="MS Mincho" w:cs="Times New Roman"/>
                <w:sz w:val="20"/>
                <w:szCs w:val="20"/>
              </w:rPr>
              <m:t>T</m:t>
            </m:r>
            <m:ctrlPr>
              <w:rPr>
                <w:rFonts w:ascii="Cambria Math" w:hAnsi="Cambria Math" w:cs="Times New Roman"/>
                <w:sz w:val="20"/>
                <w:szCs w:val="20"/>
              </w:rPr>
            </m:ctrlPr>
          </m:sup>
        </m:sSup>
        <m:r>
          <m:rPr/>
          <w:rPr>
            <w:rFonts w:ascii="Cambria Math" w:hAnsi="Cambria Math" w:cs="Times New Roman"/>
            <w:sz w:val="20"/>
            <w:szCs w:val="20"/>
          </w:rPr>
          <m:t>∈</m:t>
        </m:r>
        <m:sSup>
          <m:sSupPr>
            <m:ctrlPr>
              <w:rPr>
                <w:rFonts w:ascii="Cambria Math" w:hAnsi="Cambria Math" w:cs="Times New Roman"/>
                <w:sz w:val="20"/>
                <w:szCs w:val="20"/>
              </w:rPr>
            </m:ctrlPr>
          </m:sSupPr>
          <m:e>
            <m:r>
              <m:rPr/>
              <w:rPr>
                <w:rFonts w:ascii="Cambria Math" w:hAnsi="Cambria Math" w:cs="Times New Roman"/>
                <w:sz w:val="20"/>
                <w:szCs w:val="20"/>
              </w:rPr>
              <m:t>R</m:t>
            </m:r>
            <m:ctrlPr>
              <w:rPr>
                <w:rFonts w:ascii="Cambria Math" w:hAnsi="Cambria Math" w:cs="Times New Roman"/>
                <w:sz w:val="20"/>
                <w:szCs w:val="20"/>
              </w:rPr>
            </m:ctrlPr>
          </m:e>
          <m:sup>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d</m:t>
                </m:r>
                <m:ctrlPr>
                  <w:rPr>
                    <w:rFonts w:ascii="Cambria Math" w:hAnsi="Cambria Math" w:cs="Times New Roman"/>
                    <w:sz w:val="20"/>
                    <w:szCs w:val="20"/>
                  </w:rPr>
                </m:ctrlPr>
              </m:e>
              <m:sub>
                <m:r>
                  <m:rPr/>
                  <w:rPr>
                    <w:rFonts w:ascii="Cambria Math" w:hAnsi="Cambria Math" w:cs="Times New Roman"/>
                    <w:sz w:val="20"/>
                    <w:szCs w:val="20"/>
                  </w:rPr>
                  <m:t>r</m:t>
                </m:r>
                <m:ctrlPr>
                  <w:rPr>
                    <w:rFonts w:ascii="Cambria Math" w:hAnsi="Cambria Math" w:cs="Times New Roman"/>
                    <w:sz w:val="20"/>
                    <w:szCs w:val="20"/>
                  </w:rPr>
                </m:ctrlPr>
              </m:sub>
            </m:sSub>
            <m:ctrlPr>
              <w:rPr>
                <w:rFonts w:ascii="Cambria Math" w:hAnsi="Cambria Math" w:cs="Times New Roman"/>
                <w:sz w:val="20"/>
                <w:szCs w:val="20"/>
              </w:rPr>
            </m:ctrlPr>
          </m:sup>
        </m:sSup>
      </m:oMath>
      <w:r>
        <w:rPr>
          <w:rFonts w:ascii="Times New Roman" w:hAnsi="Times New Roman" w:cs="Times New Roman"/>
          <w:sz w:val="20"/>
          <w:szCs w:val="20"/>
        </w:rPr>
        <w:tab/>
      </w:r>
      <w:r>
        <w:rPr>
          <w:rFonts w:ascii="Times New Roman" w:hAnsi="Times New Roman" w:cs="Times New Roman"/>
          <w:sz w:val="20"/>
          <w:szCs w:val="20"/>
        </w:rPr>
        <w:t>(34)</w:t>
      </w:r>
    </w:p>
    <w:p>
      <w:pPr>
        <w:rPr>
          <w:rFonts w:ascii="Times New Roman" w:hAnsi="Times New Roman" w:cs="Times New Roman"/>
        </w:rPr>
      </w:pPr>
      <w:r>
        <w:rPr>
          <w:rFonts w:ascii="Times New Roman" w:hAnsi="Times New Roman" w:cs="Times New Roman"/>
        </w:rPr>
        <w:t xml:space="preserve">denote their coordinates in BO input space </w:t>
      </w:r>
      <m:oMath>
        <m:r>
          <m:rPr/>
          <w:rPr>
            <w:rFonts w:ascii="Cambria Math" w:hAnsi="Cambria Math" w:cs="Times New Roman"/>
          </w:rPr>
          <m:t>r</m:t>
        </m:r>
      </m:oMath>
      <w:r>
        <w:rPr>
          <w:rFonts w:ascii="Times New Roman" w:hAnsi="Times New Roman" w:cs="Times New Roman"/>
        </w:rPr>
        <w:t xml:space="preserve">, where </w:t>
      </w:r>
      <m:oMath>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r>
          <m:rPr>
            <m:sty m:val="p"/>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m:sty m:val="p"/>
          </m:rPr>
          <w:rPr>
            <w:rFonts w:ascii="Cambria Math" w:hAnsi="Cambria Math" w:cs="Times New Roman"/>
          </w:rPr>
          <m:t xml:space="preserve">∣ </m:t>
        </m:r>
      </m:oMath>
      <w:r>
        <w:rPr>
          <w:rFonts w:ascii="Times New Roman" w:hAnsi="Times New Roman" w:cs="Times New Roman"/>
        </w:rPr>
        <w:t xml:space="preserve">and </w:t>
      </w:r>
      <m:oMath>
        <m:r>
          <m:rPr/>
          <w:rPr>
            <w:rFonts w:ascii="Cambria Math" w:hAnsi="Cambria Math" w:cs="Times New Roman"/>
          </w:rPr>
          <m:t>r∈{</m:t>
        </m:r>
        <m:phant>
          <m:phantPr>
            <m:ctrlPr>
              <w:rPr>
                <w:rFonts w:ascii="Cambria Math" w:hAnsi="Cambria Math" w:cs="Times New Roman"/>
              </w:rPr>
            </m:ctrlPr>
          </m:phantPr>
          <m:e>
            <m:r>
              <m:rPr>
                <m:sty m:val="p"/>
              </m:rPr>
              <w:rPr>
                <w:rFonts w:ascii="Cambria Math" w:hAnsi="Cambria Math" w:cs="Times New Roman"/>
              </w:rPr>
              <m:t>Manual</m:t>
            </m:r>
            <m:ctrlPr>
              <w:rPr>
                <w:rFonts w:ascii="Cambria Math" w:hAnsi="Cambria Math" w:cs="Times New Roman"/>
              </w:rPr>
            </m:ctrlPr>
          </m:e>
        </m:phant>
        <m:r>
          <m:rPr/>
          <w:rPr>
            <w:rFonts w:ascii="Cambria Math" w:hAnsi="Cambria Math" w:cs="Times New Roman"/>
          </w:rPr>
          <m:t>,</m:t>
        </m:r>
        <m:phant>
          <m:phantPr>
            <m:ctrlPr>
              <w:rPr>
                <w:rFonts w:ascii="Cambria Math" w:hAnsi="Cambria Math" w:cs="Times New Roman"/>
              </w:rPr>
            </m:ctrlPr>
          </m:phantPr>
          <m:e>
            <m:r>
              <m:rPr>
                <m:sty m:val="p"/>
              </m:rPr>
              <w:rPr>
                <w:rFonts w:ascii="Cambria Math" w:hAnsi="Cambria Math" w:cs="Times New Roman"/>
              </w:rPr>
              <m:t>P8</m:t>
            </m:r>
            <m:ctrlPr>
              <w:rPr>
                <w:rFonts w:ascii="Cambria Math" w:hAnsi="Cambria Math" w:cs="Times New Roman"/>
              </w:rPr>
            </m:ctrlPr>
          </m:e>
        </m:phant>
        <m:r>
          <m:rPr/>
          <w:rPr>
            <w:rFonts w:ascii="Cambria Math" w:hAnsi="Cambria Math" w:cs="Times New Roman"/>
          </w:rPr>
          <m:t>0,</m:t>
        </m:r>
        <m:phant>
          <m:phantPr>
            <m:ctrlPr>
              <w:rPr>
                <w:rFonts w:ascii="Cambria Math" w:hAnsi="Cambria Math" w:cs="Times New Roman"/>
              </w:rPr>
            </m:ctrlPr>
          </m:phantPr>
          <m:e>
            <m:r>
              <m:rPr>
                <m:sty m:val="p"/>
              </m:rPr>
              <w:rPr>
                <w:rFonts w:ascii="Cambria Math" w:hAnsi="Cambria Math" w:cs="Times New Roman"/>
              </w:rPr>
              <m:t>P8</m:t>
            </m:r>
            <m:ctrlPr>
              <w:rPr>
                <w:rFonts w:ascii="Cambria Math" w:hAnsi="Cambria Math" w:cs="Times New Roman"/>
              </w:rPr>
            </m:ctrlPr>
          </m:e>
        </m:phant>
        <m:r>
          <m:rPr/>
          <w:rPr>
            <w:rFonts w:ascii="Cambria Math" w:hAnsi="Cambria Math" w:cs="Times New Roman"/>
          </w:rPr>
          <m:t>5,</m:t>
        </m:r>
        <m:phant>
          <m:phantPr>
            <m:ctrlPr>
              <w:rPr>
                <w:rFonts w:ascii="Cambria Math" w:hAnsi="Cambria Math" w:cs="Times New Roman"/>
              </w:rPr>
            </m:ctrlPr>
          </m:phantPr>
          <m:e>
            <m:r>
              <m:rPr>
                <m:sty m:val="p"/>
              </m:rPr>
              <w:rPr>
                <w:rFonts w:ascii="Cambria Math" w:hAnsi="Cambria Math" w:cs="Times New Roman"/>
              </w:rPr>
              <m:t>P9</m:t>
            </m:r>
            <m:ctrlPr>
              <w:rPr>
                <w:rFonts w:ascii="Cambria Math" w:hAnsi="Cambria Math" w:cs="Times New Roman"/>
              </w:rPr>
            </m:ctrlPr>
          </m:e>
        </m:phant>
        <m:r>
          <m:rPr/>
          <w:rPr>
            <w:rFonts w:ascii="Cambria Math" w:hAnsi="Cambria Math" w:cs="Times New Roman"/>
          </w:rPr>
          <m:t>0,</m:t>
        </m:r>
        <m:phant>
          <m:phantPr>
            <m:ctrlPr>
              <w:rPr>
                <w:rFonts w:ascii="Cambria Math" w:hAnsi="Cambria Math" w:cs="Times New Roman"/>
              </w:rPr>
            </m:ctrlPr>
          </m:phantPr>
          <m:e>
            <m:r>
              <m:rPr>
                <m:sty m:val="p"/>
              </m:rPr>
              <w:rPr>
                <w:rFonts w:ascii="Cambria Math" w:hAnsi="Cambria Math" w:cs="Times New Roman"/>
              </w:rPr>
              <m:t>P9</m:t>
            </m:r>
            <m:ctrlPr>
              <w:rPr>
                <w:rFonts w:ascii="Cambria Math" w:hAnsi="Cambria Math" w:cs="Times New Roman"/>
              </w:rPr>
            </m:ctrlPr>
          </m:e>
        </m:phant>
        <m:r>
          <m:rPr/>
          <w:rPr>
            <w:rFonts w:ascii="Cambria Math" w:hAnsi="Cambria Math" w:cs="Times New Roman"/>
          </w:rPr>
          <m:t>5}</m:t>
        </m:r>
      </m:oMath>
      <w:r>
        <w:rPr>
          <w:rFonts w:ascii="Times New Roman" w:hAnsi="Times New Roman" w:cs="Times New Roman"/>
        </w:rPr>
        <w:t xml:space="preserve">. For adsorption objective </w:t>
      </w:r>
      <m:oMath>
        <m:r>
          <m:rPr/>
          <w:rPr>
            <w:rFonts w:ascii="Cambria Math" w:hAnsi="Cambria Math" w:cs="Times New Roman"/>
          </w:rPr>
          <m:t>k∈{</m:t>
        </m:r>
        <m:phant>
          <m:phantPr>
            <m:ctrlPr>
              <w:rPr>
                <w:rFonts w:ascii="Cambria Math" w:hAnsi="Cambria Math" w:cs="Times New Roman"/>
              </w:rPr>
            </m:ctrlPr>
          </m:phantPr>
          <m:e>
            <m:r>
              <m:rPr>
                <m:sty m:val="p"/>
              </m:rPr>
              <w:rPr>
                <w:rFonts w:ascii="Cambria Math" w:hAnsi="Cambria Math" w:cs="Times New Roman"/>
              </w:rPr>
              <m:t>CEES</m:t>
            </m:r>
            <m:ctrlPr>
              <w:rPr>
                <w:rFonts w:ascii="Cambria Math" w:hAnsi="Cambria Math" w:cs="Times New Roman"/>
              </w:rPr>
            </m:ctrlPr>
          </m:e>
        </m:phant>
        <m:r>
          <m:rPr/>
          <w:rPr>
            <w:rFonts w:ascii="Cambria Math" w:hAnsi="Cambria Math" w:cs="Times New Roman"/>
          </w:rPr>
          <m:t>,</m:t>
        </m:r>
        <m:phant>
          <m:phantPr>
            <m:ctrlPr>
              <w:rPr>
                <w:rFonts w:ascii="Cambria Math" w:hAnsi="Cambria Math" w:cs="Times New Roman"/>
              </w:rPr>
            </m:ctrlPr>
          </m:phantPr>
          <m:e>
            <m:r>
              <m:rPr>
                <m:sty m:val="p"/>
              </m:rPr>
              <w:rPr>
                <w:rFonts w:ascii="Cambria Math" w:hAnsi="Cambria Math" w:cs="Times New Roman"/>
              </w:rPr>
              <m:t>DMMP</m:t>
            </m:r>
            <m:ctrlPr>
              <w:rPr>
                <w:rFonts w:ascii="Cambria Math" w:hAnsi="Cambria Math" w:cs="Times New Roman"/>
              </w:rPr>
            </m:ctrlPr>
          </m:e>
        </m:phant>
        <m:r>
          <m:rPr/>
          <w:rPr>
            <w:rFonts w:ascii="Cambria Math" w:hAnsi="Cambria Math" w:cs="Times New Roman"/>
          </w:rPr>
          <m:t>,</m:t>
        </m:r>
        <m:phant>
          <m:phantPr>
            <m:ctrlPr>
              <w:rPr>
                <w:rFonts w:ascii="Cambria Math" w:hAnsi="Cambria Math" w:cs="Times New Roman"/>
              </w:rPr>
            </m:ctrlPr>
          </m:phantPr>
          <m:e>
            <m:r>
              <m:rPr>
                <m:sty m:val="p"/>
              </m:rPr>
              <w:rPr>
                <w:rFonts w:ascii="Cambria Math" w:hAnsi="Cambria Math" w:cs="Times New Roman"/>
              </w:rPr>
              <m:t>EtCl</m:t>
            </m:r>
            <m:ctrlPr>
              <w:rPr>
                <w:rFonts w:ascii="Cambria Math" w:hAnsi="Cambria Math" w:cs="Times New Roman"/>
              </w:rPr>
            </m:ctrlPr>
          </m:e>
        </m:phant>
        <m:r>
          <m:rPr/>
          <w:rPr>
            <w:rFonts w:ascii="Cambria Math" w:hAnsi="Cambria Math" w:cs="Times New Roman"/>
          </w:rPr>
          <m:t>},</m:t>
        </m:r>
      </m:oMath>
      <w:r>
        <w:rPr>
          <w:rFonts w:ascii="Times New Roman" w:hAnsi="Times New Roman" w:cs="Times New Roman"/>
        </w:rPr>
        <w:t xml:space="preserve"> the corresponding response vector was </w:t>
      </w:r>
      <m:oMath>
        <m:sSub>
          <m:sSubPr>
            <m:ctrlPr>
              <w:rPr>
                <w:rFonts w:ascii="Cambria Math" w:hAnsi="Cambria Math" w:cs="Times New Roman"/>
              </w:rPr>
            </m:ctrlPr>
          </m:sSubPr>
          <m:e>
            <m:r>
              <m:rPr>
                <m:sty m:val="b"/>
              </m:rPr>
              <w:rPr>
                <w:rFonts w:ascii="Cambria Math" w:hAnsi="Cambria Math" w:cs="Times New Roman"/>
              </w:rPr>
              <m:t>y</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t>
        </m:r>
        <m:sSup>
          <m:sSupPr>
            <m:ctrlPr>
              <w:rPr>
                <w:rFonts w:ascii="Cambria Math" w:hAnsi="Cambria Math" w:cs="Times New Roman"/>
              </w:rPr>
            </m:ctrlPr>
          </m:sSupPr>
          <m:e>
            <m:d>
              <m:dPr>
                <m:begChr m:val="["/>
                <m:end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y</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i</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r>
                      <m:rPr/>
                      <w:rPr>
                        <w:rFonts w:ascii="Cambria Math" w:hAnsi="Cambria Math" w:cs="Times New Roman"/>
                      </w:rPr>
                      <m:t>,k</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y</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i</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sub>
                    </m:s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e>
            </m:d>
            <m:ctrlPr>
              <w:rPr>
                <w:rFonts w:ascii="Cambria Math" w:hAnsi="Cambria Math" w:cs="Times New Roman"/>
              </w:rPr>
            </m:ctrlPr>
          </m:e>
          <m:sup>
            <m:r>
              <m:rPr>
                <m:sty m:val="p"/>
                <m:scr m:val="sans-serif"/>
              </m:rPr>
              <w:rPr>
                <w:rFonts w:ascii="Cambria Math" w:hAnsi="Cambria Math" w:eastAsia="MS Mincho" w:cs="Times New Roman"/>
              </w:rPr>
              <m:t>T</m:t>
            </m:r>
            <m:ctrlPr>
              <w:rPr>
                <w:rFonts w:ascii="Cambria Math" w:hAnsi="Cambria Math" w:cs="Times New Roman"/>
              </w:rPr>
            </m:ctrlPr>
          </m:sup>
        </m:sSup>
        <m:r>
          <m:rPr/>
          <w:rPr>
            <w:rFonts w:ascii="Cambria Math" w:hAnsi="Cambria Math" w:cs="Times New Roman"/>
          </w:rPr>
          <m:t>,</m:t>
        </m:r>
      </m:oMath>
      <w:r>
        <w:rPr>
          <w:rFonts w:ascii="Times New Roman" w:hAnsi="Times New Roman" w:cs="Times New Roman"/>
        </w:rPr>
        <w:t xml:space="preserve"> where each </w:t>
      </w:r>
      <m:oMath>
        <m:sSub>
          <m:sSubPr>
            <m:ctrlPr>
              <w:rPr>
                <w:rFonts w:ascii="Cambria Math" w:hAnsi="Cambria Math" w:cs="Times New Roman"/>
              </w:rPr>
            </m:ctrlPr>
          </m:sSubPr>
          <m:e>
            <m:r>
              <m:rPr/>
              <w:rPr>
                <w:rFonts w:ascii="Cambria Math" w:hAnsi="Cambria Math" w:cs="Times New Roman"/>
              </w:rPr>
              <m:t>y</m:t>
            </m:r>
            <m:ctrlPr>
              <w:rPr>
                <w:rFonts w:ascii="Cambria Math" w:hAnsi="Cambria Math" w:cs="Times New Roman"/>
              </w:rPr>
            </m:ctrlPr>
          </m:e>
          <m:sub>
            <m:r>
              <m:rPr/>
              <w:rPr>
                <w:rFonts w:ascii="Cambria Math" w:hAnsi="Cambria Math" w:cs="Times New Roman"/>
              </w:rPr>
              <m:t>i,k</m:t>
            </m:r>
            <m:ctrlPr>
              <w:rPr>
                <w:rFonts w:ascii="Cambria Math" w:hAnsi="Cambria Math" w:cs="Times New Roman"/>
              </w:rPr>
            </m:ctrlPr>
          </m:sub>
        </m:sSub>
      </m:oMath>
      <w:r>
        <w:rPr>
          <w:rFonts w:ascii="Times New Roman" w:hAnsi="Times New Roman" w:cs="Times New Roman"/>
        </w:rPr>
        <w:t xml:space="preserve">was revealed by the GCMC oracle only after material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oMath>
      <w:r>
        <w:rPr>
          <w:rFonts w:ascii="Times New Roman" w:hAnsi="Times New Roman" w:cs="Times New Roman"/>
        </w:rPr>
        <w:t>had been queried.</w:t>
      </w:r>
    </w:p>
    <w:p>
      <w:pPr>
        <w:ind w:firstLine="420"/>
        <w:rPr>
          <w:rFonts w:ascii="Times New Roman" w:hAnsi="Times New Roman" w:cs="Times New Roman"/>
        </w:rPr>
      </w:pPr>
      <w:r>
        <w:rPr>
          <w:rFonts w:ascii="Times New Roman" w:hAnsi="Times New Roman" w:cs="Times New Roman"/>
        </w:rPr>
        <w:t>The three adsorption objectives were modelled using three independent single-output Gaussian processes. Each objective-specific surrogate was implemented as a BoTorch “SingleTaskGP”, and the three models were combined in a “ModelListGP”</w:t>
      </w:r>
      <w:r>
        <w:rPr>
          <w:rFonts w:ascii="Times New Roman" w:hAnsi="Times New Roman" w:cs="Times New Roman"/>
        </w:rPr>
        <w:fldChar w:fldCharType="begin"/>
      </w:r>
      <w:r>
        <w:rPr>
          <w:rFonts w:ascii="Times New Roman" w:hAnsi="Times New Roman" w:cs="Times New Roman"/>
        </w:rPr>
        <w:instrText xml:space="preserve"> ADDIN ZOTERO_ITEM CSL_CITATION {"citationID":"1BNIHxkp","properties":{"unsorted":false,"formattedCitation":"\\super 17\\nosupersub{}","plainCitation":"17","noteIndex":0},"citationItems":[{"id":11502,"uris":["http://zotero.org/users/10807631/items/A4GM22Y2"],"itemData":{"id":11502,"type":"paper-conference","abstract":"Bayesian optimization provides sample-efﬁcient global optimization for a broad range of applications, including automatic machine learning, engineering, physics, and experimental design. We introduce BOTORCH, a modern programming framework for Bayesian optimization that combines Monte-Carlo (MC) acquisition functions, a novel sample average approximation optimization approach, autodifferentiation, and variance reduction techniques. BOTORCH’s modular design facilitates ﬂexible speciﬁcation and optimization of probabilistic models written in PyTorch, simplifying implementation of new acquisition functions. Our approach is backed by novel theoretical convergence results and made practical by a distinctive algorithmic foundation that leverages fast predictive distributions, hardware acceleration, and deterministic optimization. We also propose a novel “one-shot” formulation of the Knowledge Gradient, enabled by a combination of our theoretical and software contributions. In experiments, we demonstrate the improved sample efﬁciency of BOTORCH relative to other popular libraries.","container-title":"Advances in Neural Information Processing Systems","event-title":"34th Conference on Neural Information Processing Systems (NeurIPS 2020)","ISBN":"978-1-7138-2954-6","language":"en","page":"21524–21538","publisher":"Curran Associates, Inc.","source":"Zotero","title":"BoTorch: A framework for efficient Monte-Carlo Bayesian optimization","title-short":"Botorch","volume":"33","author":[{"family":"Balandat","given":"Maximilian"},{"family":"Karrer","given":"Brian"},{"family":"Jiang","given":"Daniel R"},{"family":"Daulton","given":"Samuel"},{"family":"Letham","given":"Benjamin"},{"family":"Wilson","given":"Andrew Gordon"},{"family":"Bakshy","given":"Eytan"}],"issued":{"date-parts":[["2020"]]}}}],"schema":"https://github.com/citation-style-language/schema/raw/master/csl-citation.json"}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kern w:val="0"/>
          <w:vertAlign w:val="superscript"/>
        </w:rPr>
        <w:t>17</w:t>
      </w:r>
      <w:r>
        <w:rPr>
          <w:rFonts w:ascii="Times New Roman" w:hAnsi="Times New Roman" w:cs="Times New Roman"/>
        </w:rPr>
        <w:fldChar w:fldCharType="end"/>
      </w:r>
      <w:r>
        <w:rPr>
          <w:rFonts w:ascii="Times New Roman" w:hAnsi="Times New Roman" w:cs="Times New Roman"/>
        </w:rPr>
        <w:t>. The models therefore had separate mean, covariance, likelihood and hyperparameter estimates, and no cross-objective covariance was fitted. The resulting objective-specific posteriors were combined only when evaluating a multi-objective candidate-selection rule.</w:t>
      </w:r>
    </w:p>
    <w:p>
      <w:pPr>
        <w:ind w:firstLine="420"/>
        <w:rPr>
          <w:rFonts w:ascii="Times New Roman" w:hAnsi="Times New Roman" w:cs="Times New Roman"/>
        </w:rPr>
      </w:pPr>
      <w:r>
        <w:rPr>
          <w:rFonts w:ascii="Times New Roman" w:hAnsi="Times New Roman" w:cs="Times New Roman"/>
        </w:rPr>
        <w:t xml:space="preserve">Before fitting, each objective was standardized using the responses currently contained in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sz w:val="20"/>
                <w:szCs w:val="20"/>
              </w:rPr>
            </m:ctrlPr>
          </m:sSubSupPr>
          <m:e>
            <m:limUpp>
              <m:limUppPr>
                <m:ctrlPr>
                  <w:rPr>
                    <w:rFonts w:ascii="Cambria Math" w:hAnsi="Cambria Math" w:cs="Times New Roman"/>
                    <w:sz w:val="20"/>
                    <w:szCs w:val="20"/>
                  </w:rPr>
                </m:ctrlPr>
              </m:limUppPr>
              <m:e>
                <m:r>
                  <m:rPr/>
                  <w:rPr>
                    <w:rFonts w:ascii="Cambria Math" w:hAnsi="Cambria Math" w:cs="Times New Roman"/>
                    <w:sz w:val="20"/>
                    <w:szCs w:val="20"/>
                  </w:rPr>
                  <m:t>y</m:t>
                </m:r>
                <m:ctrlPr>
                  <w:rPr>
                    <w:rFonts w:ascii="Cambria Math" w:hAnsi="Cambria Math" w:cs="Times New Roman"/>
                    <w:sz w:val="20"/>
                    <w:szCs w:val="20"/>
                  </w:rPr>
                </m:ctrlPr>
              </m:e>
              <m:lim>
                <m:r>
                  <m:rPr/>
                  <w:rPr>
                    <w:rFonts w:ascii="Cambria Math" w:hAnsi="Cambria Math" w:cs="Times New Roman"/>
                    <w:sz w:val="20"/>
                    <w:szCs w:val="20"/>
                  </w:rPr>
                  <m:t>~</m:t>
                </m:r>
                <m:ctrlPr>
                  <w:rPr>
                    <w:rFonts w:ascii="Cambria Math" w:hAnsi="Cambria Math" w:cs="Times New Roman"/>
                    <w:sz w:val="20"/>
                    <w:szCs w:val="20"/>
                  </w:rPr>
                </m:ctrlPr>
              </m:lim>
            </m:limUpp>
            <m:ctrlPr>
              <w:rPr>
                <w:rFonts w:ascii="Cambria Math" w:hAnsi="Cambria Math" w:cs="Times New Roman"/>
                <w:sz w:val="20"/>
                <w:szCs w:val="20"/>
              </w:rPr>
            </m:ctrlPr>
          </m:e>
          <m:sub>
            <m:r>
              <m:rPr/>
              <w:rPr>
                <w:rFonts w:ascii="Cambria Math" w:hAnsi="Cambria Math" w:cs="Times New Roman"/>
                <w:sz w:val="20"/>
                <w:szCs w:val="20"/>
              </w:rPr>
              <m:t>i,k</m:t>
            </m:r>
            <m:ctrlPr>
              <w:rPr>
                <w:rFonts w:ascii="Cambria Math" w:hAnsi="Cambria Math" w:cs="Times New Roman"/>
                <w:sz w:val="20"/>
                <w:szCs w:val="20"/>
              </w:rPr>
            </m:ctrlPr>
          </m:sub>
          <m:sup>
            <m:d>
              <m:dPr>
                <m:ctrlPr>
                  <w:rPr>
                    <w:rFonts w:ascii="Cambria Math" w:hAnsi="Cambria Math" w:cs="Times New Roman"/>
                    <w:sz w:val="20"/>
                    <w:szCs w:val="20"/>
                  </w:rPr>
                </m:ctrlPr>
              </m:dPr>
              <m:e>
                <m:r>
                  <m:rPr/>
                  <w:rPr>
                    <w:rFonts w:ascii="Cambria Math" w:hAnsi="Cambria Math" w:cs="Times New Roman"/>
                    <w:sz w:val="20"/>
                    <w:szCs w:val="20"/>
                  </w:rPr>
                  <m:t>t</m:t>
                </m:r>
                <m:ctrlPr>
                  <w:rPr>
                    <w:rFonts w:ascii="Cambria Math" w:hAnsi="Cambria Math" w:cs="Times New Roman"/>
                    <w:sz w:val="20"/>
                    <w:szCs w:val="20"/>
                  </w:rPr>
                </m:ctrlPr>
              </m:e>
            </m:d>
            <m:ctrlPr>
              <w:rPr>
                <w:rFonts w:ascii="Cambria Math" w:hAnsi="Cambria Math" w:cs="Times New Roman"/>
                <w:sz w:val="20"/>
                <w:szCs w:val="20"/>
              </w:rPr>
            </m:ctrlPr>
          </m:sup>
        </m:sSubSup>
        <m:r>
          <m:rPr/>
          <w:rPr>
            <w:rFonts w:ascii="Cambria Math" w:hAnsi="Cambria Math" w:cs="Times New Roman"/>
            <w:sz w:val="20"/>
            <w:szCs w:val="20"/>
          </w:rPr>
          <m:t>=</m:t>
        </m:r>
        <m:f>
          <m:fPr>
            <m:ctrlPr>
              <w:rPr>
                <w:rFonts w:ascii="Cambria Math" w:hAnsi="Cambria Math" w:cs="Times New Roman"/>
                <w:sz w:val="20"/>
                <w:szCs w:val="20"/>
              </w:rPr>
            </m:ctrlPr>
          </m:fPr>
          <m:num>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i,k</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borderBox>
                  <m:borderBoxPr>
                    <m:hideBot m:val="1"/>
                    <m:hideLeft m:val="1"/>
                    <m:hideRight m:val="1"/>
                    <m:ctrlPr>
                      <w:rPr>
                        <w:rFonts w:ascii="Cambria Math" w:hAnsi="Cambria Math" w:cs="Times New Roman"/>
                        <w:sz w:val="20"/>
                        <w:szCs w:val="20"/>
                      </w:rPr>
                    </m:ctrlPr>
                  </m:borderBoxPr>
                  <m:e>
                    <m:r>
                      <m:rPr/>
                      <w:rPr>
                        <w:rFonts w:ascii="Cambria Math" w:hAnsi="Cambria Math" w:cs="Times New Roman"/>
                        <w:sz w:val="20"/>
                        <w:szCs w:val="20"/>
                      </w:rPr>
                      <m:t>y</m:t>
                    </m:r>
                    <m:ctrlPr>
                      <w:rPr>
                        <w:rFonts w:ascii="Cambria Math" w:hAnsi="Cambria Math" w:cs="Times New Roman"/>
                        <w:sz w:val="20"/>
                        <w:szCs w:val="20"/>
                      </w:rPr>
                    </m:ctrlPr>
                  </m:e>
                </m:borderBox>
                <m:ctrlPr>
                  <w:rPr>
                    <w:rFonts w:ascii="Cambria Math" w:hAnsi="Cambria Math" w:cs="Times New Roman"/>
                    <w:sz w:val="20"/>
                    <w:szCs w:val="20"/>
                  </w:rPr>
                </m:ctrlPr>
              </m:e>
              <m:sub>
                <m:r>
                  <m:rPr/>
                  <w:rPr>
                    <w:rFonts w:ascii="Cambria Math" w:hAnsi="Cambria Math" w:cs="Times New Roman"/>
                    <w:sz w:val="20"/>
                    <w:szCs w:val="20"/>
                  </w:rPr>
                  <m:t>t,k</m:t>
                </m:r>
                <m:ctrlPr>
                  <w:rPr>
                    <w:rFonts w:ascii="Cambria Math" w:hAnsi="Cambria Math" w:cs="Times New Roman"/>
                    <w:sz w:val="20"/>
                    <w:szCs w:val="20"/>
                  </w:rPr>
                </m:ctrlPr>
              </m:sub>
            </m:sSub>
            <m:ctrlPr>
              <w:rPr>
                <w:rFonts w:ascii="Cambria Math" w:hAnsi="Cambria Math" w:cs="Times New Roman"/>
                <w:sz w:val="20"/>
                <w:szCs w:val="20"/>
              </w:rPr>
            </m:ctrlPr>
          </m:num>
          <m:den>
            <m:sSub>
              <m:sSubPr>
                <m:ctrlPr>
                  <w:rPr>
                    <w:rFonts w:ascii="Cambria Math" w:hAnsi="Cambria Math" w:cs="Times New Roman"/>
                    <w:sz w:val="20"/>
                    <w:szCs w:val="20"/>
                  </w:rPr>
                </m:ctrlPr>
              </m:sSubPr>
              <m:e>
                <m:r>
                  <m:rPr/>
                  <w:rPr>
                    <w:rFonts w:ascii="Cambria Math" w:hAnsi="Cambria Math" w:cs="Times New Roman"/>
                    <w:sz w:val="20"/>
                    <w:szCs w:val="20"/>
                  </w:rPr>
                  <m:t>s</m:t>
                </m:r>
                <m:ctrlPr>
                  <w:rPr>
                    <w:rFonts w:ascii="Cambria Math" w:hAnsi="Cambria Math" w:cs="Times New Roman"/>
                    <w:sz w:val="20"/>
                    <w:szCs w:val="20"/>
                  </w:rPr>
                </m:ctrlPr>
              </m:e>
              <m:sub>
                <m:r>
                  <m:rPr/>
                  <w:rPr>
                    <w:rFonts w:ascii="Cambria Math" w:hAnsi="Cambria Math" w:cs="Times New Roman"/>
                    <w:sz w:val="20"/>
                    <w:szCs w:val="20"/>
                  </w:rPr>
                  <m:t>t,k</m:t>
                </m:r>
                <m:ctrlPr>
                  <w:rPr>
                    <w:rFonts w:ascii="Cambria Math" w:hAnsi="Cambria Math" w:cs="Times New Roman"/>
                    <w:sz w:val="20"/>
                    <w:szCs w:val="20"/>
                  </w:rPr>
                </m:ctrlPr>
              </m:sub>
            </m:sSub>
            <m:ctrlPr>
              <w:rPr>
                <w:rFonts w:ascii="Cambria Math" w:hAnsi="Cambria Math" w:cs="Times New Roman"/>
                <w:sz w:val="20"/>
                <w:szCs w:val="20"/>
              </w:rPr>
            </m:ctrlPr>
          </m:den>
        </m:f>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(35)</w:t>
      </w:r>
    </w:p>
    <w:p>
      <w:pPr>
        <w:rPr>
          <w:rFonts w:ascii="Times New Roman" w:hAnsi="Times New Roman" w:cs="Times New Roman"/>
        </w:rPr>
      </w:pPr>
      <w:r>
        <w:rPr>
          <w:rFonts w:ascii="Times New Roman" w:hAnsi="Times New Roman" w:cs="Times New Roman"/>
        </w:rPr>
        <w:t xml:space="preserve">where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borderBox>
              <m:borderBoxPr>
                <m:hideBot m:val="1"/>
                <m:hideLeft m:val="1"/>
                <m:hideRight m:val="1"/>
                <m:ctrlPr>
                  <w:rPr>
                    <w:rFonts w:ascii="Cambria Math" w:hAnsi="Cambria Math" w:cs="Times New Roman"/>
                    <w:sz w:val="20"/>
                    <w:szCs w:val="20"/>
                  </w:rPr>
                </m:ctrlPr>
              </m:borderBoxPr>
              <m:e>
                <m:r>
                  <m:rPr/>
                  <w:rPr>
                    <w:rFonts w:ascii="Cambria Math" w:hAnsi="Cambria Math" w:cs="Times New Roman"/>
                    <w:sz w:val="20"/>
                    <w:szCs w:val="20"/>
                  </w:rPr>
                  <m:t>y</m:t>
                </m:r>
                <m:ctrlPr>
                  <w:rPr>
                    <w:rFonts w:ascii="Cambria Math" w:hAnsi="Cambria Math" w:cs="Times New Roman"/>
                    <w:sz w:val="20"/>
                    <w:szCs w:val="20"/>
                  </w:rPr>
                </m:ctrlPr>
              </m:e>
            </m:borderBox>
            <m:ctrlPr>
              <w:rPr>
                <w:rFonts w:ascii="Cambria Math" w:hAnsi="Cambria Math" w:cs="Times New Roman"/>
                <w:sz w:val="20"/>
                <w:szCs w:val="20"/>
              </w:rPr>
            </m:ctrlPr>
          </m:e>
          <m:sub>
            <m:r>
              <m:rPr/>
              <w:rPr>
                <w:rFonts w:ascii="Cambria Math" w:hAnsi="Cambria Math" w:cs="Times New Roman"/>
                <w:sz w:val="20"/>
                <w:szCs w:val="20"/>
              </w:rPr>
              <m:t>t,k</m:t>
            </m:r>
            <m:ctrlPr>
              <w:rPr>
                <w:rFonts w:ascii="Cambria Math" w:hAnsi="Cambria Math" w:cs="Times New Roman"/>
                <w:sz w:val="20"/>
                <w:szCs w:val="20"/>
              </w:rPr>
            </m:ctrlPr>
          </m:sub>
        </m:sSub>
        <m:r>
          <m:rPr/>
          <w:rPr>
            <w:rFonts w:ascii="Cambria Math" w:hAnsi="Cambria Math" w:cs="Times New Roman"/>
            <w:sz w:val="20"/>
            <w:szCs w:val="20"/>
          </w:rPr>
          <m:t>=</m:t>
        </m:r>
        <m:f>
          <m:fPr>
            <m:ctrlPr>
              <w:rPr>
                <w:rFonts w:ascii="Cambria Math" w:hAnsi="Cambria Math" w:cs="Times New Roman"/>
                <w:sz w:val="20"/>
                <w:szCs w:val="20"/>
              </w:rPr>
            </m:ctrlPr>
          </m:fPr>
          <m:num>
            <m:r>
              <m:rPr/>
              <w:rPr>
                <w:rFonts w:ascii="Cambria Math" w:hAnsi="Cambria Math" w:cs="Times New Roman"/>
                <w:sz w:val="20"/>
                <w:szCs w:val="20"/>
              </w:rPr>
              <m:t>1</m:t>
            </m:r>
            <m:ctrlPr>
              <w:rPr>
                <w:rFonts w:ascii="Cambria Math" w:hAnsi="Cambria Math" w:cs="Times New Roman"/>
                <w:sz w:val="20"/>
                <w:szCs w:val="20"/>
              </w:rPr>
            </m:ctrlPr>
          </m:num>
          <m:den>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ctrlPr>
              <w:rPr>
                <w:rFonts w:ascii="Cambria Math" w:hAnsi="Cambria Math" w:cs="Times New Roman"/>
                <w:sz w:val="20"/>
                <w:szCs w:val="20"/>
              </w:rPr>
            </m:ctrlPr>
          </m:den>
        </m:f>
        <m:nary>
          <m:naryPr>
            <m:chr m:val="∑"/>
            <m:grow m:val="1"/>
            <m:limLoc m:val="subSup"/>
            <m:supHide m:val="1"/>
            <m:ctrlPr>
              <w:rPr>
                <w:rFonts w:ascii="Cambria Math" w:hAnsi="Cambria Math" w:cs="Times New Roman"/>
                <w:sz w:val="20"/>
                <w:szCs w:val="20"/>
              </w:rPr>
            </m:ctrlPr>
          </m:naryPr>
          <m:sub>
            <m:sSub>
              <m:sSubPr>
                <m:ctrlPr>
                  <w:rPr>
                    <w:rFonts w:ascii="Cambria Math" w:hAnsi="Cambria Math" w:cs="Times New Roman"/>
                    <w:sz w:val="20"/>
                    <w:szCs w:val="20"/>
                  </w:rPr>
                </m:ctrlPr>
              </m:sSubPr>
              <m:e>
                <m:r>
                  <m:rPr/>
                  <w:rPr>
                    <w:rFonts w:ascii="Cambria Math" w:hAnsi="Cambria Math" w:cs="Times New Roman"/>
                    <w:sz w:val="20"/>
                    <w:szCs w:val="20"/>
                  </w:rPr>
                  <m:t>m</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Q</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ctrlPr>
              <w:rPr>
                <w:rFonts w:ascii="Cambria Math" w:hAnsi="Cambria Math" w:cs="Times New Roman"/>
                <w:sz w:val="20"/>
                <w:szCs w:val="20"/>
              </w:rPr>
            </m:ctrlPr>
          </m:sub>
          <m:sup>
            <m:ctrlPr>
              <w:rPr>
                <w:rFonts w:ascii="Cambria Math" w:hAnsi="Cambria Math" w:cs="Times New Roman"/>
                <w:sz w:val="20"/>
                <w:szCs w:val="20"/>
              </w:rPr>
            </m:ctrlPr>
          </m:sup>
          <m:e>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i,k</m:t>
                </m:r>
                <m:ctrlPr>
                  <w:rPr>
                    <w:rFonts w:ascii="Cambria Math" w:hAnsi="Cambria Math" w:cs="Times New Roman"/>
                    <w:sz w:val="20"/>
                    <w:szCs w:val="20"/>
                  </w:rPr>
                </m:ctrlPr>
              </m:sub>
            </m:sSub>
            <m:ctrlPr>
              <w:rPr>
                <w:rFonts w:ascii="Cambria Math" w:hAnsi="Cambria Math" w:cs="Times New Roman"/>
                <w:sz w:val="20"/>
                <w:szCs w:val="20"/>
              </w:rPr>
            </m:ctrlPr>
          </m:e>
        </m:nary>
      </m:oMath>
      <w:r>
        <w:rPr>
          <w:rFonts w:ascii="Times New Roman" w:hAnsi="Times New Roman" w:cs="Times New Roman"/>
          <w:sz w:val="20"/>
          <w:szCs w:val="20"/>
        </w:rPr>
        <w:tab/>
      </w:r>
      <w:r>
        <w:rPr>
          <w:rFonts w:ascii="Times New Roman" w:hAnsi="Times New Roman" w:cs="Times New Roman"/>
          <w:sz w:val="20"/>
          <w:szCs w:val="20"/>
        </w:rPr>
        <w:t>(36)</w:t>
      </w:r>
    </w:p>
    <w:p>
      <w:pPr>
        <w:rPr>
          <w:rFonts w:ascii="Times New Roman" w:hAnsi="Times New Roman" w:cs="Times New Roman"/>
        </w:rPr>
      </w:pPr>
      <w:r>
        <w:rPr>
          <w:rFonts w:ascii="Times New Roman" w:hAnsi="Times New Roman" w:cs="Times New Roman"/>
        </w:rPr>
        <w:t>and</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sz w:val="20"/>
                <w:szCs w:val="20"/>
              </w:rPr>
            </m:ctrlPr>
          </m:sSubPr>
          <m:e>
            <m:r>
              <m:rPr/>
              <w:rPr>
                <w:rFonts w:ascii="Cambria Math" w:hAnsi="Cambria Math" w:cs="Times New Roman"/>
                <w:sz w:val="20"/>
                <w:szCs w:val="20"/>
              </w:rPr>
              <m:t>s</m:t>
            </m:r>
            <m:ctrlPr>
              <w:rPr>
                <w:rFonts w:ascii="Cambria Math" w:hAnsi="Cambria Math" w:cs="Times New Roman"/>
                <w:sz w:val="20"/>
                <w:szCs w:val="20"/>
              </w:rPr>
            </m:ctrlPr>
          </m:e>
          <m:sub>
            <m:r>
              <m:rPr/>
              <w:rPr>
                <w:rFonts w:ascii="Cambria Math" w:hAnsi="Cambria Math" w:cs="Times New Roman"/>
                <w:sz w:val="20"/>
                <w:szCs w:val="20"/>
              </w:rPr>
              <m:t>t,k</m:t>
            </m:r>
            <m:ctrlPr>
              <w:rPr>
                <w:rFonts w:ascii="Cambria Math" w:hAnsi="Cambria Math" w:cs="Times New Roman"/>
                <w:sz w:val="20"/>
                <w:szCs w:val="20"/>
              </w:rPr>
            </m:ctrlPr>
          </m:sub>
        </m:sSub>
        <m:r>
          <m:rPr/>
          <w:rPr>
            <w:rFonts w:ascii="Cambria Math" w:hAnsi="Cambria Math" w:cs="Times New Roman"/>
            <w:sz w:val="20"/>
            <w:szCs w:val="20"/>
          </w:rPr>
          <m:t>=</m:t>
        </m:r>
        <m:sSup>
          <m:sSupPr>
            <m:ctrlPr>
              <w:rPr>
                <w:rFonts w:ascii="Cambria Math" w:hAnsi="Cambria Math" w:cs="Times New Roman"/>
                <w:sz w:val="20"/>
                <w:szCs w:val="20"/>
              </w:rPr>
            </m:ctrlPr>
          </m:sSupPr>
          <m:e>
            <m:d>
              <m:dPr>
                <m:begChr m:val="["/>
                <m:endChr m:val="]"/>
                <m:ctrlPr>
                  <w:rPr>
                    <w:rFonts w:ascii="Cambria Math" w:hAnsi="Cambria Math" w:cs="Times New Roman"/>
                    <w:sz w:val="20"/>
                    <w:szCs w:val="20"/>
                  </w:rPr>
                </m:ctrlPr>
              </m:dPr>
              <m:e>
                <m:f>
                  <m:fPr>
                    <m:ctrlPr>
                      <w:rPr>
                        <w:rFonts w:ascii="Cambria Math" w:hAnsi="Cambria Math" w:cs="Times New Roman"/>
                        <w:sz w:val="20"/>
                        <w:szCs w:val="20"/>
                      </w:rPr>
                    </m:ctrlPr>
                  </m:fPr>
                  <m:num>
                    <m:r>
                      <m:rPr/>
                      <w:rPr>
                        <w:rFonts w:ascii="Cambria Math" w:hAnsi="Cambria Math" w:cs="Times New Roman"/>
                        <w:sz w:val="20"/>
                        <w:szCs w:val="20"/>
                      </w:rPr>
                      <m:t>1</m:t>
                    </m:r>
                    <m:ctrlPr>
                      <w:rPr>
                        <w:rFonts w:ascii="Cambria Math" w:hAnsi="Cambria Math" w:cs="Times New Roman"/>
                        <w:sz w:val="20"/>
                        <w:szCs w:val="20"/>
                      </w:rPr>
                    </m:ctrlPr>
                  </m:num>
                  <m:den>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r>
                      <m:rPr/>
                      <w:rPr>
                        <w:rFonts w:ascii="Cambria Math" w:hAnsi="Cambria Math" w:cs="Times New Roman"/>
                        <w:sz w:val="20"/>
                        <w:szCs w:val="20"/>
                      </w:rPr>
                      <m:t>−1</m:t>
                    </m:r>
                    <m:ctrlPr>
                      <w:rPr>
                        <w:rFonts w:ascii="Cambria Math" w:hAnsi="Cambria Math" w:cs="Times New Roman"/>
                        <w:sz w:val="20"/>
                        <w:szCs w:val="20"/>
                      </w:rPr>
                    </m:ctrlPr>
                  </m:den>
                </m:f>
                <m:nary>
                  <m:naryPr>
                    <m:chr m:val="∑"/>
                    <m:grow m:val="1"/>
                    <m:limLoc m:val="subSup"/>
                    <m:supHide m:val="1"/>
                    <m:ctrlPr>
                      <w:rPr>
                        <w:rFonts w:ascii="Cambria Math" w:hAnsi="Cambria Math" w:cs="Times New Roman"/>
                        <w:sz w:val="20"/>
                        <w:szCs w:val="20"/>
                      </w:rPr>
                    </m:ctrlPr>
                  </m:naryPr>
                  <m:sub>
                    <m:sSub>
                      <m:sSubPr>
                        <m:ctrlPr>
                          <w:rPr>
                            <w:rFonts w:ascii="Cambria Math" w:hAnsi="Cambria Math" w:cs="Times New Roman"/>
                            <w:sz w:val="20"/>
                            <w:szCs w:val="20"/>
                          </w:rPr>
                        </m:ctrlPr>
                      </m:sSubPr>
                      <m:e>
                        <m:r>
                          <m:rPr/>
                          <w:rPr>
                            <w:rFonts w:ascii="Cambria Math" w:hAnsi="Cambria Math" w:cs="Times New Roman"/>
                            <w:sz w:val="20"/>
                            <w:szCs w:val="20"/>
                          </w:rPr>
                          <m:t>m</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Q</m:t>
                        </m:r>
                        <m:ctrlPr>
                          <w:rPr>
                            <w:rFonts w:ascii="Cambria Math" w:hAnsi="Cambria Math" w:cs="Times New Roman"/>
                            <w:sz w:val="20"/>
                            <w:szCs w:val="20"/>
                          </w:rPr>
                        </m:ctrlPr>
                      </m:e>
                      <m:sub>
                        <m:r>
                          <m:rPr/>
                          <w:rPr>
                            <w:rFonts w:ascii="Cambria Math" w:hAnsi="Cambria Math" w:cs="Times New Roman"/>
                            <w:sz w:val="20"/>
                            <w:szCs w:val="20"/>
                          </w:rPr>
                          <m:t>t</m:t>
                        </m:r>
                        <m:ctrlPr>
                          <w:rPr>
                            <w:rFonts w:ascii="Cambria Math" w:hAnsi="Cambria Math" w:cs="Times New Roman"/>
                            <w:sz w:val="20"/>
                            <w:szCs w:val="20"/>
                          </w:rPr>
                        </m:ctrlPr>
                      </m:sub>
                    </m:sSub>
                    <m:ctrlPr>
                      <w:rPr>
                        <w:rFonts w:ascii="Cambria Math" w:hAnsi="Cambria Math" w:cs="Times New Roman"/>
                        <w:sz w:val="20"/>
                        <w:szCs w:val="20"/>
                      </w:rPr>
                    </m:ctrlPr>
                  </m:sub>
                  <m:sup>
                    <m:ctrlPr>
                      <w:rPr>
                        <w:rFonts w:ascii="Cambria Math" w:hAnsi="Cambria Math" w:cs="Times New Roman"/>
                        <w:sz w:val="20"/>
                        <w:szCs w:val="20"/>
                      </w:rPr>
                    </m:ctrlPr>
                  </m:sup>
                  <m:e>
                    <m:sSup>
                      <m:sSupPr>
                        <m:ctrlPr>
                          <w:rPr>
                            <w:rFonts w:ascii="Cambria Math" w:hAnsi="Cambria Math" w:cs="Times New Roman"/>
                            <w:sz w:val="20"/>
                            <w:szCs w:val="20"/>
                          </w:rPr>
                        </m:ctrlPr>
                      </m:sSupPr>
                      <m:e>
                        <m:d>
                          <m:dPr>
                            <m:sepChr m:val="−"/>
                            <m:ctrlPr>
                              <w:rPr>
                                <w:rFonts w:ascii="Cambria Math" w:hAnsi="Cambria Math" w:cs="Times New Roman"/>
                                <w:sz w:val="20"/>
                                <w:szCs w:val="20"/>
                              </w:rPr>
                            </m:ctrlPr>
                          </m:dPr>
                          <m:e>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i,k</m:t>
                                </m:r>
                                <m:ctrlPr>
                                  <w:rPr>
                                    <w:rFonts w:ascii="Cambria Math" w:hAnsi="Cambria Math" w:cs="Times New Roman"/>
                                    <w:sz w:val="20"/>
                                    <w:szCs w:val="20"/>
                                  </w:rPr>
                                </m:ctrlPr>
                              </m:sub>
                            </m:sSub>
                            <m:ctrlPr>
                              <w:rPr>
                                <w:rFonts w:ascii="Cambria Math" w:hAnsi="Cambria Math" w:cs="Times New Roman"/>
                                <w:sz w:val="20"/>
                                <w:szCs w:val="20"/>
                              </w:rPr>
                            </m:ctrlPr>
                          </m:e>
                          <m:e>
                            <m:sSub>
                              <m:sSubPr>
                                <m:ctrlPr>
                                  <w:rPr>
                                    <w:rFonts w:ascii="Cambria Math" w:hAnsi="Cambria Math" w:cs="Times New Roman"/>
                                    <w:sz w:val="20"/>
                                    <w:szCs w:val="20"/>
                                  </w:rPr>
                                </m:ctrlPr>
                              </m:sSubPr>
                              <m:e>
                                <m:borderBox>
                                  <m:borderBoxPr>
                                    <m:hideBot m:val="1"/>
                                    <m:hideLeft m:val="1"/>
                                    <m:hideRight m:val="1"/>
                                    <m:ctrlPr>
                                      <w:rPr>
                                        <w:rFonts w:ascii="Cambria Math" w:hAnsi="Cambria Math" w:cs="Times New Roman"/>
                                        <w:sz w:val="20"/>
                                        <w:szCs w:val="20"/>
                                      </w:rPr>
                                    </m:ctrlPr>
                                  </m:borderBoxPr>
                                  <m:e>
                                    <m:r>
                                      <m:rPr/>
                                      <w:rPr>
                                        <w:rFonts w:ascii="Cambria Math" w:hAnsi="Cambria Math" w:cs="Times New Roman"/>
                                        <w:sz w:val="20"/>
                                        <w:szCs w:val="20"/>
                                      </w:rPr>
                                      <m:t>y</m:t>
                                    </m:r>
                                    <m:ctrlPr>
                                      <w:rPr>
                                        <w:rFonts w:ascii="Cambria Math" w:hAnsi="Cambria Math" w:cs="Times New Roman"/>
                                        <w:sz w:val="20"/>
                                        <w:szCs w:val="20"/>
                                      </w:rPr>
                                    </m:ctrlPr>
                                  </m:e>
                                </m:borderBox>
                                <m:ctrlPr>
                                  <w:rPr>
                                    <w:rFonts w:ascii="Cambria Math" w:hAnsi="Cambria Math" w:cs="Times New Roman"/>
                                    <w:sz w:val="20"/>
                                    <w:szCs w:val="20"/>
                                  </w:rPr>
                                </m:ctrlPr>
                              </m:e>
                              <m:sub>
                                <m:r>
                                  <m:rPr/>
                                  <w:rPr>
                                    <w:rFonts w:ascii="Cambria Math" w:hAnsi="Cambria Math" w:cs="Times New Roman"/>
                                    <w:sz w:val="20"/>
                                    <w:szCs w:val="20"/>
                                  </w:rPr>
                                  <m:t>t,k</m:t>
                                </m:r>
                                <m:ctrlPr>
                                  <w:rPr>
                                    <w:rFonts w:ascii="Cambria Math" w:hAnsi="Cambria Math" w:cs="Times New Roman"/>
                                    <w:sz w:val="20"/>
                                    <w:szCs w:val="20"/>
                                  </w:rPr>
                                </m:ctrlPr>
                              </m:sub>
                            </m:sSub>
                            <m:ctrlPr>
                              <w:rPr>
                                <w:rFonts w:ascii="Cambria Math" w:hAnsi="Cambria Math" w:cs="Times New Roman"/>
                                <w:sz w:val="20"/>
                                <w:szCs w:val="20"/>
                              </w:rPr>
                            </m:ctrlPr>
                          </m:e>
                        </m:d>
                        <m:ctrlPr>
                          <w:rPr>
                            <w:rFonts w:ascii="Cambria Math" w:hAnsi="Cambria Math" w:cs="Times New Roman"/>
                            <w:sz w:val="20"/>
                            <w:szCs w:val="20"/>
                          </w:rPr>
                        </m:ctrlPr>
                      </m:e>
                      <m:sup>
                        <m:r>
                          <m:rPr/>
                          <w:rPr>
                            <w:rFonts w:ascii="Cambria Math" w:hAnsi="Cambria Math" w:cs="Times New Roman"/>
                            <w:sz w:val="20"/>
                            <w:szCs w:val="20"/>
                          </w:rPr>
                          <m:t>2</m:t>
                        </m:r>
                        <m:ctrlPr>
                          <w:rPr>
                            <w:rFonts w:ascii="Cambria Math" w:hAnsi="Cambria Math" w:cs="Times New Roman"/>
                            <w:sz w:val="20"/>
                            <w:szCs w:val="20"/>
                          </w:rPr>
                        </m:ctrlPr>
                      </m:sup>
                    </m:sSup>
                    <m:ctrlPr>
                      <w:rPr>
                        <w:rFonts w:ascii="Cambria Math" w:hAnsi="Cambria Math" w:cs="Times New Roman"/>
                        <w:sz w:val="20"/>
                        <w:szCs w:val="20"/>
                      </w:rPr>
                    </m:ctrlPr>
                  </m:e>
                </m:nary>
                <m:ctrlPr>
                  <w:rPr>
                    <w:rFonts w:ascii="Cambria Math" w:hAnsi="Cambria Math" w:cs="Times New Roman"/>
                    <w:sz w:val="20"/>
                    <w:szCs w:val="20"/>
                  </w:rPr>
                </m:ctrlPr>
              </m:e>
            </m:d>
            <m:ctrlPr>
              <w:rPr>
                <w:rFonts w:ascii="Cambria Math" w:hAnsi="Cambria Math" w:cs="Times New Roman"/>
                <w:sz w:val="20"/>
                <w:szCs w:val="20"/>
              </w:rPr>
            </m:ctrlPr>
          </m:e>
          <m:sup>
            <m:r>
              <m:rPr/>
              <w:rPr>
                <w:rFonts w:ascii="Cambria Math" w:hAnsi="Cambria Math" w:cs="Times New Roman"/>
                <w:sz w:val="20"/>
                <w:szCs w:val="20"/>
              </w:rPr>
              <m:t>1/2</m:t>
            </m:r>
            <m:ctrlPr>
              <w:rPr>
                <w:rFonts w:ascii="Cambria Math" w:hAnsi="Cambria Math" w:cs="Times New Roman"/>
                <w:sz w:val="20"/>
                <w:szCs w:val="20"/>
              </w:rPr>
            </m:ctrlPr>
          </m:sup>
        </m:sSup>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(37)</w:t>
      </w:r>
    </w:p>
    <w:p>
      <w:pPr>
        <w:ind w:firstLine="420"/>
        <w:rPr>
          <w:rFonts w:ascii="Times New Roman" w:hAnsi="Times New Roman" w:cs="Times New Roman"/>
        </w:rPr>
      </w:pPr>
      <w:r>
        <w:rPr>
          <w:rFonts w:ascii="Times New Roman" w:hAnsi="Times New Roman" w:cs="Times New Roman"/>
        </w:rPr>
        <w:t xml:space="preserve">The implementation used the sample standard deviation, corresponding to ddof=1. Values of </w:t>
      </w:r>
      <m:oMath>
        <m:sSub>
          <m:sSubPr>
            <m:ctrlPr>
              <w:rPr>
                <w:rFonts w:ascii="Cambria Math" w:hAnsi="Cambria Math" w:cs="Times New Roman"/>
              </w:rPr>
            </m:ctrlPr>
          </m:sSubPr>
          <m:e>
            <m:r>
              <m:rPr/>
              <w:rPr>
                <w:rFonts w:ascii="Cambria Math" w:hAnsi="Cambria Math" w:cs="Times New Roman"/>
              </w:rPr>
              <m:t>s</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&lt;</m:t>
        </m:r>
        <m:sSup>
          <m:sSupPr>
            <m:ctrlPr>
              <w:rPr>
                <w:rFonts w:ascii="Cambria Math" w:hAnsi="Cambria Math" w:cs="Times New Roman"/>
              </w:rPr>
            </m:ctrlPr>
          </m:sSupPr>
          <m:e>
            <m:r>
              <m:rPr/>
              <w:rPr>
                <w:rFonts w:ascii="Cambria Math" w:hAnsi="Cambria Math" w:cs="Times New Roman"/>
              </w:rPr>
              <m:t>10</m:t>
            </m:r>
            <m:ctrlPr>
              <w:rPr>
                <w:rFonts w:ascii="Cambria Math" w:hAnsi="Cambria Math" w:cs="Times New Roman"/>
              </w:rPr>
            </m:ctrlPr>
          </m:e>
          <m:sup>
            <m:r>
              <m:rPr/>
              <w:rPr>
                <w:rFonts w:ascii="Cambria Math" w:hAnsi="Cambria Math" w:cs="Times New Roman"/>
              </w:rPr>
              <m:t>−12</m:t>
            </m:r>
            <m:ctrlPr>
              <w:rPr>
                <w:rFonts w:ascii="Cambria Math" w:hAnsi="Cambria Math" w:cs="Times New Roman"/>
              </w:rPr>
            </m:ctrlPr>
          </m:sup>
        </m:sSup>
        <m:r>
          <m:rPr/>
          <w:rPr>
            <w:rFonts w:ascii="Cambria Math" w:hAnsi="Cambria Math" w:cs="Times New Roman"/>
          </w:rPr>
          <m:t xml:space="preserve"> </m:t>
        </m:r>
      </m:oMath>
      <w:r>
        <w:rPr>
          <w:rFonts w:ascii="Times New Roman" w:hAnsi="Times New Roman" w:cs="Times New Roman"/>
        </w:rPr>
        <w:t>were replaced by one to avoid division by a numerically negligible scale. Standardization was repeated whenever th e surrogate was refitted, so the transformation reflected the objective distribution observed at the current optimization stage.</w:t>
      </w:r>
    </w:p>
    <w:p>
      <w:pPr>
        <w:ind w:firstLine="420"/>
        <w:rPr>
          <w:rFonts w:ascii="Times New Roman" w:hAnsi="Times New Roman" w:cs="Times New Roman"/>
        </w:rPr>
      </w:pPr>
      <w:r>
        <w:rPr>
          <w:rFonts w:ascii="Times New Roman" w:hAnsi="Times New Roman" w:cs="Times New Roman"/>
        </w:rPr>
        <w:t xml:space="preserve">Each objective-specific GP used a constant mean function, a Gaussian observation model with a learned homoskedastic noise variance and a parameterized covariance function. The latent response was therefore represented as </w:t>
      </w:r>
      <m:oMath>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r>
          <m:rPr/>
          <w:rPr>
            <w:rFonts w:ascii="Cambria Math" w:hAnsi="Cambria Math" w:cs="Times New Roman"/>
          </w:rPr>
          <m:t>(</m:t>
        </m:r>
        <m:r>
          <m:rPr>
            <m:sty m:val="b"/>
          </m:rPr>
          <w:rPr>
            <w:rFonts w:ascii="Cambria Math" w:hAnsi="Cambria Math" w:cs="Times New Roman"/>
          </w:rPr>
          <m:t>x</m:t>
        </m:r>
        <m:r>
          <m:rPr>
            <m:scr m:val="script"/>
          </m:rPr>
          <w:rPr>
            <w:rFonts w:ascii="Cambria Math" w:hAnsi="Cambria Math" w:eastAsia="MS Mincho" w:cs="Times New Roman"/>
          </w:rPr>
          <m:t>)∼GP</m:t>
        </m:r>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c</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k</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θ</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sub>
            </m:sSub>
            <m:d>
              <m:dPr>
                <m:sepChr m:val=","/>
                <m:ctrlPr>
                  <w:rPr>
                    <w:rFonts w:ascii="Cambria Math" w:hAnsi="Cambria Math" w:cs="Times New Roman"/>
                  </w:rPr>
                </m:ctrlPr>
              </m:dPr>
              <m:e>
                <m:r>
                  <m:rPr>
                    <m:sty m:val="b"/>
                  </m:rPr>
                  <w:rPr>
                    <w:rFonts w:ascii="Cambria Math" w:hAnsi="Cambria Math" w:cs="Times New Roman"/>
                  </w:rPr>
                  <m:t>x</m:t>
                </m:r>
                <m:ctrlPr>
                  <w:rPr>
                    <w:rFonts w:ascii="Cambria Math" w:hAnsi="Cambria Math" w:cs="Times New Roman"/>
                  </w:rPr>
                </m:ctrlPr>
              </m:e>
              <m:e>
                <m:sSup>
                  <m:sSupPr>
                    <m:ctrlPr>
                      <w:rPr>
                        <w:rFonts w:ascii="Cambria Math" w:hAnsi="Cambria Math" w:cs="Times New Roman"/>
                      </w:rPr>
                    </m:ctrlPr>
                  </m:sSupPr>
                  <m:e>
                    <m:r>
                      <m:rPr>
                        <m:sty m:val="b"/>
                      </m:rPr>
                      <w:rPr>
                        <w:rFonts w:ascii="Cambria Math" w:hAnsi="Cambria Math" w:cs="Times New Roman"/>
                      </w:rPr>
                      <m:t>x</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e>
            </m:d>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with observations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rPr>
        <w:t xml:space="preserve"> </w:t>
      </w:r>
      <m:oMath>
        <m:sSubSup>
          <m:sSubSupPr>
            <m:ctrlPr>
              <w:rPr>
                <w:rFonts w:ascii="Cambria Math" w:hAnsi="Cambria Math" w:cs="Times New Roman"/>
              </w:rPr>
            </m:ctrlPr>
          </m:sSubSupPr>
          <m:e>
            <m:limUpp>
              <m:limUppPr>
                <m:ctrlPr>
                  <w:rPr>
                    <w:rFonts w:ascii="Cambria Math" w:hAnsi="Cambria Math" w:cs="Times New Roman"/>
                  </w:rPr>
                </m:ctrlPr>
              </m:limUppPr>
              <m:e>
                <m:r>
                  <m:rPr/>
                  <w:rPr>
                    <w:rFonts w:ascii="Cambria Math" w:hAnsi="Cambria Math" w:cs="Times New Roman"/>
                  </w:rPr>
                  <m:t>y</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i,k</m:t>
            </m:r>
            <m:ctrlPr>
              <w:rPr>
                <w:rFonts w:ascii="Cambria Math" w:hAnsi="Cambria Math" w:cs="Times New Roman"/>
              </w:rPr>
            </m:ctrlPr>
          </m:sub>
          <m:sup>
            <m:d>
              <m:dPr>
                <m:ctrlPr>
                  <w:rPr>
                    <w:rFonts w:ascii="Cambria Math" w:hAnsi="Cambria Math" w:cs="Times New Roman"/>
                  </w:rPr>
                </m:ctrlPr>
              </m:dPr>
              <m:e>
                <m:r>
                  <m:rPr/>
                  <w:rPr>
                    <w:rFonts w:ascii="Cambria Math" w:hAnsi="Cambria Math" w:cs="Times New Roman"/>
                  </w:rPr>
                  <m:t>t</m:t>
                </m:r>
                <m:ctrlPr>
                  <w:rPr>
                    <w:rFonts w:ascii="Cambria Math" w:hAnsi="Cambria Math" w:cs="Times New Roman"/>
                  </w:rPr>
                </m:ctrlPr>
              </m:e>
            </m:d>
            <m:ctrlPr>
              <w:rPr>
                <w:rFonts w:ascii="Cambria Math" w:hAnsi="Cambria Math" w:cs="Times New Roman"/>
              </w:rPr>
            </m:ctrlPr>
          </m:sup>
        </m:sSubSup>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d>
          <m:dPr>
            <m:ctrlPr>
              <w:rPr>
                <w:rFonts w:ascii="Cambria Math" w:hAnsi="Cambria Math" w:cs="Times New Roman"/>
              </w:rPr>
            </m:ctrlPr>
          </m:dPr>
          <m:e>
            <m:sSubSup>
              <m:sSubSupPr>
                <m:ctrlPr>
                  <w:rPr>
                    <w:rFonts w:ascii="Cambria Math" w:hAnsi="Cambria Math" w:cs="Times New Roman"/>
                  </w:rPr>
                </m:ctrlPr>
              </m:sSubSup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up>
                <m:d>
                  <m:dPr>
                    <m:ctrlPr>
                      <w:rPr>
                        <w:rFonts w:ascii="Cambria Math" w:hAnsi="Cambria Math" w:cs="Times New Roman"/>
                      </w:rPr>
                    </m:ctrlPr>
                  </m:dPr>
                  <m:e>
                    <m:r>
                      <m:rPr/>
                      <w:rPr>
                        <w:rFonts w:ascii="Cambria Math" w:hAnsi="Cambria Math" w:cs="Times New Roman"/>
                      </w:rPr>
                      <m:t>r</m:t>
                    </m:r>
                    <m:ctrlPr>
                      <w:rPr>
                        <w:rFonts w:ascii="Cambria Math" w:hAnsi="Cambria Math" w:cs="Times New Roman"/>
                      </w:rPr>
                    </m:ctrlPr>
                  </m:e>
                </m:d>
                <m:ctrlPr>
                  <w:rPr>
                    <w:rFonts w:ascii="Cambria Math" w:hAnsi="Cambria Math" w:cs="Times New Roman"/>
                  </w:rPr>
                </m:ctrlPr>
              </m:sup>
            </m:sSubSup>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ε</m:t>
            </m:r>
            <m:ctrlPr>
              <w:rPr>
                <w:rFonts w:ascii="Cambria Math" w:hAnsi="Cambria Math" w:cs="Times New Roman"/>
              </w:rPr>
            </m:ctrlPr>
          </m:e>
          <m:sub>
            <m:r>
              <m:rPr/>
              <w:rPr>
                <w:rFonts w:ascii="Cambria Math" w:hAnsi="Cambria Math" w:cs="Times New Roman"/>
              </w:rPr>
              <m:t>i,k</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ε</m:t>
            </m:r>
            <m:ctrlPr>
              <w:rPr>
                <w:rFonts w:ascii="Cambria Math" w:hAnsi="Cambria Math" w:cs="Times New Roman"/>
              </w:rPr>
            </m:ctrlPr>
          </m:e>
          <m:sub>
            <m:r>
              <m:rPr/>
              <w:rPr>
                <w:rFonts w:ascii="Cambria Math" w:hAnsi="Cambria Math" w:cs="Times New Roman"/>
              </w:rPr>
              <m:t>i,k</m:t>
            </m:r>
            <m:ctrlPr>
              <w:rPr>
                <w:rFonts w:ascii="Cambria Math" w:hAnsi="Cambria Math" w:cs="Times New Roman"/>
              </w:rPr>
            </m:ctrlPr>
          </m:sub>
        </m:sSub>
        <m:r>
          <m:rPr>
            <m:scr m:val="script"/>
          </m:rPr>
          <w:rPr>
            <w:rFonts w:ascii="Cambria Math" w:hAnsi="Cambria Math" w:eastAsia="MS Mincho" w:cs="Times New Roman"/>
          </w:rPr>
          <m:t>∼N</m:t>
        </m:r>
        <m:d>
          <m:dPr>
            <m:sepChr m:val=","/>
            <m:ctrlPr>
              <w:rPr>
                <w:rFonts w:ascii="Cambria Math" w:hAnsi="Cambria Math" w:cs="Times New Roman"/>
              </w:rPr>
            </m:ctrlPr>
          </m:dPr>
          <m:e>
            <m:r>
              <m:rPr/>
              <w:rPr>
                <w:rFonts w:ascii="Cambria Math" w:hAnsi="Cambria Math" w:cs="Times New Roman"/>
              </w:rPr>
              <m:t>0</m:t>
            </m:r>
            <m:ctrlPr>
              <w:rPr>
                <w:rFonts w:ascii="Cambria Math" w:hAnsi="Cambria Math" w:cs="Times New Roman"/>
              </w:rPr>
            </m:ctrlPr>
          </m:e>
          <m:e>
            <m:sSubSup>
              <m:sSubSupPr>
                <m:ctrlPr>
                  <w:rPr>
                    <w:rFonts w:ascii="Cambria Math" w:hAnsi="Cambria Math" w:cs="Times New Roman"/>
                  </w:rPr>
                </m:ctrlPr>
              </m:sSubSup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n,k</m:t>
                </m:r>
                <m:ctrlPr>
                  <w:rPr>
                    <w:rFonts w:ascii="Cambria Math" w:hAnsi="Cambria Math" w:cs="Times New Roman"/>
                  </w:rPr>
                </m:ctrlPr>
              </m:sub>
              <m:sup>
                <m:r>
                  <m:rPr/>
                  <w:rPr>
                    <w:rFonts w:ascii="Cambria Math" w:hAnsi="Cambria Math" w:cs="Times New Roman"/>
                  </w:rPr>
                  <m:t>2</m:t>
                </m:r>
                <m:ctrlPr>
                  <w:rPr>
                    <w:rFonts w:ascii="Cambria Math" w:hAnsi="Cambria Math" w:cs="Times New Roman"/>
                  </w:rPr>
                </m:ctrlPr>
              </m:sup>
            </m:sSubSup>
            <m:ctrlPr>
              <w:rPr>
                <w:rFonts w:ascii="Cambria Math" w:hAnsi="Cambria Math" w:cs="Times New Roman"/>
              </w:rPr>
            </m:ctrlPr>
          </m:e>
        </m:d>
        <m:r>
          <m:rPr/>
          <w:rPr>
            <w:rFonts w:ascii="Cambria Math" w:hAnsi="Cambria Math" w:cs="Times New Roman"/>
            <w:sz w:val="20"/>
            <w:szCs w:val="20"/>
          </w:rPr>
          <m:t>.</m:t>
        </m:r>
      </m:oMath>
      <w:r>
        <w:rPr>
          <w:rFonts w:ascii="Times New Roman" w:hAnsi="Times New Roman" w:cs="Times New Roman"/>
          <w:sz w:val="20"/>
          <w:szCs w:val="20"/>
        </w:rPr>
        <w:tab/>
      </w:r>
      <w:r>
        <w:rPr>
          <w:rFonts w:ascii="Times New Roman" w:hAnsi="Times New Roman" w:cs="Times New Roman"/>
          <w:sz w:val="20"/>
          <w:szCs w:val="20"/>
        </w:rPr>
        <w:t>(38)</w:t>
      </w:r>
    </w:p>
    <w:p>
      <w:pPr>
        <w:ind w:firstLine="420"/>
        <w:rPr>
          <w:rFonts w:ascii="Times New Roman" w:hAnsi="Times New Roman" w:cs="Times New Roman"/>
        </w:rPr>
      </w:pPr>
      <w:r>
        <w:rPr>
          <w:rFonts w:ascii="Times New Roman" w:hAnsi="Times New Roman" w:cs="Times New Roman"/>
        </w:rPr>
        <w:t xml:space="preserve">Here, </w:t>
      </w:r>
      <m:oMath>
        <m:sSub>
          <m:sSubPr>
            <m:ctrlPr>
              <w:rPr>
                <w:rFonts w:ascii="Cambria Math" w:hAnsi="Cambria Math" w:cs="Times New Roman"/>
              </w:rPr>
            </m:ctrlPr>
          </m:sSubPr>
          <m:e>
            <m:r>
              <m:rPr/>
              <w:rPr>
                <w:rFonts w:ascii="Cambria Math" w:hAnsi="Cambria Math" w:cs="Times New Roman"/>
              </w:rPr>
              <m:t>c</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oMath>
      <w:r>
        <w:rPr>
          <w:rFonts w:ascii="Times New Roman" w:hAnsi="Times New Roman" w:cs="Times New Roman"/>
        </w:rPr>
        <w:t xml:space="preserve">is the fitted constant mean, </w:t>
      </w:r>
      <m:oMath>
        <m:sSub>
          <m:sSubPr>
            <m:ctrlPr>
              <w:rPr>
                <w:rFonts w:ascii="Cambria Math" w:hAnsi="Cambria Math" w:cs="Times New Roman"/>
              </w:rPr>
            </m:ctrlPr>
          </m:sSubPr>
          <m:e>
            <m:r>
              <m:rPr/>
              <w:rPr>
                <w:rFonts w:ascii="Cambria Math" w:hAnsi="Cambria Math" w:cs="Times New Roman"/>
              </w:rPr>
              <m:t>k</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θ</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sub>
        </m:sSub>
      </m:oMath>
      <w:r>
        <w:rPr>
          <w:rFonts w:ascii="Times New Roman" w:hAnsi="Times New Roman" w:cs="Times New Roman"/>
        </w:rPr>
        <w:t xml:space="preserve">is the objective-specific covariance function and </w:t>
      </w:r>
      <m:oMath>
        <m:sSubSup>
          <m:sSubSupPr>
            <m:ctrlPr>
              <w:rPr>
                <w:rFonts w:ascii="Cambria Math" w:hAnsi="Cambria Math" w:cs="Times New Roman"/>
              </w:rPr>
            </m:ctrlPr>
          </m:sSubSup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n,k</m:t>
            </m:r>
            <m:ctrlPr>
              <w:rPr>
                <w:rFonts w:ascii="Cambria Math" w:hAnsi="Cambria Math" w:cs="Times New Roman"/>
              </w:rPr>
            </m:ctrlPr>
          </m:sub>
          <m:sup>
            <m:r>
              <m:rPr/>
              <w:rPr>
                <w:rFonts w:ascii="Cambria Math" w:hAnsi="Cambria Math" w:cs="Times New Roman"/>
              </w:rPr>
              <m:t>2</m:t>
            </m:r>
            <m:ctrlPr>
              <w:rPr>
                <w:rFonts w:ascii="Cambria Math" w:hAnsi="Cambria Math" w:cs="Times New Roman"/>
              </w:rPr>
            </m:ctrlPr>
          </m:sup>
        </m:sSubSup>
      </m:oMath>
      <w:r>
        <w:rPr>
          <w:rFonts w:ascii="Times New Roman" w:hAnsi="Times New Roman" w:cs="Times New Roman"/>
        </w:rPr>
        <w:t>is the learned homoskedastic noise variance. In this deterministic retrospective setting, the noise term provides a statistical and numerical allowance for residual model mismatch rather than representing experimental measurement uncertainty.</w:t>
      </w:r>
    </w:p>
    <w:p>
      <w:pPr>
        <w:ind w:firstLine="420"/>
        <w:rPr>
          <w:rFonts w:ascii="Times New Roman" w:hAnsi="Times New Roman" w:cs="Times New Roman"/>
        </w:rPr>
      </w:pPr>
      <w:r>
        <w:rPr>
          <w:rFonts w:ascii="Times New Roman" w:hAnsi="Times New Roman" w:cs="Times New Roman"/>
        </w:rPr>
        <w:t xml:space="preserve">For a test material with representation vector </w:t>
      </w:r>
      <m:oMath>
        <m:sSub>
          <m:sSubPr>
            <m:ctrlPr>
              <w:rPr>
                <w:rFonts w:ascii="Cambria Math" w:hAnsi="Cambria Math" w:cs="Times New Roman"/>
              </w:rPr>
            </m:ctrlPr>
          </m:sSub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oMath>
      <w:r>
        <w:rPr>
          <w:rFonts w:ascii="Times New Roman" w:hAnsi="Times New Roman" w:cs="Times New Roman"/>
        </w:rPr>
        <w:t xml:space="preserve">, define </w:t>
      </w:r>
      <m:oMath>
        <m:sSub>
          <m:sSubPr>
            <m:ctrlPr>
              <w:rPr>
                <w:rFonts w:ascii="Cambria Math" w:hAnsi="Cambria Math" w:cs="Times New Roman"/>
              </w:rPr>
            </m:ctrlPr>
          </m:sSubPr>
          <m:e>
            <m:r>
              <m:rPr>
                <m:sty m:val="b"/>
              </m:rPr>
              <w:rPr>
                <w:rFonts w:ascii="Cambria Math" w:hAnsi="Cambria Math" w:cs="Times New Roman"/>
              </w:rPr>
              <m:t>k</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k</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θ</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sub>
        </m:sSub>
        <m:d>
          <m:dPr>
            <m:sepChr m:val=","/>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ctrlPr>
              <w:rPr>
                <w:rFonts w:ascii="Cambria Math" w:hAnsi="Cambria Math" w:cs="Times New Roman"/>
              </w:rPr>
            </m:ctrlPr>
          </m:e>
          <m:e>
            <m:sSubSup>
              <m:sSubSupPr>
                <m:ctrlPr>
                  <w:rPr>
                    <w:rFonts w:ascii="Cambria Math" w:hAnsi="Cambria Math" w:cs="Times New Roman"/>
                  </w:rPr>
                </m:ctrlPr>
              </m:sSubSupPr>
              <m:e>
                <m:r>
                  <m:rPr/>
                  <w:rPr>
                    <w:rFonts w:ascii="Cambria Math" w:hAnsi="Cambria Math" w:cs="Times New Roman"/>
                  </w:rPr>
                  <m:t>X</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up>
                <m:d>
                  <m:dPr>
                    <m:ctrlPr>
                      <w:rPr>
                        <w:rFonts w:ascii="Cambria Math" w:hAnsi="Cambria Math" w:cs="Times New Roman"/>
                      </w:rPr>
                    </m:ctrlPr>
                  </m:dPr>
                  <m:e>
                    <m:r>
                      <m:rPr/>
                      <w:rPr>
                        <w:rFonts w:ascii="Cambria Math" w:hAnsi="Cambria Math" w:cs="Times New Roman"/>
                      </w:rPr>
                      <m:t>r</m:t>
                    </m:r>
                    <m:ctrlPr>
                      <w:rPr>
                        <w:rFonts w:ascii="Cambria Math" w:hAnsi="Cambria Math" w:cs="Times New Roman"/>
                      </w:rPr>
                    </m:ctrlPr>
                  </m:e>
                </m:d>
                <m:ctrlPr>
                  <w:rPr>
                    <w:rFonts w:ascii="Cambria Math" w:hAnsi="Cambria Math" w:cs="Times New Roman"/>
                  </w:rPr>
                </m:ctrlPr>
              </m:sup>
            </m:sSubSup>
            <m:ctrlPr>
              <w:rPr>
                <w:rFonts w:ascii="Cambria Math" w:hAnsi="Cambria Math" w:cs="Times New Roman"/>
              </w:rPr>
            </m:ctrlPr>
          </m:e>
        </m:d>
      </m:oMath>
      <w:r>
        <w:rPr>
          <w:rFonts w:ascii="Times New Roman" w:hAnsi="Times New Roman" w:cs="Times New Roman"/>
        </w:rPr>
        <w:t xml:space="preserve"> and </w:t>
      </w:r>
      <m:oMath>
        <m:sSub>
          <m:sSubPr>
            <m:ctrlPr>
              <w:rPr>
                <w:rFonts w:ascii="Cambria Math" w:hAnsi="Cambria Math" w:cs="Times New Roman"/>
              </w:rPr>
            </m:ctrlPr>
          </m:sSubPr>
          <m:e>
            <m:r>
              <m:rPr/>
              <w:rPr>
                <w:rFonts w:ascii="Cambria Math" w:hAnsi="Cambria Math" w:cs="Times New Roman"/>
              </w:rPr>
              <m:t>K</m:t>
            </m:r>
            <m:ctrlPr>
              <w:rPr>
                <w:rFonts w:ascii="Cambria Math" w:hAnsi="Cambria Math" w:cs="Times New Roman"/>
              </w:rPr>
            </m:ctrlPr>
          </m:e>
          <m:sub>
            <m:r>
              <m:rPr/>
              <w:rPr>
                <w:rFonts w:ascii="Cambria Math" w:hAnsi="Cambria Math" w:cs="Times New Roman"/>
              </w:rPr>
              <m:t>tt,k</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k</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θ</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sub>
        </m:sSub>
        <m:d>
          <m:dPr>
            <m:sepChr m:val=","/>
            <m:ctrlPr>
              <w:rPr>
                <w:rFonts w:ascii="Cambria Math" w:hAnsi="Cambria Math" w:cs="Times New Roman"/>
              </w:rPr>
            </m:ctrlPr>
          </m:dPr>
          <m:e>
            <m:sSubSup>
              <m:sSubSupPr>
                <m:ctrlPr>
                  <w:rPr>
                    <w:rFonts w:ascii="Cambria Math" w:hAnsi="Cambria Math" w:cs="Times New Roman"/>
                  </w:rPr>
                </m:ctrlPr>
              </m:sSubSupPr>
              <m:e>
                <m:r>
                  <m:rPr/>
                  <w:rPr>
                    <w:rFonts w:ascii="Cambria Math" w:hAnsi="Cambria Math" w:cs="Times New Roman"/>
                  </w:rPr>
                  <m:t>X</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up>
                <m:d>
                  <m:dPr>
                    <m:ctrlPr>
                      <w:rPr>
                        <w:rFonts w:ascii="Cambria Math" w:hAnsi="Cambria Math" w:cs="Times New Roman"/>
                      </w:rPr>
                    </m:ctrlPr>
                  </m:dPr>
                  <m:e>
                    <m:r>
                      <m:rPr/>
                      <w:rPr>
                        <w:rFonts w:ascii="Cambria Math" w:hAnsi="Cambria Math" w:cs="Times New Roman"/>
                      </w:rPr>
                      <m:t>r</m:t>
                    </m:r>
                    <m:ctrlPr>
                      <w:rPr>
                        <w:rFonts w:ascii="Cambria Math" w:hAnsi="Cambria Math" w:cs="Times New Roman"/>
                      </w:rPr>
                    </m:ctrlPr>
                  </m:e>
                </m:d>
                <m:ctrlPr>
                  <w:rPr>
                    <w:rFonts w:ascii="Cambria Math" w:hAnsi="Cambria Math" w:cs="Times New Roman"/>
                  </w:rPr>
                </m:ctrlPr>
              </m:sup>
            </m:sSubSup>
            <m:ctrlPr>
              <w:rPr>
                <w:rFonts w:ascii="Cambria Math" w:hAnsi="Cambria Math" w:cs="Times New Roman"/>
              </w:rPr>
            </m:ctrlPr>
          </m:e>
          <m:e>
            <m:sSubSup>
              <m:sSubSupPr>
                <m:ctrlPr>
                  <w:rPr>
                    <w:rFonts w:ascii="Cambria Math" w:hAnsi="Cambria Math" w:cs="Times New Roman"/>
                  </w:rPr>
                </m:ctrlPr>
              </m:sSubSupPr>
              <m:e>
                <m:r>
                  <m:rPr/>
                  <w:rPr>
                    <w:rFonts w:ascii="Cambria Math" w:hAnsi="Cambria Math" w:cs="Times New Roman"/>
                  </w:rPr>
                  <m:t>X</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up>
                <m:d>
                  <m:dPr>
                    <m:ctrlPr>
                      <w:rPr>
                        <w:rFonts w:ascii="Cambria Math" w:hAnsi="Cambria Math" w:cs="Times New Roman"/>
                      </w:rPr>
                    </m:ctrlPr>
                  </m:dPr>
                  <m:e>
                    <m:r>
                      <m:rPr/>
                      <w:rPr>
                        <w:rFonts w:ascii="Cambria Math" w:hAnsi="Cambria Math" w:cs="Times New Roman"/>
                      </w:rPr>
                      <m:t>r</m:t>
                    </m:r>
                    <m:ctrlPr>
                      <w:rPr>
                        <w:rFonts w:ascii="Cambria Math" w:hAnsi="Cambria Math" w:cs="Times New Roman"/>
                      </w:rPr>
                    </m:ctrlPr>
                  </m:e>
                </m:d>
                <m:ctrlPr>
                  <w:rPr>
                    <w:rFonts w:ascii="Cambria Math" w:hAnsi="Cambria Math" w:cs="Times New Roman"/>
                  </w:rPr>
                </m:ctrlPr>
              </m:sup>
            </m:sSubSup>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Conditioning on the queried data gives the posterior mean</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d>
          <m:dPr>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c</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k</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sSup>
          <m:sSupPr>
            <m:ctrlPr>
              <w:rPr>
                <w:rFonts w:ascii="Cambria Math" w:hAnsi="Cambria Math" w:cs="Times New Roman"/>
              </w:rPr>
            </m:ctrlPr>
          </m:sSupPr>
          <m:e>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K</m:t>
                    </m:r>
                    <m:ctrlPr>
                      <w:rPr>
                        <w:rFonts w:ascii="Cambria Math" w:hAnsi="Cambria Math" w:cs="Times New Roman"/>
                      </w:rPr>
                    </m:ctrlPr>
                  </m:e>
                  <m:sub>
                    <m:r>
                      <m:rPr/>
                      <w:rPr>
                        <w:rFonts w:ascii="Cambria Math" w:hAnsi="Cambria Math" w:cs="Times New Roman"/>
                      </w:rPr>
                      <m:t>tt,k</m:t>
                    </m:r>
                    <m:ctrlPr>
                      <w:rPr>
                        <w:rFonts w:ascii="Cambria Math" w:hAnsi="Cambria Math" w:cs="Times New Roman"/>
                      </w:rPr>
                    </m:ctrlPr>
                  </m:sub>
                </m:sSub>
                <m:ctrlPr>
                  <w:rPr>
                    <w:rFonts w:ascii="Cambria Math" w:hAnsi="Cambria Math" w:cs="Times New Roman"/>
                  </w:rPr>
                </m:ctrlPr>
              </m:e>
              <m:e>
                <m:sSubSup>
                  <m:sSubSupPr>
                    <m:ctrlPr>
                      <w:rPr>
                        <w:rFonts w:ascii="Cambria Math" w:hAnsi="Cambria Math" w:cs="Times New Roman"/>
                      </w:rPr>
                    </m:ctrlPr>
                  </m:sSubSup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n,k</m:t>
                    </m:r>
                    <m:ctrlPr>
                      <w:rPr>
                        <w:rFonts w:ascii="Cambria Math" w:hAnsi="Cambria Math" w:cs="Times New Roman"/>
                      </w:rPr>
                    </m:ctrlPr>
                  </m:sub>
                  <m:sup>
                    <m:r>
                      <m:rPr/>
                      <w:rPr>
                        <w:rFonts w:ascii="Cambria Math" w:hAnsi="Cambria Math" w:cs="Times New Roman"/>
                      </w:rPr>
                      <m:t>2</m:t>
                    </m:r>
                    <m:ctrlPr>
                      <w:rPr>
                        <w:rFonts w:ascii="Cambria Math" w:hAnsi="Cambria Math" w:cs="Times New Roman"/>
                      </w:rPr>
                    </m:ctrlPr>
                  </m:sup>
                </m:sSubSup>
                <m:r>
                  <m:rPr/>
                  <w:rPr>
                    <w:rFonts w:ascii="Cambria Math" w:hAnsi="Cambria Math" w:cs="Times New Roman"/>
                  </w:rPr>
                  <m:t>I</m:t>
                </m:r>
                <m:ctrlPr>
                  <w:rPr>
                    <w:rFonts w:ascii="Cambria Math" w:hAnsi="Cambria Math" w:cs="Times New Roman"/>
                  </w:rPr>
                </m:ctrlPr>
              </m:e>
            </m:d>
            <m:ctrlPr>
              <w:rPr>
                <w:rFonts w:ascii="Cambria Math" w:hAnsi="Cambria Math" w:cs="Times New Roman"/>
              </w:rPr>
            </m:ctrlPr>
          </m:e>
          <m:sup>
            <m:r>
              <m:rPr/>
              <w:rPr>
                <w:rFonts w:ascii="Cambria Math" w:hAnsi="Cambria Math" w:cs="Times New Roman"/>
              </w:rPr>
              <m:t>−1</m:t>
            </m:r>
            <m:ctrlPr>
              <w:rPr>
                <w:rFonts w:ascii="Cambria Math" w:hAnsi="Cambria Math" w:cs="Times New Roman"/>
              </w:rPr>
            </m:ctrlPr>
          </m:sup>
        </m:sSup>
        <m:d>
          <m:dPr>
            <m:sepChr m:val="−"/>
            <m:ctrlPr>
              <w:rPr>
                <w:rFonts w:ascii="Cambria Math" w:hAnsi="Cambria Math" w:cs="Times New Roman"/>
              </w:rPr>
            </m:ctrlPr>
          </m:dPr>
          <m:e>
            <m:sSub>
              <m:sSubPr>
                <m:ctrlPr>
                  <w:rPr>
                    <w:rFonts w:ascii="Cambria Math" w:hAnsi="Cambria Math" w:cs="Times New Roman"/>
                  </w:rPr>
                </m:ctrlPr>
              </m:sSubPr>
              <m:e>
                <m:limUpp>
                  <m:limUppPr>
                    <m:ctrlPr>
                      <w:rPr>
                        <w:rFonts w:ascii="Cambria Math" w:hAnsi="Cambria Math" w:cs="Times New Roman"/>
                      </w:rPr>
                    </m:ctrlPr>
                  </m:limUppPr>
                  <m:e>
                    <m:r>
                      <m:rPr>
                        <m:sty m:val="b"/>
                      </m:rPr>
                      <w:rPr>
                        <w:rFonts w:ascii="Cambria Math" w:hAnsi="Cambria Math" w:cs="Times New Roman"/>
                      </w:rPr>
                      <m:t>y</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c</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r>
              <m:rPr>
                <m:sty m:val="b"/>
              </m:rPr>
              <w:rPr>
                <w:rFonts w:ascii="Cambria Math" w:hAnsi="Cambria Math" w:cs="Times New Roman"/>
              </w:rPr>
              <m:t>1</m:t>
            </m:r>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(39)</w:t>
      </w:r>
    </w:p>
    <w:p>
      <w:pPr>
        <w:rPr>
          <w:rFonts w:ascii="Times New Roman" w:hAnsi="Times New Roman" w:cs="Times New Roman"/>
        </w:rPr>
      </w:pPr>
      <w:r>
        <w:rPr>
          <w:rFonts w:ascii="Times New Roman" w:hAnsi="Times New Roman" w:cs="Times New Roman"/>
        </w:rPr>
        <w:t>and posterior covariance</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phant>
              <m:phantPr>
                <m:ctrlPr>
                  <w:rPr>
                    <w:rFonts w:ascii="Cambria Math" w:hAnsi="Cambria Math" w:cs="Times New Roman"/>
                  </w:rPr>
                </m:ctrlPr>
              </m:phantPr>
              <m:e>
                <m:r>
                  <m:rPr>
                    <m:sty m:val="p"/>
                  </m:rPr>
                  <w:rPr>
                    <w:rFonts w:ascii="Cambria Math" w:hAnsi="Cambria Math" w:cs="Times New Roman"/>
                  </w:rPr>
                  <m:t>Σ</m:t>
                </m:r>
                <m:ctrlPr>
                  <w:rPr>
                    <w:rFonts w:ascii="Cambria Math" w:hAnsi="Cambria Math" w:cs="Times New Roman"/>
                  </w:rPr>
                </m:ctrlPr>
              </m:e>
            </m:phant>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d>
          <m:dPr>
            <m:sepChr m:val=","/>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ctrlPr>
              <w:rPr>
                <w:rFonts w:ascii="Cambria Math" w:hAnsi="Cambria Math" w:cs="Times New Roman"/>
              </w:rPr>
            </m:ctrlPr>
          </m:e>
          <m:e>
            <m:sSubSup>
              <m:sSubSupPr>
                <m:ctrlPr>
                  <w:rPr>
                    <w:rFonts w:ascii="Cambria Math" w:hAnsi="Cambria Math" w:cs="Times New Roman"/>
                  </w:rPr>
                </m:ctrlPr>
              </m:sSubSup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up>
                <m:r>
                  <m:rPr/>
                  <w:rPr>
                    <w:rFonts w:ascii="Cambria Math" w:hAnsi="Cambria Math" w:cs="Times New Roman"/>
                  </w:rPr>
                  <m:t>'</m:t>
                </m:r>
                <m:ctrlPr>
                  <w:rPr>
                    <w:rFonts w:ascii="Cambria Math" w:hAnsi="Cambria Math" w:cs="Times New Roman"/>
                  </w:rPr>
                </m:ctrlPr>
              </m:sup>
            </m:sSubSup>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k</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θ</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sub>
        </m:sSub>
        <m:d>
          <m:dPr>
            <m:sepChr m:val=","/>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ctrlPr>
              <w:rPr>
                <w:rFonts w:ascii="Cambria Math" w:hAnsi="Cambria Math" w:cs="Times New Roman"/>
              </w:rPr>
            </m:ctrlPr>
          </m:e>
          <m:e>
            <m:sSubSup>
              <m:sSubSupPr>
                <m:ctrlPr>
                  <w:rPr>
                    <w:rFonts w:ascii="Cambria Math" w:hAnsi="Cambria Math" w:cs="Times New Roman"/>
                  </w:rPr>
                </m:ctrlPr>
              </m:sSubSup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up>
                <m:r>
                  <m:rPr/>
                  <w:rPr>
                    <w:rFonts w:ascii="Cambria Math" w:hAnsi="Cambria Math" w:cs="Times New Roman"/>
                  </w:rPr>
                  <m:t>'</m:t>
                </m:r>
                <m:ctrlPr>
                  <w:rPr>
                    <w:rFonts w:ascii="Cambria Math" w:hAnsi="Cambria Math" w:cs="Times New Roman"/>
                  </w:rPr>
                </m:ctrlPr>
              </m:sup>
            </m:sSubSup>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k</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sSup>
          <m:sSupPr>
            <m:ctrlPr>
              <w:rPr>
                <w:rFonts w:ascii="Cambria Math" w:hAnsi="Cambria Math" w:cs="Times New Roman"/>
              </w:rPr>
            </m:ctrlPr>
          </m:sSupPr>
          <m:e>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K</m:t>
                    </m:r>
                    <m:ctrlPr>
                      <w:rPr>
                        <w:rFonts w:ascii="Cambria Math" w:hAnsi="Cambria Math" w:cs="Times New Roman"/>
                      </w:rPr>
                    </m:ctrlPr>
                  </m:e>
                  <m:sub>
                    <m:r>
                      <m:rPr/>
                      <w:rPr>
                        <w:rFonts w:ascii="Cambria Math" w:hAnsi="Cambria Math" w:cs="Times New Roman"/>
                      </w:rPr>
                      <m:t>tt,k</m:t>
                    </m:r>
                    <m:ctrlPr>
                      <w:rPr>
                        <w:rFonts w:ascii="Cambria Math" w:hAnsi="Cambria Math" w:cs="Times New Roman"/>
                      </w:rPr>
                    </m:ctrlPr>
                  </m:sub>
                </m:sSub>
                <m:ctrlPr>
                  <w:rPr>
                    <w:rFonts w:ascii="Cambria Math" w:hAnsi="Cambria Math" w:cs="Times New Roman"/>
                  </w:rPr>
                </m:ctrlPr>
              </m:e>
              <m:e>
                <m:sSubSup>
                  <m:sSubSupPr>
                    <m:ctrlPr>
                      <w:rPr>
                        <w:rFonts w:ascii="Cambria Math" w:hAnsi="Cambria Math" w:cs="Times New Roman"/>
                      </w:rPr>
                    </m:ctrlPr>
                  </m:sSubSup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n,k</m:t>
                    </m:r>
                    <m:ctrlPr>
                      <w:rPr>
                        <w:rFonts w:ascii="Cambria Math" w:hAnsi="Cambria Math" w:cs="Times New Roman"/>
                      </w:rPr>
                    </m:ctrlPr>
                  </m:sub>
                  <m:sup>
                    <m:r>
                      <m:rPr/>
                      <w:rPr>
                        <w:rFonts w:ascii="Cambria Math" w:hAnsi="Cambria Math" w:cs="Times New Roman"/>
                      </w:rPr>
                      <m:t>2</m:t>
                    </m:r>
                    <m:ctrlPr>
                      <w:rPr>
                        <w:rFonts w:ascii="Cambria Math" w:hAnsi="Cambria Math" w:cs="Times New Roman"/>
                      </w:rPr>
                    </m:ctrlPr>
                  </m:sup>
                </m:sSubSup>
                <m:r>
                  <m:rPr/>
                  <w:rPr>
                    <w:rFonts w:ascii="Cambria Math" w:hAnsi="Cambria Math" w:cs="Times New Roman"/>
                  </w:rPr>
                  <m:t>I</m:t>
                </m:r>
                <m:ctrlPr>
                  <w:rPr>
                    <w:rFonts w:ascii="Cambria Math" w:hAnsi="Cambria Math" w:cs="Times New Roman"/>
                  </w:rPr>
                </m:ctrlPr>
              </m:e>
            </m:d>
            <m:ctrlPr>
              <w:rPr>
                <w:rFonts w:ascii="Cambria Math" w:hAnsi="Cambria Math" w:cs="Times New Roman"/>
              </w:rPr>
            </m:ctrlPr>
          </m:e>
          <m:sup>
            <m:r>
              <m:rPr/>
              <w:rPr>
                <w:rFonts w:ascii="Cambria Math" w:hAnsi="Cambria Math" w:cs="Times New Roman"/>
              </w:rPr>
              <m:t>−1</m:t>
            </m:r>
            <m:ctrlPr>
              <w:rPr>
                <w:rFonts w:ascii="Cambria Math" w:hAnsi="Cambria Math" w:cs="Times New Roman"/>
              </w:rPr>
            </m:ctrlPr>
          </m:sup>
        </m:sSup>
        <m:sSub>
          <m:sSubPr>
            <m:ctrlPr>
              <w:rPr>
                <w:rFonts w:ascii="Cambria Math" w:hAnsi="Cambria Math" w:cs="Times New Roman"/>
              </w:rPr>
            </m:ctrlPr>
          </m:sSubPr>
          <m:e>
            <m:r>
              <m:rPr>
                <m:sty m:val="b"/>
              </m:rPr>
              <w:rPr>
                <w:rFonts w:ascii="Cambria Math" w:hAnsi="Cambria Math" w:cs="Times New Roman"/>
              </w:rPr>
              <m:t>k</m:t>
            </m:r>
            <m:ctrlPr>
              <w:rPr>
                <w:rFonts w:ascii="Cambria Math" w:hAnsi="Cambria Math" w:cs="Times New Roman"/>
              </w:rPr>
            </m:ctrlPr>
          </m:e>
          <m:sub>
            <m:r>
              <m:rPr/>
              <w:rPr>
                <w:rFonts w:ascii="Cambria Math" w:hAnsi="Cambria Math" w:cs="Times New Roman"/>
              </w:rPr>
              <m:t>t</m:t>
            </m:r>
            <m:sSup>
              <m:sSupPr>
                <m:ctrlPr>
                  <w:rPr>
                    <w:rFonts w:ascii="Cambria Math" w:hAnsi="Cambria Math" w:cs="Times New Roman"/>
                  </w:rPr>
                </m:ctrlPr>
              </m:sSupPr>
              <m:e>
                <m:r>
                  <m:rPr/>
                  <w:rPr>
                    <w:rFonts w:ascii="Cambria Math" w:hAnsi="Cambria Math" w:cs="Times New Roman"/>
                  </w:rPr>
                  <m:t>∗</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r>
              <m:rPr/>
              <w:rPr>
                <w:rFonts w:ascii="Cambria Math" w:hAnsi="Cambria Math" w:cs="Times New Roman"/>
              </w:rPr>
              <m:t>,k</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(40)</w:t>
      </w:r>
    </w:p>
    <w:p>
      <w:pPr>
        <w:ind w:firstLine="420"/>
        <w:rPr>
          <w:rFonts w:ascii="Times New Roman" w:hAnsi="Times New Roman" w:cs="Times New Roman"/>
        </w:rPr>
      </w:pPr>
      <w:r>
        <w:rPr>
          <w:rFonts w:ascii="Times New Roman" w:hAnsi="Times New Roman" w:cs="Times New Roman"/>
        </w:rPr>
        <w:t>The marginal posterior variance was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rPr>
            </m:ctrlPr>
          </m:sSubSup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up>
            <m:r>
              <m:rPr/>
              <w:rPr>
                <w:rFonts w:ascii="Cambria Math" w:hAnsi="Cambria Math" w:cs="Times New Roman"/>
              </w:rPr>
              <m:t>2</m:t>
            </m:r>
            <m:ctrlPr>
              <w:rPr>
                <w:rFonts w:ascii="Cambria Math" w:hAnsi="Cambria Math" w:cs="Times New Roman"/>
              </w:rPr>
            </m:ctrlPr>
          </m:sup>
        </m:sSubSup>
        <m:d>
          <m:dPr>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phant>
              <m:phantPr>
                <m:ctrlPr>
                  <w:rPr>
                    <w:rFonts w:ascii="Cambria Math" w:hAnsi="Cambria Math" w:cs="Times New Roman"/>
                  </w:rPr>
                </m:ctrlPr>
              </m:phantPr>
              <m:e>
                <m:r>
                  <m:rPr>
                    <m:sty m:val="p"/>
                  </m:rPr>
                  <w:rPr>
                    <w:rFonts w:ascii="Cambria Math" w:hAnsi="Cambria Math" w:cs="Times New Roman"/>
                  </w:rPr>
                  <m:t>Σ</m:t>
                </m:r>
                <m:ctrlPr>
                  <w:rPr>
                    <w:rFonts w:ascii="Cambria Math" w:hAnsi="Cambria Math" w:cs="Times New Roman"/>
                  </w:rPr>
                </m:ctrlPr>
              </m:e>
            </m:phant>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d>
          <m:dPr>
            <m:sepChr m:val=","/>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(41)</w:t>
      </w:r>
    </w:p>
    <w:p>
      <w:pPr>
        <w:ind w:firstLine="420"/>
        <w:rPr>
          <w:rFonts w:ascii="Times New Roman" w:hAnsi="Times New Roman" w:cs="Times New Roman"/>
        </w:rPr>
      </w:pPr>
      <w:r>
        <w:rPr>
          <w:rFonts w:ascii="Times New Roman" w:hAnsi="Times New Roman" w:cs="Times New Roman"/>
        </w:rPr>
        <w:t xml:space="preserve">The posterior mean represented the current surrogate estimate of adsorption uptake, whereas the posterior variance quantified predictive uncertainty under the fitted representation and covariance model. The three objective-specific GPs were optimized together by maximizing the sum of their exact marginal log likelihoods,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m:scr m:val="script"/>
              </m:rPr>
              <w:rPr>
                <w:rFonts w:ascii="Cambria Math" w:hAnsi="Cambria Math" w:eastAsia="MS Mincho" w:cs="Times New Roman"/>
              </w:rPr>
              <m:t>ℒ</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nary>
          <m:naryPr>
            <m:chr m:val="∑"/>
            <m:grow m:val="1"/>
            <m:limLoc m:val="subSup"/>
            <m:ctrlPr>
              <w:rPr>
                <w:rFonts w:ascii="Cambria Math" w:hAnsi="Cambria Math" w:cs="Times New Roman"/>
              </w:rPr>
            </m:ctrlPr>
          </m:naryPr>
          <m:sub>
            <m:r>
              <m:rPr/>
              <w:rPr>
                <w:rFonts w:ascii="Cambria Math" w:hAnsi="Cambria Math" w:cs="Times New Roman"/>
              </w:rPr>
              <m:t>k=1</m:t>
            </m:r>
            <m:ctrlPr>
              <w:rPr>
                <w:rFonts w:ascii="Cambria Math" w:hAnsi="Cambria Math" w:cs="Times New Roman"/>
              </w:rPr>
            </m:ctrlPr>
          </m:sub>
          <m:sup>
            <m:r>
              <m:rPr/>
              <w:rPr>
                <w:rFonts w:ascii="Cambria Math" w:hAnsi="Cambria Math" w:cs="Times New Roman"/>
              </w:rPr>
              <m:t>3</m:t>
            </m:r>
            <m:ctrlPr>
              <w:rPr>
                <w:rFonts w:ascii="Cambria Math" w:hAnsi="Cambria Math" w:cs="Times New Roman"/>
              </w:rPr>
            </m:ctrlPr>
          </m:sup>
          <m:e>
            <m:func>
              <m:funcPr>
                <m:ctrlPr>
                  <w:rPr>
                    <w:rFonts w:ascii="Cambria Math" w:hAnsi="Cambria Math" w:cs="Times New Roman"/>
                  </w:rPr>
                </m:ctrlPr>
              </m:funcPr>
              <m:fName>
                <m:r>
                  <m:rPr>
                    <m:sty m:val="p"/>
                  </m:rPr>
                  <w:rPr>
                    <w:rFonts w:ascii="Cambria Math" w:hAnsi="Cambria Math" w:cs="Times New Roman"/>
                  </w:rPr>
                  <m:t>log</m:t>
                </m:r>
                <m:ctrlPr>
                  <w:rPr>
                    <w:rFonts w:ascii="Cambria Math" w:hAnsi="Cambria Math" w:cs="Times New Roman"/>
                  </w:rPr>
                </m:ctrlPr>
              </m:fName>
              <m:e>
                <m:r>
                  <m:rPr/>
                  <w:rPr>
                    <w:rFonts w:ascii="Cambria Math" w:hAnsi="Cambria Math" w:cs="Times New Roman"/>
                  </w:rPr>
                  <m:t>p</m:t>
                </m:r>
                <m:ctrlPr>
                  <w:rPr>
                    <w:rFonts w:ascii="Cambria Math" w:hAnsi="Cambria Math" w:cs="Times New Roman"/>
                  </w:rPr>
                </m:ctrlPr>
              </m:e>
            </m:func>
            <m:ctrlPr>
              <w:rPr>
                <w:rFonts w:ascii="Cambria Math" w:hAnsi="Cambria Math" w:cs="Times New Roman"/>
              </w:rPr>
            </m:ctrlPr>
          </m:e>
        </m:nary>
        <m:d>
          <m:dPr>
            <m:ctrlPr>
              <w:rPr>
                <w:rFonts w:ascii="Cambria Math" w:hAnsi="Cambria Math" w:cs="Times New Roman"/>
              </w:rPr>
            </m:ctrlPr>
          </m:dPr>
          <m:e>
            <m:sSub>
              <m:sSubPr>
                <m:ctrlPr>
                  <w:rPr>
                    <w:rFonts w:ascii="Cambria Math" w:hAnsi="Cambria Math" w:cs="Times New Roman"/>
                  </w:rPr>
                </m:ctrlPr>
              </m:sSubPr>
              <m:e>
                <m:limUpp>
                  <m:limUppPr>
                    <m:ctrlPr>
                      <w:rPr>
                        <w:rFonts w:ascii="Cambria Math" w:hAnsi="Cambria Math" w:cs="Times New Roman"/>
                      </w:rPr>
                    </m:ctrlPr>
                  </m:limUppPr>
                  <m:e>
                    <m:r>
                      <m:rPr>
                        <m:sty m:val="b"/>
                      </m:rPr>
                      <w:rPr>
                        <w:rFonts w:ascii="Cambria Math" w:hAnsi="Cambria Math" w:cs="Times New Roman"/>
                      </w:rPr>
                      <m:t>y</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t>
            </m:r>
            <m:sSubSup>
              <m:sSubSupPr>
                <m:ctrlPr>
                  <w:rPr>
                    <w:rFonts w:ascii="Cambria Math" w:hAnsi="Cambria Math" w:cs="Times New Roman"/>
                  </w:rPr>
                </m:ctrlPr>
              </m:sSubSupPr>
              <m:e>
                <m:r>
                  <m:rPr/>
                  <w:rPr>
                    <w:rFonts w:ascii="Cambria Math" w:hAnsi="Cambria Math" w:cs="Times New Roman"/>
                  </w:rPr>
                  <m:t>X</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up>
                <m:d>
                  <m:dPr>
                    <m:ctrlPr>
                      <w:rPr>
                        <w:rFonts w:ascii="Cambria Math" w:hAnsi="Cambria Math" w:cs="Times New Roman"/>
                      </w:rPr>
                    </m:ctrlPr>
                  </m:dPr>
                  <m:e>
                    <m:r>
                      <m:rPr/>
                      <w:rPr>
                        <w:rFonts w:ascii="Cambria Math" w:hAnsi="Cambria Math" w:cs="Times New Roman"/>
                      </w:rPr>
                      <m:t>r</m:t>
                    </m:r>
                    <m:ctrlPr>
                      <w:rPr>
                        <w:rFonts w:ascii="Cambria Math" w:hAnsi="Cambria Math" w:cs="Times New Roman"/>
                      </w:rPr>
                    </m:ctrlPr>
                  </m:e>
                </m:d>
                <m:ctrlPr>
                  <w:rPr>
                    <w:rFonts w:ascii="Cambria Math" w:hAnsi="Cambria Math" w:cs="Times New Roman"/>
                  </w:rPr>
                </m:ctrlPr>
              </m:sup>
            </m:sSubSup>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θ</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(42)</w:t>
      </w:r>
    </w:p>
    <w:p>
      <w:pPr>
        <w:ind w:firstLine="420"/>
        <w:rPr>
          <w:rFonts w:ascii="Times New Roman" w:hAnsi="Times New Roman" w:cs="Times New Roman"/>
        </w:rPr>
      </w:pPr>
      <w:r>
        <w:rPr>
          <w:rFonts w:ascii="Times New Roman" w:hAnsi="Times New Roman" w:cs="Times New Roman"/>
        </w:rPr>
        <w:t>The implementation used “SumMarginalLogLikelihood” and BoTorch’s exact GP fitting routine. Model calculations were performed in double precision, and GP hyperparameter optimization used a default maximum of 75 iterations.</w:t>
      </w:r>
    </w:p>
    <w:p>
      <w:pPr>
        <w:ind w:firstLine="420"/>
        <w:rPr>
          <w:rFonts w:ascii="Times New Roman" w:hAnsi="Times New Roman" w:cs="Times New Roman"/>
        </w:rPr>
      </w:pPr>
      <w:r>
        <w:rPr>
          <w:rFonts w:ascii="Times New Roman" w:hAnsi="Times New Roman" w:cs="Times New Roman"/>
        </w:rPr>
        <w:t xml:space="preserve">At the beginning of each model-guided round, the three GPs were refitted using all representation coordinates and oracle responses accumulated in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The resulting posterior means and variances were evaluated for the candidate library. The GP was not refitted between individual selections within the same batch; newly selected candidates remained unlabelled until the batch had been completed. Posterior means and standard deviations were transformed back to the original objective scales for exported prediction records and Greedy scoring. All reported discovery metrics were calculated directly from the revealed GCMC oracle values rather than from surrogate predictions.</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6.2.2 Matérn-</w:t>
      </w:r>
      <m:oMath>
        <m:r>
          <m:rPr>
            <m:sty m:val="bi"/>
          </m:rPr>
          <w:rPr>
            <w:rFonts w:ascii="Cambria Math" w:hAnsi="Cambria Math" w:cs="Times New Roman"/>
          </w:rPr>
          <m:t>5</m:t>
        </m:r>
        <m:r>
          <m:rPr>
            <m:sty m:val="b"/>
          </m:rPr>
          <w:rPr>
            <w:rFonts w:ascii="Cambria Math" w:hAnsi="Cambria Math" w:cs="Times New Roman"/>
          </w:rPr>
          <m:t>/</m:t>
        </m:r>
        <m:r>
          <m:rPr>
            <m:sty m:val="bi"/>
          </m:rPr>
          <w:rPr>
            <w:rFonts w:ascii="Cambria Math" w:hAnsi="Cambria Math" w:cs="Times New Roman"/>
          </w:rPr>
          <m:t>2</m:t>
        </m:r>
      </m:oMath>
      <w:r>
        <w:rPr>
          <w:rFonts w:ascii="Times New Roman" w:hAnsi="Times New Roman" w:cs="Times New Roman"/>
          <w:b/>
          <w:bCs/>
        </w:rPr>
        <w:t xml:space="preserve"> covariance and ARD parameterization</w:t>
      </w:r>
    </w:p>
    <w:p>
      <w:pPr>
        <w:ind w:firstLine="420"/>
        <w:rPr>
          <w:rFonts w:ascii="Times New Roman" w:hAnsi="Times New Roman" w:cs="Times New Roman"/>
        </w:rPr>
      </w:pPr>
      <w:r>
        <w:rPr>
          <w:rFonts w:ascii="Times New Roman" w:hAnsi="Times New Roman" w:cs="Times New Roman"/>
        </w:rPr>
        <w:t>The covariance of each objective-specific GP was represented by a scaled Matérn-</w:t>
      </w:r>
      <m:oMath>
        <m:r>
          <m:rPr/>
          <w:rPr>
            <w:rFonts w:ascii="Cambria Math" w:hAnsi="Cambria Math" w:cs="Times New Roman"/>
          </w:rPr>
          <m:t>5</m:t>
        </m:r>
        <m:r>
          <m:rPr>
            <m:sty m:val="p"/>
          </m:rPr>
          <w:rPr>
            <w:rFonts w:ascii="Cambria Math" w:hAnsi="Cambria Math" w:cs="Times New Roman"/>
          </w:rPr>
          <m:t>/</m:t>
        </m:r>
        <m:r>
          <m:rPr/>
          <w:rPr>
            <w:rFonts w:ascii="Cambria Math" w:hAnsi="Cambria Math" w:cs="Times New Roman"/>
          </w:rPr>
          <m:t>2</m:t>
        </m:r>
      </m:oMath>
      <w:r>
        <w:rPr>
          <w:rFonts w:ascii="Times New Roman" w:hAnsi="Times New Roman" w:cs="Times New Roman"/>
        </w:rPr>
        <w:t xml:space="preserve"> kernel,</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k</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θ</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sub>
        </m:sSub>
        <m:d>
          <m:dPr>
            <m:sepChr m:val=","/>
            <m:ctrlPr>
              <w:rPr>
                <w:rFonts w:ascii="Cambria Math" w:hAnsi="Cambria Math" w:cs="Times New Roman"/>
              </w:rPr>
            </m:ctrlPr>
          </m:dPr>
          <m:e>
            <m:r>
              <m:rPr>
                <m:sty m:val="b"/>
              </m:rPr>
              <w:rPr>
                <w:rFonts w:ascii="Cambria Math" w:hAnsi="Cambria Math" w:cs="Times New Roman"/>
              </w:rPr>
              <m:t>x</m:t>
            </m:r>
            <m:ctrlPr>
              <w:rPr>
                <w:rFonts w:ascii="Cambria Math" w:hAnsi="Cambria Math" w:cs="Times New Roman"/>
              </w:rPr>
            </m:ctrlPr>
          </m:e>
          <m:e>
            <m:sSup>
              <m:sSupPr>
                <m:ctrlPr>
                  <w:rPr>
                    <w:rFonts w:ascii="Cambria Math" w:hAnsi="Cambria Math" w:cs="Times New Roman"/>
                  </w:rPr>
                </m:ctrlPr>
              </m:sSupPr>
              <m:e>
                <m:r>
                  <m:rPr>
                    <m:sty m:val="b"/>
                  </m:rPr>
                  <w:rPr>
                    <w:rFonts w:ascii="Cambria Math" w:hAnsi="Cambria Math" w:cs="Times New Roman"/>
                  </w:rPr>
                  <m:t>x</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e>
        </m:d>
        <m:r>
          <m:rPr/>
          <w:rPr>
            <w:rFonts w:ascii="Cambria Math" w:hAnsi="Cambria Math" w:cs="Times New Roman"/>
          </w:rPr>
          <m:t>=</m:t>
        </m:r>
        <m:sSubSup>
          <m:sSubSupPr>
            <m:ctrlPr>
              <w:rPr>
                <w:rFonts w:ascii="Cambria Math" w:hAnsi="Cambria Math" w:cs="Times New Roman"/>
              </w:rPr>
            </m:ctrlPr>
          </m:sSubSup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f,k</m:t>
            </m:r>
            <m:ctrlPr>
              <w:rPr>
                <w:rFonts w:ascii="Cambria Math" w:hAnsi="Cambria Math" w:cs="Times New Roman"/>
              </w:rPr>
            </m:ctrlPr>
          </m:sub>
          <m:sup>
            <m:r>
              <m:rPr/>
              <w:rPr>
                <w:rFonts w:ascii="Cambria Math" w:hAnsi="Cambria Math" w:cs="Times New Roman"/>
              </w:rPr>
              <m:t>2</m:t>
            </m:r>
            <m:ctrlPr>
              <w:rPr>
                <w:rFonts w:ascii="Cambria Math" w:hAnsi="Cambria Math" w:cs="Times New Roman"/>
              </w:rPr>
            </m:ctrlPr>
          </m:sup>
        </m:sSubSup>
        <m:d>
          <m:dPr>
            <m:ctrlPr>
              <w:rPr>
                <w:rFonts w:ascii="Cambria Math" w:hAnsi="Cambria Math" w:cs="Times New Roman"/>
              </w:rPr>
            </m:ctrlPr>
          </m:dPr>
          <m:e>
            <m:r>
              <m:rPr/>
              <w:rPr>
                <w:rFonts w:ascii="Cambria Math" w:hAnsi="Cambria Math" w:cs="Times New Roman"/>
              </w:rPr>
              <m:t>1+</m:t>
            </m:r>
            <m:rad>
              <m:radPr>
                <m:degHide m:val="1"/>
                <m:ctrlPr>
                  <w:rPr>
                    <w:rFonts w:ascii="Cambria Math" w:hAnsi="Cambria Math" w:cs="Times New Roman"/>
                  </w:rPr>
                </m:ctrlPr>
              </m:radPr>
              <m:deg>
                <m:ctrlPr>
                  <w:rPr>
                    <w:rFonts w:ascii="Cambria Math" w:hAnsi="Cambria Math" w:cs="Times New Roman"/>
                  </w:rPr>
                </m:ctrlPr>
              </m:deg>
              <m:e>
                <m:r>
                  <m:rPr/>
                  <w:rPr>
                    <w:rFonts w:ascii="Cambria Math" w:hAnsi="Cambria Math" w:cs="Times New Roman"/>
                  </w:rPr>
                  <m:t>5</m:t>
                </m:r>
                <m:ctrlPr>
                  <w:rPr>
                    <w:rFonts w:ascii="Cambria Math" w:hAnsi="Cambria Math" w:cs="Times New Roman"/>
                  </w:rPr>
                </m:ctrlPr>
              </m:e>
            </m:rad>
            <m:sSub>
              <m:sSubPr>
                <m:ctrlPr>
                  <w:rPr>
                    <w:rFonts w:ascii="Cambria Math" w:hAnsi="Cambria Math" w:cs="Times New Roman"/>
                  </w:rPr>
                </m:ctrlPr>
              </m:sSubPr>
              <m:e>
                <m:r>
                  <m:rPr/>
                  <w:rPr>
                    <w:rFonts w:ascii="Cambria Math" w:hAnsi="Cambria Math" w:cs="Times New Roman"/>
                  </w:rPr>
                  <m:t>r</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r>
              <m:rPr/>
              <w:rPr>
                <w:rFonts w:ascii="Cambria Math" w:hAnsi="Cambria Math" w:cs="Times New Roman"/>
              </w:rPr>
              <m:t>+</m:t>
            </m:r>
            <m:f>
              <m:fPr>
                <m:ctrlPr>
                  <w:rPr>
                    <w:rFonts w:ascii="Cambria Math" w:hAnsi="Cambria Math" w:cs="Times New Roman"/>
                    <w:i/>
                  </w:rPr>
                </m:ctrlPr>
              </m:fPr>
              <m:num>
                <m:r>
                  <m:rPr/>
                  <w:rPr>
                    <w:rFonts w:ascii="Cambria Math" w:hAnsi="Cambria Math" w:cs="Times New Roman"/>
                  </w:rPr>
                  <m:t>5</m:t>
                </m:r>
                <m:ctrlPr>
                  <w:rPr>
                    <w:rFonts w:ascii="Cambria Math" w:hAnsi="Cambria Math" w:cs="Times New Roman"/>
                    <w:i/>
                  </w:rPr>
                </m:ctrlPr>
              </m:num>
              <m:den>
                <m:r>
                  <m:rPr/>
                  <w:rPr>
                    <w:rFonts w:ascii="Cambria Math" w:hAnsi="Cambria Math" w:cs="Times New Roman"/>
                  </w:rPr>
                  <m:t>3</m:t>
                </m:r>
                <m:ctrlPr>
                  <w:rPr>
                    <w:rFonts w:ascii="Cambria Math" w:hAnsi="Cambria Math" w:cs="Times New Roman"/>
                    <w:i/>
                  </w:rPr>
                </m:ctrlPr>
              </m:den>
            </m:f>
            <m:sSubSup>
              <m:sSubSupPr>
                <m:ctrlPr>
                  <w:rPr>
                    <w:rFonts w:ascii="Cambria Math" w:hAnsi="Cambria Math" w:cs="Times New Roman"/>
                    <w:i/>
                  </w:rPr>
                </m:ctrlPr>
              </m:sSubSupPr>
              <m:e>
                <m:r>
                  <m:rPr/>
                  <w:rPr>
                    <w:rFonts w:ascii="Cambria Math" w:hAnsi="Cambria Math" w:cs="Times New Roman"/>
                  </w:rPr>
                  <m:t>r</m:t>
                </m:r>
                <m:ctrlPr>
                  <w:rPr>
                    <w:rFonts w:ascii="Cambria Math" w:hAnsi="Cambria Math" w:cs="Times New Roman"/>
                    <w:i/>
                  </w:rPr>
                </m:ctrlPr>
              </m:e>
              <m:sub>
                <m:r>
                  <m:rPr/>
                  <w:rPr>
                    <w:rFonts w:ascii="Cambria Math" w:hAnsi="Cambria Math" w:cs="Times New Roman"/>
                  </w:rPr>
                  <m:t>k</m:t>
                </m:r>
                <m:ctrlPr>
                  <w:rPr>
                    <w:rFonts w:ascii="Cambria Math" w:hAnsi="Cambria Math" w:cs="Times New Roman"/>
                    <w:i/>
                  </w:rPr>
                </m:ctrlPr>
              </m:sub>
              <m:sup>
                <m:r>
                  <m:rPr/>
                  <w:rPr>
                    <w:rFonts w:ascii="Cambria Math" w:hAnsi="Cambria Math" w:cs="Times New Roman"/>
                  </w:rPr>
                  <m:t>2</m:t>
                </m:r>
                <m:ctrlPr>
                  <w:rPr>
                    <w:rFonts w:ascii="Cambria Math" w:hAnsi="Cambria Math" w:cs="Times New Roman"/>
                    <w:i/>
                  </w:rPr>
                </m:ctrlPr>
              </m:sup>
            </m:sSubSup>
            <m:ctrlPr>
              <w:rPr>
                <w:rFonts w:ascii="Cambria Math" w:hAnsi="Cambria Math" w:cs="Times New Roman"/>
              </w:rPr>
            </m:ctrlPr>
          </m:e>
        </m:d>
        <m:r>
          <m:rPr>
            <m:sty m:val="p"/>
          </m:rPr>
          <w:rPr>
            <w:rFonts w:ascii="Cambria Math" w:hAnsi="Cambria Math" w:cs="Times New Roman"/>
          </w:rPr>
          <m:t>exp</m:t>
        </m:r>
        <m:d>
          <m:dPr>
            <m:ctrlPr>
              <w:rPr>
                <w:rFonts w:ascii="Cambria Math" w:hAnsi="Cambria Math" w:cs="Times New Roman"/>
              </w:rPr>
            </m:ctrlPr>
          </m:dPr>
          <m:e>
            <m:r>
              <m:rPr/>
              <w:rPr>
                <w:rFonts w:ascii="Cambria Math" w:hAnsi="Cambria Math" w:cs="Times New Roman"/>
              </w:rPr>
              <m:t>−</m:t>
            </m:r>
            <m:rad>
              <m:radPr>
                <m:degHide m:val="1"/>
                <m:ctrlPr>
                  <w:rPr>
                    <w:rFonts w:ascii="Cambria Math" w:hAnsi="Cambria Math" w:cs="Times New Roman"/>
                  </w:rPr>
                </m:ctrlPr>
              </m:radPr>
              <m:deg>
                <m:ctrlPr>
                  <w:rPr>
                    <w:rFonts w:ascii="Cambria Math" w:hAnsi="Cambria Math" w:cs="Times New Roman"/>
                  </w:rPr>
                </m:ctrlPr>
              </m:deg>
              <m:e>
                <m:r>
                  <m:rPr/>
                  <w:rPr>
                    <w:rFonts w:ascii="Cambria Math" w:hAnsi="Cambria Math" w:cs="Times New Roman"/>
                  </w:rPr>
                  <m:t>5</m:t>
                </m:r>
                <m:ctrlPr>
                  <w:rPr>
                    <w:rFonts w:ascii="Cambria Math" w:hAnsi="Cambria Math" w:cs="Times New Roman"/>
                  </w:rPr>
                </m:ctrlPr>
              </m:e>
            </m:rad>
            <m:sSub>
              <m:sSubPr>
                <m:ctrlPr>
                  <w:rPr>
                    <w:rFonts w:ascii="Cambria Math" w:hAnsi="Cambria Math" w:cs="Times New Roman"/>
                  </w:rPr>
                </m:ctrlPr>
              </m:sSubPr>
              <m:e>
                <m:r>
                  <m:rPr/>
                  <w:rPr>
                    <w:rFonts w:ascii="Cambria Math" w:hAnsi="Cambria Math" w:cs="Times New Roman"/>
                  </w:rPr>
                  <m:t>r</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(43)</w:t>
      </w:r>
    </w:p>
    <w:p>
      <w:pPr>
        <w:rPr>
          <w:rFonts w:ascii="Times New Roman" w:hAnsi="Times New Roman" w:cs="Times New Roman"/>
        </w:rPr>
      </w:pPr>
      <w:r>
        <w:rPr>
          <w:rFonts w:ascii="Times New Roman" w:hAnsi="Times New Roman" w:cs="Times New Roman"/>
        </w:rPr>
        <w:t xml:space="preserve">where </w:t>
      </w:r>
      <m:oMath>
        <m:sSubSup>
          <m:sSubSupPr>
            <m:ctrlPr>
              <w:rPr>
                <w:rFonts w:ascii="Cambria Math" w:hAnsi="Cambria Math" w:cs="Times New Roman"/>
              </w:rPr>
            </m:ctrlPr>
          </m:sSubSup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f,k</m:t>
            </m:r>
            <m:ctrlPr>
              <w:rPr>
                <w:rFonts w:ascii="Cambria Math" w:hAnsi="Cambria Math" w:cs="Times New Roman"/>
              </w:rPr>
            </m:ctrlPr>
          </m:sub>
          <m:sup>
            <m:r>
              <m:rPr/>
              <w:rPr>
                <w:rFonts w:ascii="Cambria Math" w:hAnsi="Cambria Math" w:cs="Times New Roman"/>
              </w:rPr>
              <m:t>2</m:t>
            </m:r>
            <m:ctrlPr>
              <w:rPr>
                <w:rFonts w:ascii="Cambria Math" w:hAnsi="Cambria Math" w:cs="Times New Roman"/>
              </w:rPr>
            </m:ctrlPr>
          </m:sup>
        </m:sSubSup>
      </m:oMath>
      <w:r>
        <w:rPr>
          <w:rFonts w:ascii="Times New Roman" w:hAnsi="Times New Roman" w:cs="Times New Roman"/>
        </w:rPr>
        <w:t xml:space="preserve">is the fitted output scale and </w:t>
      </w:r>
      <m:oMath>
        <m:sSub>
          <m:sSubPr>
            <m:ctrlPr>
              <w:rPr>
                <w:rFonts w:ascii="Cambria Math" w:hAnsi="Cambria Math" w:cs="Times New Roman"/>
              </w:rPr>
            </m:ctrlPr>
          </m:sSubPr>
          <m:e>
            <m:r>
              <m:rPr/>
              <w:rPr>
                <w:rFonts w:ascii="Cambria Math" w:hAnsi="Cambria Math" w:cs="Times New Roman"/>
              </w:rPr>
              <m:t>r</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oMath>
      <w:r>
        <w:rPr>
          <w:rFonts w:ascii="Times New Roman" w:hAnsi="Times New Roman" w:cs="Times New Roman"/>
        </w:rPr>
        <w:t xml:space="preserve">is the length-scale-adjusted distance between two input vectors. The covariance was implemented as a MaternKernel with </w:t>
      </w:r>
      <m:oMath>
        <m:r>
          <m:rPr/>
          <w:rPr>
            <w:rFonts w:ascii="Cambria Math" w:hAnsi="Cambria Math" w:cs="Times New Roman"/>
          </w:rPr>
          <m:t>ν=2.5</m:t>
        </m:r>
      </m:oMath>
      <w:r>
        <w:rPr>
          <w:rFonts w:ascii="Times New Roman" w:hAnsi="Times New Roman" w:cs="Times New Roman"/>
        </w:rPr>
        <w:t>, enclosed by a ScaleKernel. Under the general dimension-specific form,</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r</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d>
          <m:dPr>
            <m:sepChr m:val=","/>
            <m:ctrlPr>
              <w:rPr>
                <w:rFonts w:ascii="Cambria Math" w:hAnsi="Cambria Math" w:cs="Times New Roman"/>
              </w:rPr>
            </m:ctrlPr>
          </m:dPr>
          <m:e>
            <m:r>
              <m:rPr>
                <m:sty m:val="b"/>
              </m:rPr>
              <w:rPr>
                <w:rFonts w:ascii="Cambria Math" w:hAnsi="Cambria Math" w:cs="Times New Roman"/>
              </w:rPr>
              <m:t>x</m:t>
            </m:r>
            <m:ctrlPr>
              <w:rPr>
                <w:rFonts w:ascii="Cambria Math" w:hAnsi="Cambria Math" w:cs="Times New Roman"/>
              </w:rPr>
            </m:ctrlPr>
          </m:e>
          <m:e>
            <m:sSup>
              <m:sSupPr>
                <m:ctrlPr>
                  <w:rPr>
                    <w:rFonts w:ascii="Cambria Math" w:hAnsi="Cambria Math" w:cs="Times New Roman"/>
                  </w:rPr>
                </m:ctrlPr>
              </m:sSupPr>
              <m:e>
                <m:r>
                  <m:rPr>
                    <m:sty m:val="b"/>
                  </m:rPr>
                  <w:rPr>
                    <w:rFonts w:ascii="Cambria Math" w:hAnsi="Cambria Math" w:cs="Times New Roman"/>
                  </w:rPr>
                  <m:t>x</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e>
        </m:d>
        <m:r>
          <m:rPr/>
          <w:rPr>
            <w:rFonts w:ascii="Cambria Math" w:hAnsi="Cambria Math" w:cs="Times New Roman"/>
          </w:rPr>
          <m:t>=</m:t>
        </m:r>
        <m:sSup>
          <m:sSupPr>
            <m:ctrlPr>
              <w:rPr>
                <w:rFonts w:ascii="Cambria Math" w:hAnsi="Cambria Math" w:cs="Times New Roman"/>
              </w:rPr>
            </m:ctrlPr>
          </m:sSupPr>
          <m:e>
            <m:d>
              <m:dPr>
                <m:begChr m:val="["/>
                <m:endChr m:val="]"/>
                <m:ctrlPr>
                  <w:rPr>
                    <w:rFonts w:ascii="Cambria Math" w:hAnsi="Cambria Math" w:cs="Times New Roman"/>
                  </w:rPr>
                </m:ctrlPr>
              </m:dPr>
              <m:e>
                <m:nary>
                  <m:naryPr>
                    <m:chr m:val="∑"/>
                    <m:grow m:val="1"/>
                    <m:limLoc m:val="subSup"/>
                    <m:ctrlPr>
                      <w:rPr>
                        <w:rFonts w:ascii="Cambria Math" w:hAnsi="Cambria Math" w:cs="Times New Roman"/>
                      </w:rPr>
                    </m:ctrlPr>
                  </m:naryPr>
                  <m:sub>
                    <m:r>
                      <m:rPr/>
                      <w:rPr>
                        <w:rFonts w:ascii="Cambria Math" w:hAnsi="Cambria Math" w:cs="Times New Roman"/>
                      </w:rPr>
                      <m:t>j=1</m:t>
                    </m:r>
                    <m:ctrlPr>
                      <w:rPr>
                        <w:rFonts w:ascii="Cambria Math" w:hAnsi="Cambria Math" w:cs="Times New Roman"/>
                      </w:rPr>
                    </m:ctrlPr>
                  </m:sub>
                  <m:sup>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r>
                          <m:rPr/>
                          <w:rPr>
                            <w:rFonts w:ascii="Cambria Math" w:hAnsi="Cambria Math" w:cs="Times New Roman"/>
                          </w:rPr>
                          <m:t>r</m:t>
                        </m:r>
                        <m:ctrlPr>
                          <w:rPr>
                            <w:rFonts w:ascii="Cambria Math" w:hAnsi="Cambria Math" w:cs="Times New Roman"/>
                          </w:rPr>
                        </m:ctrlPr>
                      </m:sub>
                    </m:sSub>
                    <m:ctrlPr>
                      <w:rPr>
                        <w:rFonts w:ascii="Cambria Math" w:hAnsi="Cambria Math" w:cs="Times New Roman"/>
                      </w:rPr>
                    </m:ctrlPr>
                  </m:sup>
                  <m:e>
                    <m:f>
                      <m:fPr>
                        <m:ctrlPr>
                          <w:rPr>
                            <w:rFonts w:ascii="Cambria Math" w:hAnsi="Cambria Math" w:cs="Times New Roman"/>
                          </w:rPr>
                        </m:ctrlPr>
                      </m:fPr>
                      <m:num>
                        <m:sSup>
                          <m:sSupPr>
                            <m:ctrlPr>
                              <w:rPr>
                                <w:rFonts w:ascii="Cambria Math" w:hAnsi="Cambria Math" w:cs="Times New Roman"/>
                              </w:rPr>
                            </m:ctrlPr>
                          </m:sSupPr>
                          <m:e>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x</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ctrlPr>
                                  <w:rPr>
                                    <w:rFonts w:ascii="Cambria Math" w:hAnsi="Cambria Math" w:cs="Times New Roman"/>
                                  </w:rPr>
                                </m:ctrlPr>
                              </m:e>
                              <m:e>
                                <m:sSubSup>
                                  <m:sSubSupPr>
                                    <m:ctrlPr>
                                      <w:rPr>
                                        <w:rFonts w:ascii="Cambria Math" w:hAnsi="Cambria Math" w:cs="Times New Roman"/>
                                      </w:rPr>
                                    </m:ctrlPr>
                                  </m:sSubSupPr>
                                  <m:e>
                                    <m:r>
                                      <m:rPr/>
                                      <w:rPr>
                                        <w:rFonts w:ascii="Cambria Math" w:hAnsi="Cambria Math" w:cs="Times New Roman"/>
                                      </w:rPr>
                                      <m:t>x</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up>
                                    <m:r>
                                      <m:rPr/>
                                      <w:rPr>
                                        <w:rFonts w:ascii="Cambria Math" w:hAnsi="Cambria Math" w:cs="Times New Roman"/>
                                      </w:rPr>
                                      <m:t>'</m:t>
                                    </m:r>
                                    <m:ctrlPr>
                                      <w:rPr>
                                        <w:rFonts w:ascii="Cambria Math" w:hAnsi="Cambria Math" w:cs="Times New Roman"/>
                                      </w:rPr>
                                    </m:ctrlPr>
                                  </m:sup>
                                </m:sSubSup>
                                <m:ctrlPr>
                                  <w:rPr>
                                    <w:rFonts w:ascii="Cambria Math" w:hAnsi="Cambria Math" w:cs="Times New Roman"/>
                                  </w:rPr>
                                </m:ctrlPr>
                              </m:e>
                            </m:d>
                            <m:ctrlPr>
                              <w:rPr>
                                <w:rFonts w:ascii="Cambria Math" w:hAnsi="Cambria Math" w:cs="Times New Roman"/>
                              </w:rPr>
                            </m:ctrlPr>
                          </m:e>
                          <m:sup>
                            <m:r>
                              <m:rPr/>
                              <w:rPr>
                                <w:rFonts w:ascii="Cambria Math" w:hAnsi="Cambria Math" w:cs="Times New Roman"/>
                              </w:rPr>
                              <m:t>2</m:t>
                            </m:r>
                            <m:ctrlPr>
                              <w:rPr>
                                <w:rFonts w:ascii="Cambria Math" w:hAnsi="Cambria Math" w:cs="Times New Roman"/>
                              </w:rPr>
                            </m:ctrlPr>
                          </m:sup>
                        </m:sSup>
                        <m:ctrlPr>
                          <w:rPr>
                            <w:rFonts w:ascii="Cambria Math" w:hAnsi="Cambria Math" w:cs="Times New Roman"/>
                          </w:rPr>
                        </m:ctrlPr>
                      </m:num>
                      <m:den>
                        <m:sSubSup>
                          <m:sSubSupPr>
                            <m:ctrlPr>
                              <w:rPr>
                                <w:rFonts w:ascii="Cambria Math" w:hAnsi="Cambria Math" w:cs="Times New Roman"/>
                              </w:rPr>
                            </m:ctrlPr>
                          </m:sSubSup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k,j</m:t>
                            </m:r>
                            <m:ctrlPr>
                              <w:rPr>
                                <w:rFonts w:ascii="Cambria Math" w:hAnsi="Cambria Math" w:cs="Times New Roman"/>
                              </w:rPr>
                            </m:ctrlPr>
                          </m:sub>
                          <m:sup>
                            <m:r>
                              <m:rPr/>
                              <w:rPr>
                                <w:rFonts w:ascii="Cambria Math" w:hAnsi="Cambria Math" w:cs="Times New Roman"/>
                              </w:rPr>
                              <m:t>2</m:t>
                            </m:r>
                            <m:ctrlPr>
                              <w:rPr>
                                <w:rFonts w:ascii="Cambria Math" w:hAnsi="Cambria Math" w:cs="Times New Roman"/>
                              </w:rPr>
                            </m:ctrlPr>
                          </m:sup>
                        </m:sSubSup>
                        <m:ctrlPr>
                          <w:rPr>
                            <w:rFonts w:ascii="Cambria Math" w:hAnsi="Cambria Math" w:cs="Times New Roman"/>
                          </w:rPr>
                        </m:ctrlPr>
                      </m:den>
                    </m:f>
                    <m:ctrlPr>
                      <w:rPr>
                        <w:rFonts w:ascii="Cambria Math" w:hAnsi="Cambria Math" w:cs="Times New Roman"/>
                      </w:rPr>
                    </m:ctrlPr>
                  </m:e>
                </m:nary>
                <m:ctrlPr>
                  <w:rPr>
                    <w:rFonts w:ascii="Cambria Math" w:hAnsi="Cambria Math" w:cs="Times New Roman"/>
                  </w:rPr>
                </m:ctrlPr>
              </m:e>
            </m:d>
            <m:ctrlPr>
              <w:rPr>
                <w:rFonts w:ascii="Cambria Math" w:hAnsi="Cambria Math" w:cs="Times New Roman"/>
              </w:rPr>
            </m:ctrlPr>
          </m:e>
          <m:sup>
            <m:r>
              <m:rPr/>
              <w:rPr>
                <w:rFonts w:ascii="Cambria Math" w:hAnsi="Cambria Math" w:cs="Times New Roman"/>
              </w:rPr>
              <m:t>1/2</m:t>
            </m:r>
            <m:ctrlPr>
              <w:rPr>
                <w:rFonts w:ascii="Cambria Math" w:hAnsi="Cambria Math" w:cs="Times New Roman"/>
              </w:rPr>
            </m:ctrlPr>
          </m:sup>
        </m:sSup>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(44)</w:t>
      </w:r>
    </w:p>
    <w:p>
      <w:pPr>
        <w:rPr>
          <w:rFonts w:ascii="Times New Roman" w:hAnsi="Times New Roman" w:cs="Times New Roman"/>
        </w:rPr>
      </w:pPr>
      <w:r>
        <w:rPr>
          <w:rFonts w:ascii="Times New Roman" w:hAnsi="Times New Roman" w:cs="Times New Roman"/>
        </w:rPr>
        <w:t xml:space="preserve">where </w:t>
      </w:r>
      <m:oMath>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r>
              <m:rPr/>
              <w:rPr>
                <w:rFonts w:ascii="Cambria Math" w:hAnsi="Cambria Math" w:cs="Times New Roman"/>
              </w:rPr>
              <m:t>r</m:t>
            </m:r>
            <m:ctrlPr>
              <w:rPr>
                <w:rFonts w:ascii="Cambria Math" w:hAnsi="Cambria Math" w:cs="Times New Roman"/>
              </w:rPr>
            </m:ctrlPr>
          </m:sub>
        </m:sSub>
      </m:oMath>
      <w:r>
        <w:rPr>
          <w:rFonts w:ascii="Times New Roman" w:hAnsi="Times New Roman" w:cs="Times New Roman"/>
        </w:rPr>
        <w:t xml:space="preserve">is the dimensionality of input space </w:t>
      </w:r>
      <m:oMath>
        <m:r>
          <m:rPr/>
          <w:rPr>
            <w:rFonts w:ascii="Cambria Math" w:hAnsi="Cambria Math" w:cs="Times New Roman"/>
          </w:rPr>
          <m:t>r</m:t>
        </m:r>
      </m:oMath>
      <w:r>
        <w:rPr>
          <w:rFonts w:ascii="Times New Roman" w:hAnsi="Times New Roman" w:cs="Times New Roman"/>
        </w:rPr>
        <w:t xml:space="preserve">, and </w:t>
      </w:r>
      <m:oMath>
        <m:sSub>
          <m:sSubPr>
            <m:ctrlPr>
              <w:rPr>
                <w:rFonts w:ascii="Cambria Math" w:hAnsi="Cambria Math" w:cs="Times New Roman"/>
              </w:rPr>
            </m:ctrlPr>
          </m:sSubPr>
          <m:e>
            <m:r>
              <m:rPr>
                <m:sty m:val="p"/>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k,j</m:t>
            </m:r>
            <m:ctrlPr>
              <w:rPr>
                <w:rFonts w:ascii="Cambria Math" w:hAnsi="Cambria Math" w:cs="Times New Roman"/>
              </w:rPr>
            </m:ctrlPr>
          </m:sub>
        </m:sSub>
        <m:r>
          <m:rPr/>
          <w:rPr>
            <w:rFonts w:ascii="Cambria Math" w:hAnsi="Cambria Math" w:cs="Times New Roman"/>
          </w:rPr>
          <m:t xml:space="preserve">&gt;0 </m:t>
        </m:r>
      </m:oMath>
      <w:r>
        <w:rPr>
          <w:rFonts w:ascii="Times New Roman" w:hAnsi="Times New Roman" w:cs="Times New Roman"/>
        </w:rPr>
        <w:t xml:space="preserve">is the characteristic length scale for coordinate </w:t>
      </w:r>
      <m:oMath>
        <m:r>
          <m:rPr/>
          <w:rPr>
            <w:rFonts w:ascii="Cambria Math" w:hAnsi="Cambria Math" w:cs="Times New Roman"/>
          </w:rPr>
          <m:t>j</m:t>
        </m:r>
      </m:oMath>
      <w:r>
        <w:rPr>
          <w:rFonts w:ascii="Times New Roman" w:hAnsi="Times New Roman" w:cs="Times New Roman"/>
        </w:rPr>
        <w:t xml:space="preserve">and objective </w:t>
      </w:r>
      <m:oMath>
        <m:r>
          <m:rPr/>
          <w:rPr>
            <w:rFonts w:ascii="Cambria Math" w:hAnsi="Cambria Math" w:cs="Times New Roman"/>
          </w:rPr>
          <m:t>k</m:t>
        </m:r>
      </m:oMath>
      <w:r>
        <w:rPr>
          <w:rFonts w:ascii="Times New Roman" w:hAnsi="Times New Roman" w:cs="Times New Roman"/>
        </w:rPr>
        <w:t>.</w:t>
      </w:r>
    </w:p>
    <w:p>
      <w:pPr>
        <w:ind w:firstLine="420"/>
        <w:rPr>
          <w:rFonts w:ascii="Times New Roman" w:hAnsi="Times New Roman" w:cs="Times New Roman"/>
        </w:rPr>
      </w:pPr>
      <w:r>
        <w:rPr>
          <w:rFonts w:ascii="Times New Roman" w:hAnsi="Times New Roman" w:cs="Times New Roman"/>
        </w:rPr>
        <w:t xml:space="preserve">A smaller length scale permits the latent response to vary over shorter distances along the corresponding representation coordinate, whereas a larger length scale implies slower variation. The fitted length scales quantify sensitivity within the adopted representation geometry and are not interpreted as direct causal measures of the physical importance of individual descriptors or principal components. </w:t>
      </w:r>
    </w:p>
    <w:p>
      <w:pPr>
        <w:ind w:firstLine="420"/>
        <w:rPr>
          <w:rFonts w:ascii="Times New Roman" w:hAnsi="Times New Roman" w:cs="Times New Roman"/>
        </w:rPr>
      </w:pPr>
      <w:r>
        <w:rPr>
          <w:rFonts w:ascii="Times New Roman" w:hAnsi="Times New Roman" w:cs="Times New Roman"/>
        </w:rPr>
        <w:t>The Matérn-</w:t>
      </w:r>
      <m:oMath>
        <m:r>
          <m:rPr/>
          <w:rPr>
            <w:rFonts w:ascii="Cambria Math" w:hAnsi="Cambria Math" w:cs="Times New Roman"/>
          </w:rPr>
          <m:t>5</m:t>
        </m:r>
        <m:r>
          <m:rPr>
            <m:sty m:val="p"/>
          </m:rPr>
          <w:rPr>
            <w:rFonts w:ascii="Cambria Math" w:hAnsi="Cambria Math" w:cs="Times New Roman"/>
          </w:rPr>
          <m:t>/</m:t>
        </m:r>
        <m:r>
          <m:rPr/>
          <w:rPr>
            <w:rFonts w:ascii="Cambria Math" w:hAnsi="Cambria Math" w:cs="Times New Roman"/>
          </w:rPr>
          <m:t>2</m:t>
        </m:r>
      </m:oMath>
      <w:r>
        <w:rPr>
          <w:rFonts w:ascii="Times New Roman" w:hAnsi="Times New Roman" w:cs="Times New Roman"/>
        </w:rPr>
        <w:t xml:space="preserve"> covariance permits less restrictive response smoothness than the infinitely differentiable squared-exponential kernel while retaining a smooth latent response. This provides sufficient flexibility to represent adsorption landscapes that vary gradually over some regions of representation space but more sharply over others. Automatic relevance determination modified the parameterization of the scaled distance. With ARD enabled, each input coordinate had an independently fitted length scale, </w:t>
      </w:r>
      <m:oMath>
        <m:sSub>
          <m:sSubPr>
            <m:ctrlPr>
              <w:rPr>
                <w:rFonts w:ascii="Cambria Math" w:hAnsi="Cambria Math" w:cs="Times New Roman"/>
              </w:rPr>
            </m:ctrlPr>
          </m:sSub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r>
          <m:rPr/>
          <w:rPr>
            <w:rFonts w:ascii="Cambria Math" w:hAnsi="Cambria Math" w:cs="Times New Roman"/>
          </w:rPr>
          <m:t>=</m:t>
        </m:r>
        <m:d>
          <m:dPr>
            <m:ctrlPr>
              <w:rPr>
                <w:rFonts w:ascii="Cambria Math" w:hAnsi="Cambria Math" w:cs="Times New Roman"/>
              </w:rPr>
            </m:ctrlPr>
          </m:dPr>
          <m:e>
            <m:sSub>
              <m:sSubPr>
                <m:ctrlPr>
                  <w:rPr>
                    <w:rFonts w:ascii="Cambria Math" w:hAnsi="Cambria Math" w:cs="Times New Roman"/>
                  </w:rPr>
                </m:ctrlPr>
              </m:sSub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k,1</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m:t>
                </m:r>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r>
                      <m:rPr/>
                      <w:rPr>
                        <w:rFonts w:ascii="Cambria Math" w:hAnsi="Cambria Math" w:cs="Times New Roman"/>
                      </w:rPr>
                      <m:t>r</m:t>
                    </m:r>
                    <m:ctrlPr>
                      <w:rPr>
                        <w:rFonts w:ascii="Cambria Math" w:hAnsi="Cambria Math" w:cs="Times New Roman"/>
                      </w:rPr>
                    </m:ctrlPr>
                  </m:sub>
                </m:sSub>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and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rPr>
            </m:ctrlPr>
          </m:sSubSupPr>
          <m:e>
            <m:r>
              <m:rPr/>
              <w:rPr>
                <w:rFonts w:ascii="Cambria Math" w:hAnsi="Cambria Math" w:cs="Times New Roman"/>
              </w:rPr>
              <m:t>r</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ARD</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bSup>
        <m:r>
          <m:rPr/>
          <w:rPr>
            <w:rFonts w:ascii="Cambria Math" w:hAnsi="Cambria Math" w:cs="Times New Roman"/>
          </w:rPr>
          <m:t>=</m:t>
        </m:r>
        <m:sSup>
          <m:sSupPr>
            <m:ctrlPr>
              <w:rPr>
                <w:rFonts w:ascii="Cambria Math" w:hAnsi="Cambria Math" w:cs="Times New Roman"/>
              </w:rPr>
            </m:ctrlPr>
          </m:sSupPr>
          <m:e>
            <m:d>
              <m:dPr>
                <m:begChr m:val="["/>
                <m:endChr m:val="]"/>
                <m:ctrlPr>
                  <w:rPr>
                    <w:rFonts w:ascii="Cambria Math" w:hAnsi="Cambria Math" w:cs="Times New Roman"/>
                  </w:rPr>
                </m:ctrlPr>
              </m:dPr>
              <m:e>
                <m:nary>
                  <m:naryPr>
                    <m:chr m:val="∑"/>
                    <m:grow m:val="1"/>
                    <m:limLoc m:val="subSup"/>
                    <m:ctrlPr>
                      <w:rPr>
                        <w:rFonts w:ascii="Cambria Math" w:hAnsi="Cambria Math" w:cs="Times New Roman"/>
                      </w:rPr>
                    </m:ctrlPr>
                  </m:naryPr>
                  <m:sub>
                    <m:r>
                      <m:rPr/>
                      <w:rPr>
                        <w:rFonts w:ascii="Cambria Math" w:hAnsi="Cambria Math" w:cs="Times New Roman"/>
                      </w:rPr>
                      <m:t>j=1</m:t>
                    </m:r>
                    <m:ctrlPr>
                      <w:rPr>
                        <w:rFonts w:ascii="Cambria Math" w:hAnsi="Cambria Math" w:cs="Times New Roman"/>
                      </w:rPr>
                    </m:ctrlPr>
                  </m:sub>
                  <m:sup>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r>
                          <m:rPr/>
                          <w:rPr>
                            <w:rFonts w:ascii="Cambria Math" w:hAnsi="Cambria Math" w:cs="Times New Roman"/>
                          </w:rPr>
                          <m:t>r</m:t>
                        </m:r>
                        <m:ctrlPr>
                          <w:rPr>
                            <w:rFonts w:ascii="Cambria Math" w:hAnsi="Cambria Math" w:cs="Times New Roman"/>
                          </w:rPr>
                        </m:ctrlPr>
                      </m:sub>
                    </m:sSub>
                    <m:ctrlPr>
                      <w:rPr>
                        <w:rFonts w:ascii="Cambria Math" w:hAnsi="Cambria Math" w:cs="Times New Roman"/>
                      </w:rPr>
                    </m:ctrlPr>
                  </m:sup>
                  <m:e>
                    <m:f>
                      <m:fPr>
                        <m:ctrlPr>
                          <w:rPr>
                            <w:rFonts w:ascii="Cambria Math" w:hAnsi="Cambria Math" w:cs="Times New Roman"/>
                          </w:rPr>
                        </m:ctrlPr>
                      </m:fPr>
                      <m:num>
                        <m:sSup>
                          <m:sSupPr>
                            <m:ctrlPr>
                              <w:rPr>
                                <w:rFonts w:ascii="Cambria Math" w:hAnsi="Cambria Math" w:cs="Times New Roman"/>
                              </w:rPr>
                            </m:ctrlPr>
                          </m:sSupPr>
                          <m:e>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x</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ctrlPr>
                                  <w:rPr>
                                    <w:rFonts w:ascii="Cambria Math" w:hAnsi="Cambria Math" w:cs="Times New Roman"/>
                                  </w:rPr>
                                </m:ctrlPr>
                              </m:e>
                              <m:e>
                                <m:sSubSup>
                                  <m:sSubSupPr>
                                    <m:ctrlPr>
                                      <w:rPr>
                                        <w:rFonts w:ascii="Cambria Math" w:hAnsi="Cambria Math" w:cs="Times New Roman"/>
                                      </w:rPr>
                                    </m:ctrlPr>
                                  </m:sSubSupPr>
                                  <m:e>
                                    <m:r>
                                      <m:rPr/>
                                      <w:rPr>
                                        <w:rFonts w:ascii="Cambria Math" w:hAnsi="Cambria Math" w:cs="Times New Roman"/>
                                      </w:rPr>
                                      <m:t>x</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up>
                                    <m:r>
                                      <m:rPr/>
                                      <w:rPr>
                                        <w:rFonts w:ascii="Cambria Math" w:hAnsi="Cambria Math" w:cs="Times New Roman"/>
                                      </w:rPr>
                                      <m:t>'</m:t>
                                    </m:r>
                                    <m:ctrlPr>
                                      <w:rPr>
                                        <w:rFonts w:ascii="Cambria Math" w:hAnsi="Cambria Math" w:cs="Times New Roman"/>
                                      </w:rPr>
                                    </m:ctrlPr>
                                  </m:sup>
                                </m:sSubSup>
                                <m:ctrlPr>
                                  <w:rPr>
                                    <w:rFonts w:ascii="Cambria Math" w:hAnsi="Cambria Math" w:cs="Times New Roman"/>
                                  </w:rPr>
                                </m:ctrlPr>
                              </m:e>
                            </m:d>
                            <m:ctrlPr>
                              <w:rPr>
                                <w:rFonts w:ascii="Cambria Math" w:hAnsi="Cambria Math" w:cs="Times New Roman"/>
                              </w:rPr>
                            </m:ctrlPr>
                          </m:e>
                          <m:sup>
                            <m:r>
                              <m:rPr/>
                              <w:rPr>
                                <w:rFonts w:ascii="Cambria Math" w:hAnsi="Cambria Math" w:cs="Times New Roman"/>
                              </w:rPr>
                              <m:t>2</m:t>
                            </m:r>
                            <m:ctrlPr>
                              <w:rPr>
                                <w:rFonts w:ascii="Cambria Math" w:hAnsi="Cambria Math" w:cs="Times New Roman"/>
                              </w:rPr>
                            </m:ctrlPr>
                          </m:sup>
                        </m:sSup>
                        <m:ctrlPr>
                          <w:rPr>
                            <w:rFonts w:ascii="Cambria Math" w:hAnsi="Cambria Math" w:cs="Times New Roman"/>
                          </w:rPr>
                        </m:ctrlPr>
                      </m:num>
                      <m:den>
                        <m:sSubSup>
                          <m:sSubSupPr>
                            <m:ctrlPr>
                              <w:rPr>
                                <w:rFonts w:ascii="Cambria Math" w:hAnsi="Cambria Math" w:cs="Times New Roman"/>
                              </w:rPr>
                            </m:ctrlPr>
                          </m:sSubSup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k,j</m:t>
                            </m:r>
                            <m:ctrlPr>
                              <w:rPr>
                                <w:rFonts w:ascii="Cambria Math" w:hAnsi="Cambria Math" w:cs="Times New Roman"/>
                              </w:rPr>
                            </m:ctrlPr>
                          </m:sub>
                          <m:sup>
                            <m:r>
                              <m:rPr/>
                              <w:rPr>
                                <w:rFonts w:ascii="Cambria Math" w:hAnsi="Cambria Math" w:cs="Times New Roman"/>
                              </w:rPr>
                              <m:t>2</m:t>
                            </m:r>
                            <m:ctrlPr>
                              <w:rPr>
                                <w:rFonts w:ascii="Cambria Math" w:hAnsi="Cambria Math" w:cs="Times New Roman"/>
                              </w:rPr>
                            </m:ctrlPr>
                          </m:sup>
                        </m:sSubSup>
                        <m:ctrlPr>
                          <w:rPr>
                            <w:rFonts w:ascii="Cambria Math" w:hAnsi="Cambria Math" w:cs="Times New Roman"/>
                          </w:rPr>
                        </m:ctrlPr>
                      </m:den>
                    </m:f>
                    <m:ctrlPr>
                      <w:rPr>
                        <w:rFonts w:ascii="Cambria Math" w:hAnsi="Cambria Math" w:cs="Times New Roman"/>
                      </w:rPr>
                    </m:ctrlPr>
                  </m:e>
                </m:nary>
                <m:ctrlPr>
                  <w:rPr>
                    <w:rFonts w:ascii="Cambria Math" w:hAnsi="Cambria Math" w:cs="Times New Roman"/>
                  </w:rPr>
                </m:ctrlPr>
              </m:e>
            </m:d>
            <m:ctrlPr>
              <w:rPr>
                <w:rFonts w:ascii="Cambria Math" w:hAnsi="Cambria Math" w:cs="Times New Roman"/>
              </w:rPr>
            </m:ctrlPr>
          </m:e>
          <m:sup>
            <m:r>
              <m:rPr/>
              <w:rPr>
                <w:rFonts w:ascii="Cambria Math" w:hAnsi="Cambria Math" w:cs="Times New Roman"/>
              </w:rPr>
              <m:t>1/2</m:t>
            </m:r>
            <m:ctrlPr>
              <w:rPr>
                <w:rFonts w:ascii="Cambria Math" w:hAnsi="Cambria Math" w:cs="Times New Roman"/>
              </w:rPr>
            </m:ctrlPr>
          </m:sup>
        </m:sSup>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(45)</w:t>
      </w:r>
    </w:p>
    <w:p>
      <w:pPr>
        <w:ind w:firstLine="420"/>
        <w:rPr>
          <w:rFonts w:ascii="Times New Roman" w:hAnsi="Times New Roman" w:cs="Times New Roman"/>
        </w:rPr>
      </w:pPr>
      <w:r>
        <w:rPr>
          <w:rFonts w:ascii="Times New Roman" w:hAnsi="Times New Roman" w:cs="Times New Roman"/>
        </w:rPr>
        <w:t xml:space="preserve">With ARD disabled, all coordinates shared one objective-specific length scale, </w:t>
      </w:r>
      <m:oMath>
        <m:sSub>
          <m:sSubPr>
            <m:ctrlPr>
              <w:rPr>
                <w:rFonts w:ascii="Cambria Math" w:hAnsi="Cambria Math" w:cs="Times New Roman"/>
              </w:rPr>
            </m:ctrlPr>
          </m:sSub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k,1</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k,2</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m:t>
            </m:r>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r>
                  <m:rPr/>
                  <w:rPr>
                    <w:rFonts w:ascii="Cambria Math" w:hAnsi="Cambria Math" w:cs="Times New Roman"/>
                  </w:rPr>
                  <m:t>r</m:t>
                </m:r>
                <m:ctrlPr>
                  <w:rPr>
                    <w:rFonts w:ascii="Cambria Math" w:hAnsi="Cambria Math" w:cs="Times New Roman"/>
                  </w:rPr>
                </m:ctrlPr>
              </m:sub>
            </m:sSub>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rPr>
        <w:t xml:space="preserve"> giving</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rPr>
            </m:ctrlPr>
          </m:sSubSupPr>
          <m:e>
            <m:r>
              <m:rPr/>
              <w:rPr>
                <w:rFonts w:ascii="Cambria Math" w:hAnsi="Cambria Math" w:cs="Times New Roman"/>
              </w:rPr>
              <m:t>r</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iso</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bSup>
        <m:r>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d>
                  <m:dPr>
                    <m:begChr m:val="‖"/>
                    <m:sepChr m:val="−"/>
                    <m:endChr m:val="‖"/>
                    <m:ctrlPr>
                      <w:rPr>
                        <w:rFonts w:ascii="Cambria Math" w:hAnsi="Cambria Math" w:cs="Times New Roman"/>
                      </w:rPr>
                    </m:ctrlPr>
                  </m:dPr>
                  <m:e>
                    <m:r>
                      <m:rPr>
                        <m:sty m:val="b"/>
                      </m:rPr>
                      <w:rPr>
                        <w:rFonts w:ascii="Cambria Math" w:hAnsi="Cambria Math" w:cs="Times New Roman"/>
                      </w:rPr>
                      <m:t>x</m:t>
                    </m:r>
                    <m:ctrlPr>
                      <w:rPr>
                        <w:rFonts w:ascii="Cambria Math" w:hAnsi="Cambria Math" w:cs="Times New Roman"/>
                      </w:rPr>
                    </m:ctrlPr>
                  </m:e>
                  <m:e>
                    <m:sSup>
                      <m:sSupPr>
                        <m:ctrlPr>
                          <w:rPr>
                            <w:rFonts w:ascii="Cambria Math" w:hAnsi="Cambria Math" w:cs="Times New Roman"/>
                          </w:rPr>
                        </m:ctrlPr>
                      </m:sSupPr>
                      <m:e>
                        <m:r>
                          <m:rPr>
                            <m:sty m:val="b"/>
                          </m:rPr>
                          <w:rPr>
                            <w:rFonts w:ascii="Cambria Math" w:hAnsi="Cambria Math" w:cs="Times New Roman"/>
                          </w:rPr>
                          <m:t>x</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e>
                </m:d>
                <m:ctrlPr>
                  <w:rPr>
                    <w:rFonts w:ascii="Cambria Math" w:hAnsi="Cambria Math" w:cs="Times New Roman"/>
                  </w:rPr>
                </m:ctrlPr>
              </m:e>
              <m:sub>
                <m:r>
                  <m:rPr/>
                  <w:rPr>
                    <w:rFonts w:ascii="Cambria Math" w:hAnsi="Cambria Math" w:cs="Times New Roman"/>
                  </w:rPr>
                  <m:t>2</m:t>
                </m:r>
                <m:ctrlPr>
                  <w:rPr>
                    <w:rFonts w:ascii="Cambria Math" w:hAnsi="Cambria Math" w:cs="Times New Roman"/>
                  </w:rPr>
                </m:ctrlPr>
              </m:sub>
            </m:sSub>
            <m:ctrlPr>
              <w:rPr>
                <w:rFonts w:ascii="Cambria Math" w:hAnsi="Cambria Math" w:cs="Times New Roman"/>
              </w:rPr>
            </m:ctrlPr>
          </m:num>
          <m:den>
            <m:sSub>
              <m:sSubPr>
                <m:ctrlPr>
                  <w:rPr>
                    <w:rFonts w:ascii="Cambria Math" w:hAnsi="Cambria Math" w:cs="Times New Roman"/>
                  </w:rPr>
                </m:ctrlPr>
              </m:sSubPr>
              <m:e>
                <m:r>
                  <m:rPr>
                    <m:scr m:val="script"/>
                  </m:rPr>
                  <w:rPr>
                    <w:rFonts w:ascii="Cambria Math" w:hAnsi="Cambria Math" w:eastAsia="MS Mincho" w:cs="Times New Roman"/>
                  </w:rPr>
                  <m:t>l</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Sub>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(46)</w:t>
      </w:r>
    </w:p>
    <w:p>
      <w:pPr>
        <w:ind w:firstLine="420"/>
        <w:rPr>
          <w:rFonts w:ascii="Times New Roman" w:hAnsi="Times New Roman" w:cs="Times New Roman"/>
        </w:rPr>
      </w:pPr>
      <w:r>
        <w:rPr>
          <w:rFonts w:ascii="Times New Roman" w:hAnsi="Times New Roman" w:cs="Times New Roman"/>
        </w:rPr>
        <w:t>The implementation set “ard_num_dims” equal to the input dimensionality when ARD was enabled and set it to None when ARD was disabled. ARD increases model flexibility by allowing the surrogate to adapt separately to different input directions, but it also increases the number of kernel parameters estimated from the queried data. This distinction is relatively modest for the 14-dimensional Manual representation and becomes more substantial for the 41-, 58-, 86- and 145-dimensional Hybrid PCA spaces. ARD was consequently treated as an explicit model factor rather than assumed to provide a representation-independent improvement.</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6.2.3 Model-guided acquisition and candidate-selection functions</w:t>
      </w:r>
    </w:p>
    <w:p>
      <w:pPr>
        <w:ind w:firstLine="420"/>
        <w:rPr>
          <w:rFonts w:ascii="Times New Roman" w:hAnsi="Times New Roman" w:cs="Times New Roman"/>
        </w:rPr>
      </w:pPr>
      <w:r>
        <w:rPr>
          <w:rFonts w:ascii="Times New Roman" w:hAnsi="Times New Roman" w:cs="Times New Roman"/>
        </w:rPr>
        <w:t>The GP posteriors were converted into candidate priorities using two model-guided policies. qEHVI incorporated both posterior means and posterior uncertainty through expected hypervolume improvement, whereas Greedy selection ranked candidates using only their posterior-mean estimates.</w:t>
      </w:r>
    </w:p>
    <w:p>
      <w:pPr>
        <w:rPr>
          <w:rFonts w:ascii="Times New Roman" w:hAnsi="Times New Roman" w:cs="Times New Roman"/>
        </w:rPr>
      </w:pPr>
      <w:r>
        <w:rPr>
          <w:rFonts w:ascii="Times New Roman" w:hAnsi="Times New Roman" w:cs="Times New Roman"/>
          <w:b/>
          <w:bCs/>
          <w:sz w:val="22"/>
        </w:rPr>
        <w:t>S</w:t>
      </w:r>
      <w:r>
        <w:rPr>
          <w:rFonts w:ascii="Times New Roman" w:hAnsi="Times New Roman" w:cs="Times New Roman"/>
          <w:b/>
          <w:bCs/>
        </w:rPr>
        <w:t>6.2.3.1 qEHVI acquisition</w:t>
      </w:r>
    </w:p>
    <w:p>
      <w:pPr>
        <w:ind w:firstLine="420"/>
        <w:rPr>
          <w:rFonts w:ascii="Times New Roman" w:hAnsi="Times New Roman" w:cs="Times New Roman"/>
        </w:rPr>
      </w:pPr>
      <w:r>
        <w:rPr>
          <w:rFonts w:ascii="Times New Roman" w:hAnsi="Times New Roman" w:cs="Times New Roman"/>
        </w:rPr>
        <w:t xml:space="preserve">RepMOBO used q-expected hypervolume improvement as its uncertainty-aware multi-objective acquisition function. Let </w:t>
      </w:r>
      <m:oMath>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P</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r>
          <m:rPr>
            <m:sty m:val="p"/>
          </m:rPr>
          <w:rPr>
            <w:rFonts w:ascii="Cambria Math" w:hAnsi="Cambria Math" w:cs="Times New Roman"/>
          </w:rPr>
          <m:t>ND</m:t>
        </m:r>
        <m:r>
          <m:rPr/>
          <w:rPr>
            <w:rFonts w:ascii="Cambria Math" w:hAnsi="Cambria Math" w:cs="Times New Roman"/>
          </w:rPr>
          <m:t>⁡</m:t>
        </m:r>
        <m:d>
          <m:dPr>
            <m:ctrlPr>
              <w:rPr>
                <w:rFonts w:ascii="Cambria Math" w:hAnsi="Cambria Math" w:cs="Times New Roman"/>
              </w:rPr>
            </m:ctrlPr>
          </m:dPr>
          <m:e>
            <m:sSub>
              <m:sSubPr>
                <m:ctrlPr>
                  <w:rPr>
                    <w:rFonts w:ascii="Cambria Math" w:hAnsi="Cambria Math" w:cs="Times New Roman"/>
                  </w:rPr>
                </m:ctrlPr>
              </m:sSubPr>
              <m:e>
                <m:limUpp>
                  <m:limUppPr>
                    <m:ctrlPr>
                      <w:rPr>
                        <w:rFonts w:ascii="Cambria Math" w:hAnsi="Cambria Math" w:cs="Times New Roman"/>
                      </w:rPr>
                    </m:ctrlPr>
                  </m:limUppPr>
                  <m:e>
                    <m:r>
                      <m:rPr>
                        <m:sty m:val="b"/>
                      </m:rPr>
                      <w:rPr>
                        <w:rFonts w:ascii="Cambria Math" w:hAnsi="Cambria Math" w:cs="Times New Roman"/>
                      </w:rPr>
                      <m:t>Y</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d>
      </m:oMath>
      <w:r>
        <w:rPr>
          <w:rFonts w:ascii="Times New Roman" w:hAnsi="Times New Roman" w:cs="Times New Roman"/>
        </w:rPr>
        <w:t xml:space="preserve"> denote the non-dominated subset of the standardized objective vectors observed in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 For a prospective candidate batch </w:t>
      </w:r>
      <m:oMath>
        <m:r>
          <m:rPr/>
          <w:rPr>
            <w:rFonts w:ascii="Cambria Math" w:hAnsi="Cambria Math" w:cs="Times New Roman"/>
          </w:rPr>
          <m:t>X=</m:t>
        </m:r>
        <m:d>
          <m:dPr>
            <m:begChr m:val="{"/>
            <m:endChr m:val="}"/>
            <m:ctrlPr>
              <w:rPr>
                <w:rFonts w:ascii="Cambria Math" w:hAnsi="Cambria Math" w:cs="Times New Roman"/>
              </w:rPr>
            </m:ctrlPr>
          </m:dPr>
          <m:e>
            <m:sSup>
              <m:sSupPr>
                <m:ctrlPr>
                  <w:rPr>
                    <w:rFonts w:ascii="Cambria Math" w:hAnsi="Cambria Math" w:cs="Times New Roman"/>
                  </w:rPr>
                </m:ctrlPr>
              </m:sSupPr>
              <m:e>
                <m:r>
                  <m:rPr>
                    <m:sty m:val="b"/>
                  </m:rPr>
                  <w:rPr>
                    <w:rFonts w:ascii="Cambria Math" w:hAnsi="Cambria Math" w:cs="Times New Roman"/>
                  </w:rPr>
                  <m:t>x</m:t>
                </m:r>
                <m:ctrlPr>
                  <w:rPr>
                    <w:rFonts w:ascii="Cambria Math" w:hAnsi="Cambria Math" w:cs="Times New Roman"/>
                  </w:rPr>
                </m:ctrlPr>
              </m:e>
              <m:sup>
                <m:d>
                  <m:dPr>
                    <m:ctrlPr>
                      <w:rPr>
                        <w:rFonts w:ascii="Cambria Math" w:hAnsi="Cambria Math" w:cs="Times New Roman"/>
                      </w:rPr>
                    </m:ctrlPr>
                  </m:dPr>
                  <m:e>
                    <m:r>
                      <m:rPr/>
                      <w:rPr>
                        <w:rFonts w:ascii="Cambria Math" w:hAnsi="Cambria Math" w:cs="Times New Roman"/>
                      </w:rPr>
                      <m:t>1</m:t>
                    </m:r>
                    <m:ctrlPr>
                      <w:rPr>
                        <w:rFonts w:ascii="Cambria Math" w:hAnsi="Cambria Math" w:cs="Times New Roman"/>
                      </w:rPr>
                    </m:ctrlPr>
                  </m:e>
                </m:d>
                <m:ctrlPr>
                  <w:rPr>
                    <w:rFonts w:ascii="Cambria Math" w:hAnsi="Cambria Math" w:cs="Times New Roman"/>
                  </w:rPr>
                </m:ctrlPr>
              </m:sup>
            </m:sSup>
            <m:r>
              <m:rPr/>
              <w:rPr>
                <w:rFonts w:ascii="Cambria Math" w:hAnsi="Cambria Math" w:cs="Times New Roman"/>
              </w:rPr>
              <m:t>,…,</m:t>
            </m:r>
            <m:sSup>
              <m:sSupPr>
                <m:ctrlPr>
                  <w:rPr>
                    <w:rFonts w:ascii="Cambria Math" w:hAnsi="Cambria Math" w:cs="Times New Roman"/>
                  </w:rPr>
                </m:ctrlPr>
              </m:sSupPr>
              <m:e>
                <m:r>
                  <m:rPr>
                    <m:sty m:val="b"/>
                  </m:rPr>
                  <w:rPr>
                    <w:rFonts w:ascii="Cambria Math" w:hAnsi="Cambria Math" w:cs="Times New Roman"/>
                  </w:rPr>
                  <m:t>x</m:t>
                </m:r>
                <m:ctrlPr>
                  <w:rPr>
                    <w:rFonts w:ascii="Cambria Math" w:hAnsi="Cambria Math" w:cs="Times New Roman"/>
                  </w:rPr>
                </m:ctrlPr>
              </m:e>
              <m:sup>
                <m:d>
                  <m:dPr>
                    <m:ctrlPr>
                      <w:rPr>
                        <w:rFonts w:ascii="Cambria Math" w:hAnsi="Cambria Math" w:cs="Times New Roman"/>
                      </w:rPr>
                    </m:ctrlPr>
                  </m:dPr>
                  <m:e>
                    <m:r>
                      <m:rPr/>
                      <w:rPr>
                        <w:rFonts w:ascii="Cambria Math" w:hAnsi="Cambria Math" w:cs="Times New Roman"/>
                      </w:rPr>
                      <m:t>q</m:t>
                    </m:r>
                    <m:ctrlPr>
                      <w:rPr>
                        <w:rFonts w:ascii="Cambria Math" w:hAnsi="Cambria Math" w:cs="Times New Roman"/>
                      </w:rPr>
                    </m:ctrlPr>
                  </m:e>
                </m:d>
                <m:ctrlPr>
                  <w:rPr>
                    <w:rFonts w:ascii="Cambria Math" w:hAnsi="Cambria Math" w:cs="Times New Roman"/>
                  </w:rPr>
                </m:ctrlPr>
              </m:sup>
            </m:sSup>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let </w:t>
      </w:r>
      <m:oMath>
        <m:acc>
          <m:accPr>
            <m:chr m:val="̃"/>
            <m:ctrlPr>
              <w:rPr>
                <w:rFonts w:ascii="Cambria Math" w:hAnsi="Cambria Math" w:cs="Times New Roman"/>
              </w:rPr>
            </m:ctrlPr>
          </m:accPr>
          <m:e>
            <m:r>
              <m:rPr>
                <m:sty m:val="b"/>
              </m:rPr>
              <w:rPr>
                <w:rFonts w:ascii="Cambria Math" w:hAnsi="Cambria Math" w:cs="Times New Roman"/>
              </w:rPr>
              <m:t>Y</m:t>
            </m:r>
            <m:ctrlPr>
              <w:rPr>
                <w:rFonts w:ascii="Cambria Math" w:hAnsi="Cambria Math" w:cs="Times New Roman"/>
              </w:rPr>
            </m:ctrlPr>
          </m:e>
        </m:acc>
        <m:r>
          <m:rPr/>
          <w:rPr>
            <w:rFonts w:ascii="Cambria Math" w:hAnsi="Cambria Math" w:cs="Times New Roman"/>
          </w:rPr>
          <m:t>(X)</m:t>
        </m:r>
      </m:oMath>
      <w:r>
        <w:rPr>
          <w:rFonts w:ascii="Times New Roman" w:hAnsi="Times New Roman" w:cs="Times New Roman"/>
        </w:rPr>
        <w:t>denote its random standardized objective outcomes under the three GP posteriors.</w:t>
      </w:r>
    </w:p>
    <w:p>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For a standardized acquisition reference point </w:t>
      </w:r>
      <m:oMath>
        <m:sSub>
          <m:sSubPr>
            <m:ctrlPr>
              <w:rPr>
                <w:rFonts w:ascii="Cambria Math" w:hAnsi="Cambria Math" w:cs="Times New Roman"/>
              </w:rPr>
            </m:ctrlPr>
          </m:sSubPr>
          <m:e>
            <m:acc>
              <m:accPr>
                <m:chr m:val="̃"/>
                <m:ctrlPr>
                  <w:rPr>
                    <w:rFonts w:ascii="Cambria Math" w:hAnsi="Cambria Math" w:cs="Times New Roman"/>
                  </w:rPr>
                </m:ctrlPr>
              </m:accPr>
              <m:e>
                <m:r>
                  <m:rPr>
                    <m:sty m:val="b"/>
                  </m:rPr>
                  <w:rPr>
                    <w:rFonts w:ascii="Cambria Math" w:hAnsi="Cambria Math" w:cs="Times New Roman"/>
                  </w:rPr>
                  <m:t>r</m:t>
                </m:r>
                <m:ctrlPr>
                  <w:rPr>
                    <w:rFonts w:ascii="Cambria Math" w:hAnsi="Cambria Math" w:cs="Times New Roman"/>
                  </w:rPr>
                </m:ctrlPr>
              </m:e>
            </m:acc>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the hypervolume improvement associated with one posterior realization was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phant>
          <m:phantPr>
            <m:ctrlPr>
              <w:rPr>
                <w:rFonts w:ascii="Cambria Math" w:hAnsi="Cambria Math" w:cs="Times New Roman"/>
              </w:rPr>
            </m:ctrlPr>
          </m:phantPr>
          <m:e>
            <m:r>
              <m:rPr>
                <m:sty m:val="p"/>
              </m:rPr>
              <w:rPr>
                <w:rFonts w:ascii="Cambria Math" w:hAnsi="Cambria Math" w:cs="Times New Roman"/>
              </w:rPr>
              <m:t>Δ</m:t>
            </m:r>
            <m:ctrlPr>
              <w:rPr>
                <w:rFonts w:ascii="Cambria Math" w:hAnsi="Cambria Math" w:cs="Times New Roman"/>
              </w:rPr>
            </m:ctrlPr>
          </m:e>
        </m:phant>
        <m:r>
          <m:rPr/>
          <w:rPr>
            <w:rFonts w:ascii="Cambria Math" w:hAnsi="Cambria Math" w:cs="Times New Roman"/>
          </w:rPr>
          <m:t>H</m:t>
        </m:r>
        <m:sSub>
          <m:sSubPr>
            <m:ctrlPr>
              <w:rPr>
                <w:rFonts w:ascii="Cambria Math" w:hAnsi="Cambria Math" w:cs="Times New Roman"/>
              </w:rPr>
            </m:ctrlPr>
          </m:sSubPr>
          <m:e>
            <m:r>
              <m:rPr/>
              <w:rPr>
                <w:rFonts w:ascii="Cambria Math" w:hAnsi="Cambria Math" w:cs="Times New Roman"/>
              </w:rPr>
              <m:t>V</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d>
          <m:dPr>
            <m:ctrlPr>
              <w:rPr>
                <w:rFonts w:ascii="Cambria Math" w:hAnsi="Cambria Math" w:cs="Times New Roman"/>
              </w:rPr>
            </m:ctrlPr>
          </m:dPr>
          <m:e>
            <m:limUpp>
              <m:limUppPr>
                <m:ctrlPr>
                  <w:rPr>
                    <w:rFonts w:ascii="Cambria Math" w:hAnsi="Cambria Math" w:cs="Times New Roman"/>
                  </w:rPr>
                </m:ctrlPr>
              </m:limUppPr>
              <m:e>
                <m:r>
                  <m:rPr>
                    <m:sty m:val="b"/>
                  </m:rPr>
                  <w:rPr>
                    <w:rFonts w:ascii="Cambria Math" w:hAnsi="Cambria Math" w:cs="Times New Roman"/>
                  </w:rPr>
                  <m:t>Y</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r>
              <m:rPr/>
              <w:rPr>
                <w:rFonts w:ascii="Cambria Math" w:hAnsi="Cambria Math" w:cs="Times New Roman"/>
              </w:rPr>
              <m:t>(X)</m:t>
            </m:r>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d>
              <m:dPr>
                <m:begChr m:val="["/>
                <m:sepChr m:val="−"/>
                <m:endChr m:val="]"/>
                <m:ctrlPr>
                  <w:rPr>
                    <w:rFonts w:ascii="Cambria Math" w:hAnsi="Cambria Math" w:cs="Times New Roman"/>
                  </w:rPr>
                </m:ctrlPr>
              </m:dPr>
              <m:e>
                <m:r>
                  <m:rPr/>
                  <w:rPr>
                    <w:rFonts w:ascii="Cambria Math" w:hAnsi="Cambria Math" w:cs="Times New Roman"/>
                  </w:rPr>
                  <m:t>HV</m:t>
                </m:r>
                <m:d>
                  <m:dPr>
                    <m:ctrlPr>
                      <w:rPr>
                        <w:rFonts w:ascii="Cambria Math" w:hAnsi="Cambria Math" w:cs="Times New Roman"/>
                      </w:rPr>
                    </m:ctrlPr>
                  </m:dPr>
                  <m:e>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P</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limUpp>
                      <m:limUppPr>
                        <m:ctrlPr>
                          <w:rPr>
                            <w:rFonts w:ascii="Cambria Math" w:hAnsi="Cambria Math" w:cs="Times New Roman"/>
                          </w:rPr>
                        </m:ctrlPr>
                      </m:limUppPr>
                      <m:e>
                        <m:r>
                          <m:rPr>
                            <m:sty m:val="b"/>
                          </m:rPr>
                          <w:rPr>
                            <w:rFonts w:ascii="Cambria Math" w:hAnsi="Cambria Math" w:cs="Times New Roman"/>
                          </w:rPr>
                          <m:t>Y</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r>
                      <m:rPr/>
                      <w:rPr>
                        <w:rFonts w:ascii="Cambria Math" w:hAnsi="Cambria Math" w:cs="Times New Roman"/>
                      </w:rPr>
                      <m:t>(X);</m:t>
                    </m:r>
                    <m:sSub>
                      <m:sSubPr>
                        <m:ctrlPr>
                          <w:rPr>
                            <w:rFonts w:ascii="Cambria Math" w:hAnsi="Cambria Math" w:cs="Times New Roman"/>
                          </w:rPr>
                        </m:ctrlPr>
                      </m:sSubPr>
                      <m:e>
                        <m:limUpp>
                          <m:limUppPr>
                            <m:ctrlPr>
                              <w:rPr>
                                <w:rFonts w:ascii="Cambria Math" w:hAnsi="Cambria Math" w:cs="Times New Roman"/>
                              </w:rPr>
                            </m:ctrlPr>
                          </m:limUppPr>
                          <m:e>
                            <m:r>
                              <m:rPr>
                                <m:sty m:val="b"/>
                              </m:rPr>
                              <w:rPr>
                                <w:rFonts w:ascii="Cambria Math" w:hAnsi="Cambria Math" w:cs="Times New Roman"/>
                              </w:rPr>
                              <m:t>r</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d>
                <m:ctrlPr>
                  <w:rPr>
                    <w:rFonts w:ascii="Cambria Math" w:hAnsi="Cambria Math" w:cs="Times New Roman"/>
                  </w:rPr>
                </m:ctrlPr>
              </m:e>
              <m:e>
                <m:r>
                  <m:rPr/>
                  <w:rPr>
                    <w:rFonts w:ascii="Cambria Math" w:hAnsi="Cambria Math" w:cs="Times New Roman"/>
                  </w:rPr>
                  <m:t>HV</m:t>
                </m:r>
                <m:d>
                  <m:dPr>
                    <m:sepChr m:val=";"/>
                    <m:ctrlPr>
                      <w:rPr>
                        <w:rFonts w:ascii="Cambria Math" w:hAnsi="Cambria Math" w:cs="Times New Roman"/>
                      </w:rPr>
                    </m:ctrlPr>
                  </m:dPr>
                  <m:e>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P</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limUpp>
                          <m:limUppPr>
                            <m:ctrlPr>
                              <w:rPr>
                                <w:rFonts w:ascii="Cambria Math" w:hAnsi="Cambria Math" w:cs="Times New Roman"/>
                              </w:rPr>
                            </m:ctrlPr>
                          </m:limUppPr>
                          <m:e>
                            <m:r>
                              <m:rPr>
                                <m:sty m:val="b"/>
                              </m:rPr>
                              <w:rPr>
                                <w:rFonts w:ascii="Cambria Math" w:hAnsi="Cambria Math" w:cs="Times New Roman"/>
                              </w:rPr>
                              <m:t>r</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d>
                <m:ctrlPr>
                  <w:rPr>
                    <w:rFonts w:ascii="Cambria Math" w:hAnsi="Cambria Math" w:cs="Times New Roman"/>
                  </w:rPr>
                </m:ctrlPr>
              </m:e>
            </m:d>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(47)</w:t>
      </w:r>
    </w:p>
    <w:p>
      <w:pPr>
        <w:rPr>
          <w:rFonts w:ascii="Times New Roman" w:hAnsi="Times New Roman" w:cs="Times New Roman"/>
        </w:rPr>
      </w:pPr>
      <w:r>
        <w:rPr>
          <w:rFonts w:ascii="Times New Roman" w:hAnsi="Times New Roman" w:cs="Times New Roman"/>
        </w:rPr>
        <w:t xml:space="preserve">where </w:t>
      </w:r>
      <m:oMath>
        <m:d>
          <m:dPr>
            <m:begChr m:val="["/>
            <m:endChr m:val=""/>
            <m:ctrlPr>
              <w:rPr>
                <w:rFonts w:ascii="Cambria Math" w:hAnsi="Cambria Math" w:cs="Times New Roman"/>
              </w:rPr>
            </m:ctrlPr>
          </m:dPr>
          <m:e>
            <m:r>
              <m:rPr/>
              <w:rPr>
                <w:rFonts w:ascii="Cambria Math" w:hAnsi="Cambria Math" w:cs="Times New Roman"/>
              </w:rPr>
              <m:t>a</m:t>
            </m:r>
            <m:sSub>
              <m:sSubPr>
                <m:ctrlPr>
                  <w:rPr>
                    <w:rFonts w:ascii="Cambria Math" w:hAnsi="Cambria Math" w:cs="Times New Roman"/>
                  </w:rPr>
                </m:ctrlPr>
              </m:sSubPr>
              <m:e>
                <m:r>
                  <m:rPr/>
                  <w:rPr>
                    <w:rFonts w:ascii="Cambria Math" w:hAnsi="Cambria Math" w:cs="Times New Roman"/>
                  </w:rPr>
                  <m:t>]</m:t>
                </m:r>
                <m:ctrlPr>
                  <w:rPr>
                    <w:rFonts w:ascii="Cambria Math" w:hAnsi="Cambria Math" w:cs="Times New Roman"/>
                  </w:rPr>
                </m:ctrlPr>
              </m:e>
              <m:sub>
                <m:r>
                  <m:rPr/>
                  <w:rPr>
                    <w:rFonts w:ascii="Cambria Math" w:hAnsi="Cambria Math" w:cs="Times New Roman"/>
                  </w:rPr>
                  <m:t>+</m:t>
                </m:r>
                <m:ctrlPr>
                  <w:rPr>
                    <w:rFonts w:ascii="Cambria Math" w:hAnsi="Cambria Math" w:cs="Times New Roman"/>
                  </w:rPr>
                </m:ctrlPr>
              </m:sub>
            </m:sSub>
            <m:r>
              <m:rPr/>
              <w:rPr>
                <w:rFonts w:ascii="Cambria Math" w:hAnsi="Cambria Math" w:cs="Times New Roman"/>
              </w:rPr>
              <m:t>=</m:t>
            </m:r>
            <m:r>
              <m:rPr>
                <m:sty m:val="p"/>
              </m:rPr>
              <w:rPr>
                <w:rFonts w:ascii="Cambria Math" w:hAnsi="Cambria Math" w:cs="Times New Roman"/>
              </w:rPr>
              <m:t>max</m:t>
            </m:r>
            <m:r>
              <m:rPr/>
              <w:rPr>
                <w:rFonts w:ascii="Cambria Math" w:hAnsi="Cambria Math" w:cs="Times New Roman"/>
              </w:rPr>
              <m:t>⁡(a,0).</m:t>
            </m:r>
            <m:ctrlPr>
              <w:rPr>
                <w:rFonts w:ascii="Cambria Math" w:hAnsi="Cambria Math" w:cs="Times New Roman"/>
              </w:rPr>
            </m:ctrlPr>
          </m:e>
        </m:d>
      </m:oMath>
      <w:r>
        <w:rPr>
          <w:rFonts w:ascii="Times New Roman" w:hAnsi="Times New Roman" w:cs="Times New Roman"/>
        </w:rPr>
        <w:t xml:space="preserve"> The qEHVI acquisition value was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α</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qEHVI</m:t>
                </m:r>
                <m:ctrlPr>
                  <w:rPr>
                    <w:rFonts w:ascii="Cambria Math" w:hAnsi="Cambria Math" w:cs="Times New Roman"/>
                  </w:rPr>
                </m:ctrlPr>
              </m:e>
            </m:phant>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(X)=</m:t>
        </m:r>
        <m:r>
          <m:rPr>
            <m:sty m:val="p"/>
          </m:rPr>
          <w:rPr>
            <w:rFonts w:ascii="Cambria Math" w:hAnsi="Cambria Math" w:cs="Times New Roman"/>
          </w:rPr>
          <m:t>E</m:t>
        </m:r>
        <m:d>
          <m:dPr>
            <m:begChr m:val="["/>
            <m:endChr m:val="]"/>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Δ</m:t>
                </m:r>
                <m:ctrlPr>
                  <w:rPr>
                    <w:rFonts w:ascii="Cambria Math" w:hAnsi="Cambria Math" w:cs="Times New Roman"/>
                  </w:rPr>
                </m:ctrlPr>
              </m:e>
            </m:phant>
            <m:r>
              <m:rPr/>
              <w:rPr>
                <w:rFonts w:ascii="Cambria Math" w:hAnsi="Cambria Math" w:cs="Times New Roman"/>
              </w:rPr>
              <m:t>H</m:t>
            </m:r>
            <m:sSub>
              <m:sSubPr>
                <m:ctrlPr>
                  <w:rPr>
                    <w:rFonts w:ascii="Cambria Math" w:hAnsi="Cambria Math" w:cs="Times New Roman"/>
                  </w:rPr>
                </m:ctrlPr>
              </m:sSubPr>
              <m:e>
                <m:r>
                  <m:rPr/>
                  <w:rPr>
                    <w:rFonts w:ascii="Cambria Math" w:hAnsi="Cambria Math" w:cs="Times New Roman"/>
                  </w:rPr>
                  <m:t>V</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d>
              <m:dPr>
                <m:ctrlPr>
                  <w:rPr>
                    <w:rFonts w:ascii="Cambria Math" w:hAnsi="Cambria Math" w:cs="Times New Roman"/>
                  </w:rPr>
                </m:ctrlPr>
              </m:dPr>
              <m:e>
                <m:limUpp>
                  <m:limUppPr>
                    <m:ctrlPr>
                      <w:rPr>
                        <w:rFonts w:ascii="Cambria Math" w:hAnsi="Cambria Math" w:cs="Times New Roman"/>
                      </w:rPr>
                    </m:ctrlPr>
                  </m:limUppPr>
                  <m:e>
                    <m:r>
                      <m:rPr>
                        <m:sty m:val="b"/>
                      </m:rPr>
                      <w:rPr>
                        <w:rFonts w:ascii="Cambria Math" w:hAnsi="Cambria Math" w:cs="Times New Roman"/>
                      </w:rPr>
                      <m:t>Y</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r>
                  <m:rPr/>
                  <w:rPr>
                    <w:rFonts w:ascii="Cambria Math" w:hAnsi="Cambria Math" w:cs="Times New Roman"/>
                  </w:rPr>
                  <m:t>(X)</m:t>
                </m:r>
                <m:ctrlPr>
                  <w:rPr>
                    <w:rFonts w:ascii="Cambria Math" w:hAnsi="Cambria Math" w:cs="Times New Roman"/>
                  </w:rPr>
                </m:ctrlPr>
              </m:e>
            </m:d>
            <m:ctrlPr>
              <w:rPr>
                <w:rFonts w:ascii="Cambria Math" w:hAnsi="Cambria Math" w:cs="Times New Roman"/>
              </w:rPr>
            </m:ctrlPr>
          </m:e>
          <m:e>
            <m:sSub>
              <m:sSubPr>
                <m:ctrlPr>
                  <w:rPr>
                    <w:rFonts w:ascii="Cambria Math" w:hAnsi="Cambria Math" w:cs="Times New Roman"/>
                  </w:rPr>
                </m:ctrlPr>
              </m:sSubPr>
              <m:e>
                <m:r>
                  <m:rPr>
                    <m:scr m:val="script"/>
                  </m:rPr>
                  <w:rPr>
                    <w:rFonts w:ascii="Cambria Math" w:hAnsi="Cambria Math" w:eastAsia="MS Mincho" w:cs="Times New Roman"/>
                  </w:rPr>
                  <m:t>D</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(48)</w:t>
      </w:r>
    </w:p>
    <w:p>
      <w:pPr>
        <w:rPr>
          <w:rFonts w:ascii="Times New Roman" w:hAnsi="Times New Roman" w:cs="Times New Roman"/>
        </w:rPr>
      </w:pPr>
      <w:r>
        <w:rPr>
          <w:rFonts w:ascii="Times New Roman" w:hAnsi="Times New Roman" w:cs="Times New Roman"/>
        </w:rPr>
        <w:t>qEHVI therefore prioritized candidate batches that were predicted to extend the currently observed trade-off surface or retained sufficient posterior uncertainty to produce a plausible hypervolume improvement. It treated the three objectives jointly and did not require predetermined scalar weights for CEES, DMMP and EtCl.</w:t>
      </w:r>
    </w:p>
    <w:p>
      <w:pPr>
        <w:tabs>
          <w:tab w:val="center" w:pos="4410"/>
          <w:tab w:val="right" w:pos="8820"/>
        </w:tabs>
        <w:rPr>
          <w:rFonts w:ascii="Times New Roman" w:hAnsi="Times New Roman" w:cs="Times New Roman"/>
        </w:rPr>
      </w:pPr>
      <w:r>
        <w:rPr>
          <w:rFonts w:ascii="Times New Roman" w:hAnsi="Times New Roman" w:cs="Times New Roman"/>
          <w:b/>
          <w:bCs/>
        </w:rPr>
        <w:t>Benchmark-wide acquisition reference point.</w:t>
      </w:r>
      <w:r>
        <w:rPr>
          <w:rFonts w:ascii="Times New Roman" w:hAnsi="Times New Roman" w:cs="Times New Roman"/>
        </w:rPr>
        <w:t xml:space="preserve"> Because the study was designed as a controlled retrospective comparison over a fixed, fully labelled candidate library, the raw-scale acquisition reference point was calibrated once from the full-library objective ranges and subsequently held fixed across all qEHVI configurations, seeds and query budgets. For objective </w:t>
      </w:r>
      <m:oMath>
        <m:r>
          <m:rPr/>
          <w:rPr>
            <w:rFonts w:ascii="Cambria Math" w:hAnsi="Cambria Math" w:cs="Times New Roman"/>
          </w:rPr>
          <m:t>k</m:t>
        </m:r>
      </m:oMath>
      <w:r>
        <w:rPr>
          <w:rFonts w:ascii="Times New Roman" w:hAnsi="Times New Roman" w:cs="Times New Roman"/>
        </w:rPr>
        <w:t>,</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rPr>
            </m:ctrlPr>
          </m:sSubSupPr>
          <m:e>
            <m:r>
              <m:rPr/>
              <w:rPr>
                <w:rFonts w:ascii="Cambria Math" w:hAnsi="Cambria Math" w:cs="Times New Roman"/>
              </w:rPr>
              <m:t>r</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raw</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bSup>
        <m:r>
          <m:rPr/>
          <w:rPr>
            <w:rFonts w:ascii="Cambria Math" w:hAnsi="Cambria Math" w:cs="Times New Roman"/>
          </w:rPr>
          <m:t>=</m:t>
        </m:r>
        <m:sSubSup>
          <m:sSubSupPr>
            <m:ctrlPr>
              <w:rPr>
                <w:rFonts w:ascii="Cambria Math" w:hAnsi="Cambria Math" w:cs="Times New Roman"/>
              </w:rPr>
            </m:ctrlPr>
          </m:sSubSupPr>
          <m:e>
            <m:r>
              <m:rPr/>
              <w:rPr>
                <w:rFonts w:ascii="Cambria Math" w:hAnsi="Cambria Math" w:cs="Times New Roman"/>
              </w:rPr>
              <m:t>y</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r>
              <m:rPr>
                <m:sty m:val="p"/>
              </m:rPr>
              <w:rPr>
                <w:rFonts w:ascii="Cambria Math" w:hAnsi="Cambria Math" w:cs="Times New Roman"/>
              </w:rPr>
              <m:t>min</m:t>
            </m:r>
            <m:r>
              <m:rPr/>
              <w:rPr>
                <w:rFonts w:ascii="Cambria Math" w:hAnsi="Cambria Math" w:cs="Times New Roman"/>
              </w:rPr>
              <m:t>⁡</m:t>
            </m:r>
            <m:ctrlPr>
              <w:rPr>
                <w:rFonts w:ascii="Cambria Math" w:hAnsi="Cambria Math" w:cs="Times New Roman"/>
              </w:rPr>
            </m:ctrlPr>
          </m:sup>
        </m:sSubSup>
        <m:r>
          <m:rPr/>
          <w:rPr>
            <w:rFonts w:ascii="Cambria Math" w:hAnsi="Cambria Math" w:cs="Times New Roman"/>
          </w:rPr>
          <m:t>−0.05</m:t>
        </m:r>
        <m:d>
          <m:dPr>
            <m:sepChr m:val="−"/>
            <m:ctrlPr>
              <w:rPr>
                <w:rFonts w:ascii="Cambria Math" w:hAnsi="Cambria Math" w:cs="Times New Roman"/>
              </w:rPr>
            </m:ctrlPr>
          </m:dPr>
          <m:e>
            <m:sSubSup>
              <m:sSubSupPr>
                <m:ctrlPr>
                  <w:rPr>
                    <w:rFonts w:ascii="Cambria Math" w:hAnsi="Cambria Math" w:cs="Times New Roman"/>
                  </w:rPr>
                </m:ctrlPr>
              </m:sSubSupPr>
              <m:e>
                <m:r>
                  <m:rPr/>
                  <w:rPr>
                    <w:rFonts w:ascii="Cambria Math" w:hAnsi="Cambria Math" w:cs="Times New Roman"/>
                  </w:rPr>
                  <m:t>y</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r>
                  <m:rPr>
                    <m:sty m:val="p"/>
                  </m:rPr>
                  <w:rPr>
                    <w:rFonts w:ascii="Cambria Math" w:hAnsi="Cambria Math" w:cs="Times New Roman"/>
                  </w:rPr>
                  <m:t>max</m:t>
                </m:r>
                <m:r>
                  <m:rPr/>
                  <w:rPr>
                    <w:rFonts w:ascii="Cambria Math" w:hAnsi="Cambria Math" w:cs="Times New Roman"/>
                  </w:rPr>
                  <m:t>⁡</m:t>
                </m:r>
                <m:ctrlPr>
                  <w:rPr>
                    <w:rFonts w:ascii="Cambria Math" w:hAnsi="Cambria Math" w:cs="Times New Roman"/>
                  </w:rPr>
                </m:ctrlPr>
              </m:sup>
            </m:sSubSup>
            <m:ctrlPr>
              <w:rPr>
                <w:rFonts w:ascii="Cambria Math" w:hAnsi="Cambria Math" w:cs="Times New Roman"/>
              </w:rPr>
            </m:ctrlPr>
          </m:e>
          <m:e>
            <m:sSubSup>
              <m:sSubSupPr>
                <m:ctrlPr>
                  <w:rPr>
                    <w:rFonts w:ascii="Cambria Math" w:hAnsi="Cambria Math" w:cs="Times New Roman"/>
                  </w:rPr>
                </m:ctrlPr>
              </m:sSubSupPr>
              <m:e>
                <m:r>
                  <m:rPr/>
                  <w:rPr>
                    <w:rFonts w:ascii="Cambria Math" w:hAnsi="Cambria Math" w:cs="Times New Roman"/>
                  </w:rPr>
                  <m:t>y</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r>
                  <m:rPr>
                    <m:sty m:val="p"/>
                  </m:rPr>
                  <w:rPr>
                    <w:rFonts w:ascii="Cambria Math" w:hAnsi="Cambria Math" w:cs="Times New Roman"/>
                  </w:rPr>
                  <m:t>min</m:t>
                </m:r>
                <m:r>
                  <m:rPr/>
                  <w:rPr>
                    <w:rFonts w:ascii="Cambria Math" w:hAnsi="Cambria Math" w:cs="Times New Roman"/>
                  </w:rPr>
                  <m:t>⁡</m:t>
                </m:r>
                <m:ctrlPr>
                  <w:rPr>
                    <w:rFonts w:ascii="Cambria Math" w:hAnsi="Cambria Math" w:cs="Times New Roman"/>
                  </w:rPr>
                </m:ctrlPr>
              </m:sup>
            </m:sSubSup>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(49)</w:t>
      </w:r>
    </w:p>
    <w:p>
      <w:pPr>
        <w:tabs>
          <w:tab w:val="center" w:pos="4410"/>
          <w:tab w:val="right" w:pos="8820"/>
        </w:tabs>
        <w:rPr>
          <w:rFonts w:ascii="Times New Roman" w:hAnsi="Times New Roman" w:cs="Times New Roman"/>
        </w:rPr>
      </w:pPr>
      <w:r>
        <w:rPr>
          <w:rFonts w:ascii="Times New Roman" w:hAnsi="Times New Roman" w:cs="Times New Roman"/>
        </w:rPr>
        <w:t xml:space="preserve">where </w:t>
      </w:r>
      <m:oMath>
        <m:sSubSup>
          <m:sSubSupPr>
            <m:ctrlPr>
              <w:rPr>
                <w:rFonts w:ascii="Cambria Math" w:hAnsi="Cambria Math" w:cs="Times New Roman"/>
              </w:rPr>
            </m:ctrlPr>
          </m:sSubSupPr>
          <m:e>
            <m:r>
              <m:rPr/>
              <w:rPr>
                <w:rFonts w:ascii="Cambria Math" w:hAnsi="Cambria Math" w:cs="Times New Roman"/>
              </w:rPr>
              <m:t>y</m:t>
            </m:r>
            <m:ctrlPr>
              <w:rPr>
                <w:rFonts w:ascii="Cambria Math" w:hAnsi="Cambria Math" w:cs="Times New Roman"/>
              </w:rPr>
            </m:ctrlPr>
          </m:e>
          <m:sub>
            <m:r>
              <m:rPr/>
              <w:rPr>
                <w:rFonts w:ascii="Cambria Math" w:hAnsi="Cambria Math" w:cs="Times New Roman"/>
              </w:rPr>
              <m:t>k,</m:t>
            </m:r>
            <m:r>
              <m:rPr>
                <m:sty m:val="p"/>
              </m:rPr>
              <w:rPr>
                <w:rFonts w:ascii="Cambria Math" w:hAnsi="Cambria Math" w:cs="Times New Roman"/>
              </w:rPr>
              <m:t>min</m:t>
            </m:r>
            <m:ctrlPr>
              <w:rPr>
                <w:rFonts w:ascii="Cambria Math" w:hAnsi="Cambria Math" w:cs="Times New Roman"/>
              </w:rPr>
            </m:ctrlPr>
          </m:sub>
          <m:sup>
            <m:r>
              <m:rPr>
                <m:sty m:val="p"/>
              </m:rPr>
              <w:rPr>
                <w:rFonts w:ascii="Cambria Math" w:hAnsi="Cambria Math" w:cs="Times New Roman"/>
              </w:rPr>
              <m:t>full</m:t>
            </m:r>
            <m:ctrlPr>
              <w:rPr>
                <w:rFonts w:ascii="Cambria Math" w:hAnsi="Cambria Math" w:cs="Times New Roman"/>
              </w:rPr>
            </m:ctrlPr>
          </m:sup>
        </m:sSubSup>
        <m:r>
          <m:rPr/>
          <w:rPr>
            <w:rFonts w:ascii="Cambria Math" w:hAnsi="Cambria Math" w:cs="Times New Roman"/>
          </w:rPr>
          <m:t xml:space="preserve"> </m:t>
        </m:r>
      </m:oMath>
      <w:r>
        <w:rPr>
          <w:rFonts w:ascii="Times New Roman" w:hAnsi="Times New Roman" w:cs="Times New Roman"/>
        </w:rPr>
        <w:t xml:space="preserve">and </w:t>
      </w:r>
      <m:oMath>
        <m:sSubSup>
          <m:sSubSupPr>
            <m:ctrlPr>
              <w:rPr>
                <w:rFonts w:ascii="Cambria Math" w:hAnsi="Cambria Math" w:cs="Times New Roman"/>
              </w:rPr>
            </m:ctrlPr>
          </m:sSubSupPr>
          <m:e>
            <m:r>
              <m:rPr/>
              <w:rPr>
                <w:rFonts w:ascii="Cambria Math" w:hAnsi="Cambria Math" w:cs="Times New Roman"/>
              </w:rPr>
              <m:t>y</m:t>
            </m:r>
            <m:ctrlPr>
              <w:rPr>
                <w:rFonts w:ascii="Cambria Math" w:hAnsi="Cambria Math" w:cs="Times New Roman"/>
              </w:rPr>
            </m:ctrlPr>
          </m:e>
          <m:sub>
            <m:r>
              <m:rPr/>
              <w:rPr>
                <w:rFonts w:ascii="Cambria Math" w:hAnsi="Cambria Math" w:cs="Times New Roman"/>
              </w:rPr>
              <m:t>k,</m:t>
            </m:r>
            <m:r>
              <m:rPr>
                <m:sty m:val="p"/>
              </m:rPr>
              <w:rPr>
                <w:rFonts w:ascii="Cambria Math" w:hAnsi="Cambria Math" w:cs="Times New Roman"/>
              </w:rPr>
              <m:t>max</m:t>
            </m:r>
            <m:ctrlPr>
              <w:rPr>
                <w:rFonts w:ascii="Cambria Math" w:hAnsi="Cambria Math" w:cs="Times New Roman"/>
              </w:rPr>
            </m:ctrlPr>
          </m:sub>
          <m:sup>
            <m:r>
              <m:rPr>
                <m:sty m:val="p"/>
              </m:rPr>
              <w:rPr>
                <w:rFonts w:ascii="Cambria Math" w:hAnsi="Cambria Math" w:cs="Times New Roman"/>
              </w:rPr>
              <m:t>full</m:t>
            </m:r>
            <m:ctrlPr>
              <w:rPr>
                <w:rFonts w:ascii="Cambria Math" w:hAnsi="Cambria Math" w:cs="Times New Roman"/>
              </w:rPr>
            </m:ctrlPr>
          </m:sup>
        </m:sSubSup>
      </m:oMath>
      <w:r>
        <w:rPr>
          <w:rFonts w:ascii="Times New Roman" w:hAnsi="Times New Roman" w:cs="Times New Roman"/>
        </w:rPr>
        <w:t xml:space="preserve">are the minimum and maximum oracle responses for objective </w:t>
      </w:r>
      <m:oMath>
        <m:r>
          <m:rPr/>
          <w:rPr>
            <w:rFonts w:ascii="Cambria Math" w:hAnsi="Cambria Math" w:cs="Times New Roman"/>
          </w:rPr>
          <m:t>k</m:t>
        </m:r>
      </m:oMath>
      <w:r>
        <w:rPr>
          <w:rFonts w:ascii="Times New Roman" w:hAnsi="Times New Roman" w:cs="Times New Roman"/>
        </w:rPr>
        <w:t xml:space="preserve">across the 7,532-MOF library. This calibration used only the three objective-wise range summaries to establish a common hypervolume origin. Candidate-specific responses, target ranks and Pareto assignments were not supplied to GP fitting. </w:t>
      </w:r>
    </w:p>
    <w:p>
      <w:pPr>
        <w:tabs>
          <w:tab w:val="center" w:pos="4410"/>
          <w:tab w:val="right" w:pos="8820"/>
        </w:tabs>
        <w:rPr>
          <w:rFonts w:ascii="Times New Roman" w:hAnsi="Times New Roman" w:cs="Times New Roman"/>
        </w:rPr>
      </w:pPr>
      <w:r>
        <w:rPr>
          <w:rFonts w:ascii="Times New Roman" w:hAnsi="Times New Roman" w:cs="Times New Roman"/>
        </w:rPr>
        <w:tab/>
      </w:r>
      <w:r>
        <w:rPr>
          <w:rFonts w:ascii="Times New Roman" w:hAnsi="Times New Roman" w:cs="Times New Roman"/>
        </w:rPr>
        <w:t>Because the objective-specific GPs were fitted to standardized responses, the fixed raw-scale reference point was transformed at each BO iteration using the mean and sample standard deviation of the currently queried responses,</w:t>
      </w:r>
    </w:p>
    <w:p>
      <w:pPr>
        <w:tabs>
          <w:tab w:val="center" w:pos="4410"/>
          <w:tab w:val="right" w:pos="8820"/>
        </w:tabs>
        <w:rPr>
          <w:rFonts w:ascii="Times New Roman" w:hAnsi="Times New Roman" w:cs="Times New Roman"/>
        </w:rPr>
      </w:pP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r</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t>
        </m:r>
        <m:f>
          <m:fPr>
            <m:ctrlPr>
              <w:rPr>
                <w:rFonts w:ascii="Cambria Math" w:hAnsi="Cambria Math" w:cs="Times New Roman"/>
              </w:rPr>
            </m:ctrlPr>
          </m:fPr>
          <m:num>
            <m:sSubSup>
              <m:sSubSupPr>
                <m:ctrlPr>
                  <w:rPr>
                    <w:rFonts w:ascii="Cambria Math" w:hAnsi="Cambria Math" w:cs="Times New Roman"/>
                  </w:rPr>
                </m:ctrlPr>
              </m:sSubSupPr>
              <m:e>
                <m:r>
                  <m:rPr/>
                  <w:rPr>
                    <w:rFonts w:ascii="Cambria Math" w:hAnsi="Cambria Math" w:cs="Times New Roman"/>
                  </w:rPr>
                  <m:t>r</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raw</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bSup>
            <m:r>
              <m:rPr/>
              <w:rPr>
                <w:rFonts w:ascii="Cambria Math" w:hAnsi="Cambria Math" w:cs="Times New Roman"/>
              </w:rPr>
              <m:t>−</m:t>
            </m:r>
            <m:sSub>
              <m:sSubPr>
                <m:ctrlPr>
                  <w:rPr>
                    <w:rFonts w:ascii="Cambria Math" w:hAnsi="Cambria Math" w:cs="Times New Roman"/>
                  </w:rPr>
                </m:ctrlPr>
              </m:sSubPr>
              <m:e>
                <m:borderBox>
                  <m:borderBoxPr>
                    <m:hideBot m:val="1"/>
                    <m:hideLeft m:val="1"/>
                    <m:hideRight m:val="1"/>
                    <m:ctrlPr>
                      <w:rPr>
                        <w:rFonts w:ascii="Cambria Math" w:hAnsi="Cambria Math" w:cs="Times New Roman"/>
                      </w:rPr>
                    </m:ctrlPr>
                  </m:borderBoxPr>
                  <m:e>
                    <m:r>
                      <m:rPr/>
                      <w:rPr>
                        <w:rFonts w:ascii="Cambria Math" w:hAnsi="Cambria Math" w:cs="Times New Roman"/>
                      </w:rPr>
                      <m:t>y</m:t>
                    </m:r>
                    <m:ctrlPr>
                      <w:rPr>
                        <w:rFonts w:ascii="Cambria Math" w:hAnsi="Cambria Math" w:cs="Times New Roman"/>
                      </w:rPr>
                    </m:ctrlPr>
                  </m:e>
                </m:borderBox>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ctrlPr>
              <w:rPr>
                <w:rFonts w:ascii="Cambria Math" w:hAnsi="Cambria Math" w:cs="Times New Roman"/>
              </w:rPr>
            </m:ctrlPr>
          </m:num>
          <m:den>
            <m:sSub>
              <m:sSubPr>
                <m:ctrlPr>
                  <w:rPr>
                    <w:rFonts w:ascii="Cambria Math" w:hAnsi="Cambria Math" w:cs="Times New Roman"/>
                  </w:rPr>
                </m:ctrlPr>
              </m:sSubPr>
              <m:e>
                <m:r>
                  <m:rPr/>
                  <w:rPr>
                    <w:rFonts w:ascii="Cambria Math" w:hAnsi="Cambria Math" w:cs="Times New Roman"/>
                  </w:rPr>
                  <m:t>s</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(50)</w:t>
      </w:r>
    </w:p>
    <w:p>
      <w:pPr>
        <w:ind w:firstLine="420"/>
        <w:rPr>
          <w:rFonts w:ascii="Times New Roman" w:hAnsi="Times New Roman" w:cs="Times New Roman"/>
        </w:rPr>
      </w:pPr>
      <w:r>
        <w:rPr>
          <w:rFonts w:ascii="Times New Roman" w:hAnsi="Times New Roman" w:cs="Times New Roman"/>
        </w:rPr>
        <w:t>The resulting transformed reference point was supplied to the qEHVI calculation together with the currently observed standardized responses. The use of full-library range calibration is a design choice of this retrospective benchmark and should not be interpreted as a prospective setting in which the objective bounds are unknown. The standardized queried responses and the transformed reference point were supplied to NondominatedPartitioning and qExpectedHypervolumeImprovement. The posterior expectation was estimated using a Sobol quasi-Monte Carlo normal sampler, with 64 samples in the standard task configuration.</w:t>
      </w:r>
    </w:p>
    <w:p>
      <w:pPr>
        <w:ind w:firstLine="420"/>
        <w:rPr>
          <w:rFonts w:ascii="Times New Roman" w:hAnsi="Times New Roman" w:cs="Times New Roman"/>
        </w:rPr>
      </w:pPr>
      <w:r>
        <w:rPr>
          <w:rFonts w:ascii="Times New Roman" w:hAnsi="Times New Roman" w:cs="Times New Roman"/>
        </w:rPr>
        <w:t>The qEHVI was evaluated only for materials in the current finite candidate pool. Batches were constructed sequentially: at each batch position, every candidate under consideration was evaluated jointly with the candidates already selected for the same batch. The highest-scoring candidate was appended to the pending batch and removed from the available pool. Pending candidates influenced the joint qEHVI calculation but remained unlabelled until batch completion.</w:t>
      </w:r>
    </w:p>
    <w:p>
      <w:pPr>
        <w:rPr>
          <w:rFonts w:ascii="Times New Roman" w:hAnsi="Times New Roman" w:cs="Times New Roman"/>
        </w:rPr>
      </w:pPr>
      <w:r>
        <w:rPr>
          <w:rFonts w:ascii="Times New Roman" w:hAnsi="Times New Roman" w:cs="Times New Roman"/>
          <w:b/>
          <w:bCs/>
          <w:sz w:val="22"/>
        </w:rPr>
        <w:t>S</w:t>
      </w:r>
      <w:r>
        <w:rPr>
          <w:rFonts w:ascii="Times New Roman" w:hAnsi="Times New Roman" w:cs="Times New Roman"/>
          <w:b/>
          <w:bCs/>
        </w:rPr>
        <w:t>6.2.3.2 Posterior-mean composite Greedy selection</w:t>
      </w:r>
    </w:p>
    <w:p>
      <w:pPr>
        <w:ind w:firstLine="420"/>
        <w:rPr>
          <w:rFonts w:ascii="Times New Roman" w:hAnsi="Times New Roman" w:cs="Times New Roman"/>
        </w:rPr>
      </w:pPr>
      <w:r>
        <w:rPr>
          <w:rFonts w:ascii="Times New Roman" w:hAnsi="Times New Roman" w:cs="Times New Roman"/>
        </w:rPr>
        <w:t xml:space="preserve">Greedy selection provided an exploitation-oriented comparison based exclusively on the posterior means. For objective </w:t>
      </w:r>
      <m:oMath>
        <m:r>
          <m:rPr/>
          <w:rPr>
            <w:rFonts w:ascii="Cambria Math" w:hAnsi="Cambria Math" w:cs="Times New Roman"/>
          </w:rPr>
          <m:t>k</m:t>
        </m:r>
      </m:oMath>
      <w:r>
        <w:rPr>
          <w:rFonts w:ascii="Times New Roman" w:hAnsi="Times New Roman" w:cs="Times New Roman"/>
        </w:rPr>
        <w:t>, the raw-scale posterior means were min–max normalized using predictions over the complete candidate library,</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μ</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d>
          <m:dPr>
            <m:ctrlPr>
              <w:rPr>
                <w:rFonts w:ascii="Cambria Math" w:hAnsi="Cambria Math" w:cs="Times New Roman"/>
              </w:rPr>
            </m:ctrlPr>
          </m:dPr>
          <m:e>
            <m:r>
              <m:rPr>
                <m:sty m:val="b"/>
              </m:rPr>
              <w:rPr>
                <w:rFonts w:ascii="Cambria Math" w:hAnsi="Cambria Math" w:cs="Times New Roman"/>
              </w:rPr>
              <m:t>x</m:t>
            </m:r>
            <m:ctrlPr>
              <w:rPr>
                <w:rFonts w:ascii="Cambria Math" w:hAnsi="Cambria Math" w:cs="Times New Roman"/>
              </w:rPr>
            </m:ctrlPr>
          </m:e>
        </m:d>
        <m:r>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d>
              <m:dPr>
                <m:ctrlPr>
                  <w:rPr>
                    <w:rFonts w:ascii="Cambria Math" w:hAnsi="Cambria Math" w:cs="Times New Roman"/>
                  </w:rPr>
                </m:ctrlPr>
              </m:dPr>
              <m:e>
                <m:r>
                  <m:rPr>
                    <m:sty m:val="b"/>
                  </m:rPr>
                  <w:rPr>
                    <w:rFonts w:ascii="Cambria Math" w:hAnsi="Cambria Math" w:cs="Times New Roman"/>
                  </w:rPr>
                  <m:t>x</m:t>
                </m:r>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min</m:t>
                </m:r>
                <m:ctrlPr>
                  <w:rPr>
                    <w:rFonts w:ascii="Cambria Math" w:hAnsi="Cambria Math" w:cs="Times New Roman"/>
                  </w:rPr>
                </m:ctrlPr>
              </m:e>
              <m:sub>
                <m:r>
                  <m:rPr>
                    <m:sty m:val="b"/>
                  </m:rPr>
                  <w:rPr>
                    <w:rFonts w:ascii="Cambria Math" w:hAnsi="Cambria Math" w:cs="Times New Roman"/>
                  </w:rPr>
                  <m:t>u</m:t>
                </m:r>
                <m:r>
                  <m:rPr>
                    <m:scr m:val="script"/>
                  </m:rPr>
                  <w:rPr>
                    <w:rFonts w:ascii="Cambria Math" w:hAnsi="Cambria Math" w:eastAsia="MS Mincho" w:cs="Times New Roman"/>
                  </w:rPr>
                  <m:t>∈ℳ</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d>
              <m:dPr>
                <m:ctrlPr>
                  <w:rPr>
                    <w:rFonts w:ascii="Cambria Math" w:hAnsi="Cambria Math" w:cs="Times New Roman"/>
                  </w:rPr>
                </m:ctrlPr>
              </m:dPr>
              <m:e>
                <m:r>
                  <m:rPr>
                    <m:sty m:val="b"/>
                  </m:rPr>
                  <w:rPr>
                    <w:rFonts w:ascii="Cambria Math" w:hAnsi="Cambria Math" w:cs="Times New Roman"/>
                  </w:rPr>
                  <m:t>u</m:t>
                </m:r>
                <m:ctrlPr>
                  <w:rPr>
                    <w:rFonts w:ascii="Cambria Math" w:hAnsi="Cambria Math" w:cs="Times New Roman"/>
                  </w:rPr>
                </m:ctrlPr>
              </m:e>
            </m:d>
            <m:ctrlPr>
              <w:rPr>
                <w:rFonts w:ascii="Cambria Math" w:hAnsi="Cambria Math" w:cs="Times New Roman"/>
              </w:rPr>
            </m:ctrlPr>
          </m:num>
          <m:den>
            <m:sSub>
              <m:sSubPr>
                <m:ctrlPr>
                  <w:rPr>
                    <w:rFonts w:ascii="Cambria Math" w:hAnsi="Cambria Math" w:cs="Times New Roman"/>
                  </w:rPr>
                </m:ctrlPr>
              </m:sSubPr>
              <m:e>
                <m:r>
                  <m:rPr>
                    <m:sty m:val="p"/>
                  </m:rPr>
                  <w:rPr>
                    <w:rFonts w:ascii="Cambria Math" w:hAnsi="Cambria Math" w:cs="Times New Roman"/>
                  </w:rPr>
                  <m:t>max</m:t>
                </m:r>
                <m:ctrlPr>
                  <w:rPr>
                    <w:rFonts w:ascii="Cambria Math" w:hAnsi="Cambria Math" w:cs="Times New Roman"/>
                  </w:rPr>
                </m:ctrlPr>
              </m:e>
              <m:sub>
                <m:r>
                  <m:rPr>
                    <m:sty m:val="b"/>
                  </m:rPr>
                  <w:rPr>
                    <w:rFonts w:ascii="Cambria Math" w:hAnsi="Cambria Math" w:cs="Times New Roman"/>
                  </w:rPr>
                  <m:t>u</m:t>
                </m:r>
                <m:r>
                  <m:rPr>
                    <m:scr m:val="script"/>
                  </m:rPr>
                  <w:rPr>
                    <w:rFonts w:ascii="Cambria Math" w:hAnsi="Cambria Math" w:eastAsia="MS Mincho" w:cs="Times New Roman"/>
                  </w:rPr>
                  <m:t>∈ℳ</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d>
              <m:dPr>
                <m:ctrlPr>
                  <w:rPr>
                    <w:rFonts w:ascii="Cambria Math" w:hAnsi="Cambria Math" w:cs="Times New Roman"/>
                  </w:rPr>
                </m:ctrlPr>
              </m:dPr>
              <m:e>
                <m:r>
                  <m:rPr>
                    <m:sty m:val="b"/>
                  </m:rPr>
                  <w:rPr>
                    <w:rFonts w:ascii="Cambria Math" w:hAnsi="Cambria Math" w:cs="Times New Roman"/>
                  </w:rPr>
                  <m:t>u</m:t>
                </m:r>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min</m:t>
                </m:r>
                <m:ctrlPr>
                  <w:rPr>
                    <w:rFonts w:ascii="Cambria Math" w:hAnsi="Cambria Math" w:cs="Times New Roman"/>
                  </w:rPr>
                </m:ctrlPr>
              </m:e>
              <m:sub>
                <m:r>
                  <m:rPr>
                    <m:sty m:val="b"/>
                  </m:rPr>
                  <w:rPr>
                    <w:rFonts w:ascii="Cambria Math" w:hAnsi="Cambria Math" w:cs="Times New Roman"/>
                  </w:rPr>
                  <m:t>u</m:t>
                </m:r>
                <m:r>
                  <m:rPr>
                    <m:scr m:val="script"/>
                  </m:rPr>
                  <w:rPr>
                    <w:rFonts w:ascii="Cambria Math" w:hAnsi="Cambria Math" w:eastAsia="MS Mincho" w:cs="Times New Roman"/>
                  </w:rPr>
                  <m:t>∈ℳ</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d>
              <m:dPr>
                <m:ctrlPr>
                  <w:rPr>
                    <w:rFonts w:ascii="Cambria Math" w:hAnsi="Cambria Math" w:cs="Times New Roman"/>
                  </w:rPr>
                </m:ctrlPr>
              </m:dPr>
              <m:e>
                <m:r>
                  <m:rPr>
                    <m:sty m:val="b"/>
                  </m:rPr>
                  <w:rPr>
                    <w:rFonts w:ascii="Cambria Math" w:hAnsi="Cambria Math" w:cs="Times New Roman"/>
                  </w:rPr>
                  <m:t>u</m:t>
                </m:r>
                <m:ctrlPr>
                  <w:rPr>
                    <w:rFonts w:ascii="Cambria Math" w:hAnsi="Cambria Math" w:cs="Times New Roman"/>
                  </w:rPr>
                </m:ctrlPr>
              </m:e>
            </m:d>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(51)</w:t>
      </w:r>
    </w:p>
    <w:p>
      <w:pPr>
        <w:ind w:firstLine="420"/>
        <w:rPr>
          <w:rFonts w:ascii="Times New Roman" w:hAnsi="Times New Roman" w:cs="Times New Roman"/>
        </w:rPr>
      </w:pPr>
      <w:r>
        <w:rPr>
          <w:rFonts w:ascii="Times New Roman" w:hAnsi="Times New Roman" w:cs="Times New Roman"/>
        </w:rPr>
        <w:t xml:space="preserve">A denominator smaller than </w:t>
      </w:r>
      <m:oMath>
        <m:sSup>
          <m:sSupPr>
            <m:ctrlPr>
              <w:rPr>
                <w:rFonts w:ascii="Cambria Math" w:hAnsi="Cambria Math" w:cs="Times New Roman"/>
              </w:rPr>
            </m:ctrlPr>
          </m:sSupPr>
          <m:e>
            <m:r>
              <m:rPr/>
              <w:rPr>
                <w:rFonts w:ascii="Cambria Math" w:hAnsi="Cambria Math" w:cs="Times New Roman"/>
              </w:rPr>
              <m:t>10</m:t>
            </m:r>
            <m:ctrlPr>
              <w:rPr>
                <w:rFonts w:ascii="Cambria Math" w:hAnsi="Cambria Math" w:cs="Times New Roman"/>
              </w:rPr>
            </m:ctrlPr>
          </m:e>
          <m:sup>
            <m:r>
              <m:rPr/>
              <w:rPr>
                <w:rFonts w:ascii="Cambria Math" w:hAnsi="Cambria Math" w:cs="Times New Roman"/>
              </w:rPr>
              <m:t>−12</m:t>
            </m:r>
            <m:ctrlPr>
              <w:rPr>
                <w:rFonts w:ascii="Cambria Math" w:hAnsi="Cambria Math" w:cs="Times New Roman"/>
              </w:rPr>
            </m:ctrlPr>
          </m:sup>
        </m:sSup>
      </m:oMath>
      <w:r>
        <w:rPr>
          <w:rFonts w:ascii="Times New Roman" w:hAnsi="Times New Roman" w:cs="Times New Roman"/>
        </w:rPr>
        <w:t xml:space="preserve">was replaced by </w:t>
      </w:r>
      <m:oMath>
        <m:sSup>
          <m:sSupPr>
            <m:ctrlPr>
              <w:rPr>
                <w:rFonts w:ascii="Cambria Math" w:hAnsi="Cambria Math" w:cs="Times New Roman"/>
              </w:rPr>
            </m:ctrlPr>
          </m:sSupPr>
          <m:e>
            <m:r>
              <m:rPr/>
              <w:rPr>
                <w:rFonts w:ascii="Cambria Math" w:hAnsi="Cambria Math" w:cs="Times New Roman"/>
              </w:rPr>
              <m:t>10</m:t>
            </m:r>
            <m:ctrlPr>
              <w:rPr>
                <w:rFonts w:ascii="Cambria Math" w:hAnsi="Cambria Math" w:cs="Times New Roman"/>
              </w:rPr>
            </m:ctrlPr>
          </m:e>
          <m:sup>
            <m:r>
              <m:rPr/>
              <w:rPr>
                <w:rFonts w:ascii="Cambria Math" w:hAnsi="Cambria Math" w:cs="Times New Roman"/>
              </w:rPr>
              <m:t>−12</m:t>
            </m:r>
            <m:ctrlPr>
              <w:rPr>
                <w:rFonts w:ascii="Cambria Math" w:hAnsi="Cambria Math" w:cs="Times New Roman"/>
              </w:rPr>
            </m:ctrlPr>
          </m:sup>
        </m:sSup>
      </m:oMath>
      <w:r>
        <w:rPr>
          <w:rFonts w:ascii="Times New Roman" w:hAnsi="Times New Roman" w:cs="Times New Roman"/>
        </w:rPr>
        <w:t>. The normalized posterior means were then combined using an equally weighted arithmetic average,</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s</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Greedy</m:t>
                </m:r>
                <m:ctrlPr>
                  <w:rPr>
                    <w:rFonts w:ascii="Cambria Math" w:hAnsi="Cambria Math" w:cs="Times New Roman"/>
                  </w:rPr>
                </m:ctrlPr>
              </m:e>
            </m:phant>
            <m:r>
              <m:rPr/>
              <w:rPr>
                <w:rFonts w:ascii="Cambria Math" w:hAnsi="Cambria Math" w:cs="Times New Roman"/>
              </w:rPr>
              <m:t>,t</m:t>
            </m:r>
            <m:ctrlPr>
              <w:rPr>
                <w:rFonts w:ascii="Cambria Math" w:hAnsi="Cambria Math" w:cs="Times New Roman"/>
              </w:rPr>
            </m:ctrlPr>
          </m:sub>
        </m:sSub>
        <m:d>
          <m:dPr>
            <m:ctrlPr>
              <w:rPr>
                <w:rFonts w:ascii="Cambria Math" w:hAnsi="Cambria Math" w:cs="Times New Roman"/>
              </w:rPr>
            </m:ctrlPr>
          </m:dPr>
          <m:e>
            <m:r>
              <m:rPr>
                <m:sty m:val="b"/>
              </m:rPr>
              <w:rPr>
                <w:rFonts w:ascii="Cambria Math" w:hAnsi="Cambria Math" w:cs="Times New Roman"/>
              </w:rPr>
              <m:t>x</m:t>
            </m:r>
            <m:ctrlPr>
              <w:rPr>
                <w:rFonts w:ascii="Cambria Math" w:hAnsi="Cambria Math" w:cs="Times New Roman"/>
              </w:rPr>
            </m:ctrlPr>
          </m:e>
        </m:d>
        <m:r>
          <m:rPr/>
          <w:rPr>
            <w:rFonts w:ascii="Cambria Math" w:hAnsi="Cambria Math" w:cs="Times New Roman"/>
          </w:rPr>
          <m:t>=</m:t>
        </m:r>
        <m:f>
          <m:fPr>
            <m:ctrlPr>
              <w:rPr>
                <w:rFonts w:ascii="Cambria Math" w:hAnsi="Cambria Math" w:cs="Times New Roman"/>
              </w:rPr>
            </m:ctrlPr>
          </m:fPr>
          <m:num>
            <m:r>
              <m:rPr/>
              <w:rPr>
                <w:rFonts w:ascii="Cambria Math" w:hAnsi="Cambria Math" w:cs="Times New Roman"/>
              </w:rPr>
              <m:t>1</m:t>
            </m:r>
            <m:ctrlPr>
              <w:rPr>
                <w:rFonts w:ascii="Cambria Math" w:hAnsi="Cambria Math" w:cs="Times New Roman"/>
              </w:rPr>
            </m:ctrlPr>
          </m:num>
          <m:den>
            <m:r>
              <m:rPr/>
              <w:rPr>
                <w:rFonts w:ascii="Cambria Math" w:hAnsi="Cambria Math" w:cs="Times New Roman"/>
              </w:rPr>
              <m:t>3</m:t>
            </m:r>
            <m:ctrlPr>
              <w:rPr>
                <w:rFonts w:ascii="Cambria Math" w:hAnsi="Cambria Math" w:cs="Times New Roman"/>
              </w:rPr>
            </m:ctrlPr>
          </m:den>
        </m:f>
        <m:nary>
          <m:naryPr>
            <m:chr m:val="∑"/>
            <m:grow m:val="1"/>
            <m:limLoc m:val="subSup"/>
            <m:supHide m:val="1"/>
            <m:ctrlPr>
              <w:rPr>
                <w:rFonts w:ascii="Cambria Math" w:hAnsi="Cambria Math" w:cs="Times New Roman"/>
              </w:rPr>
            </m:ctrlPr>
          </m:naryPr>
          <m:sub>
            <m:r>
              <m:rPr/>
              <w:rPr>
                <w:rFonts w:ascii="Cambria Math" w:hAnsi="Cambria Math" w:cs="Times New Roman"/>
              </w:rPr>
              <m:t>k∈{</m:t>
            </m:r>
            <m:phant>
              <m:phantPr>
                <m:ctrlPr>
                  <w:rPr>
                    <w:rFonts w:ascii="Cambria Math" w:hAnsi="Cambria Math" w:cs="Times New Roman"/>
                  </w:rPr>
                </m:ctrlPr>
              </m:phantPr>
              <m:e>
                <m:r>
                  <m:rPr>
                    <m:sty m:val="p"/>
                  </m:rPr>
                  <w:rPr>
                    <w:rFonts w:ascii="Cambria Math" w:hAnsi="Cambria Math" w:cs="Times New Roman"/>
                  </w:rPr>
                  <m:t>CEES</m:t>
                </m:r>
                <m:ctrlPr>
                  <w:rPr>
                    <w:rFonts w:ascii="Cambria Math" w:hAnsi="Cambria Math" w:cs="Times New Roman"/>
                  </w:rPr>
                </m:ctrlPr>
              </m:e>
            </m:phant>
            <m:r>
              <m:rPr/>
              <w:rPr>
                <w:rFonts w:ascii="Cambria Math" w:hAnsi="Cambria Math" w:cs="Times New Roman"/>
              </w:rPr>
              <m:t>,</m:t>
            </m:r>
            <m:phant>
              <m:phantPr>
                <m:ctrlPr>
                  <w:rPr>
                    <w:rFonts w:ascii="Cambria Math" w:hAnsi="Cambria Math" w:cs="Times New Roman"/>
                  </w:rPr>
                </m:ctrlPr>
              </m:phantPr>
              <m:e>
                <m:r>
                  <m:rPr>
                    <m:sty m:val="p"/>
                  </m:rPr>
                  <w:rPr>
                    <w:rFonts w:ascii="Cambria Math" w:hAnsi="Cambria Math" w:cs="Times New Roman"/>
                  </w:rPr>
                  <m:t>DMMP</m:t>
                </m:r>
                <m:ctrlPr>
                  <w:rPr>
                    <w:rFonts w:ascii="Cambria Math" w:hAnsi="Cambria Math" w:cs="Times New Roman"/>
                  </w:rPr>
                </m:ctrlPr>
              </m:e>
            </m:phant>
            <m:r>
              <m:rPr/>
              <w:rPr>
                <w:rFonts w:ascii="Cambria Math" w:hAnsi="Cambria Math" w:cs="Times New Roman"/>
              </w:rPr>
              <m:t>,</m:t>
            </m:r>
            <m:phant>
              <m:phantPr>
                <m:ctrlPr>
                  <w:rPr>
                    <w:rFonts w:ascii="Cambria Math" w:hAnsi="Cambria Math" w:cs="Times New Roman"/>
                  </w:rPr>
                </m:ctrlPr>
              </m:phantPr>
              <m:e>
                <m:r>
                  <m:rPr>
                    <m:sty m:val="p"/>
                  </m:rPr>
                  <w:rPr>
                    <w:rFonts w:ascii="Cambria Math" w:hAnsi="Cambria Math" w:cs="Times New Roman"/>
                  </w:rPr>
                  <m:t>EtCl</m:t>
                </m:r>
                <m:ctrlPr>
                  <w:rPr>
                    <w:rFonts w:ascii="Cambria Math" w:hAnsi="Cambria Math" w:cs="Times New Roman"/>
                  </w:rPr>
                </m:ctrlPr>
              </m:e>
            </m:phant>
            <m:r>
              <m:rPr/>
              <w:rPr>
                <w:rFonts w:ascii="Cambria Math" w:hAnsi="Cambria Math" w:cs="Times New Roman"/>
              </w:rPr>
              <m:t>}</m:t>
            </m:r>
            <m:ctrlPr>
              <w:rPr>
                <w:rFonts w:ascii="Cambria Math" w:hAnsi="Cambria Math" w:cs="Times New Roman"/>
              </w:rPr>
            </m:ctrlPr>
          </m:sub>
          <m:sup>
            <m:ctrlPr>
              <w:rPr>
                <w:rFonts w:ascii="Cambria Math" w:hAnsi="Cambria Math" w:cs="Times New Roman"/>
              </w:rPr>
            </m:ctrlPr>
          </m:sup>
          <m:e>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μ</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ctrlPr>
              <w:rPr>
                <w:rFonts w:ascii="Cambria Math" w:hAnsi="Cambria Math" w:cs="Times New Roman"/>
              </w:rPr>
            </m:ctrlPr>
          </m:e>
        </m:nary>
        <m:d>
          <m:dPr>
            <m:ctrlPr>
              <w:rPr>
                <w:rFonts w:ascii="Cambria Math" w:hAnsi="Cambria Math" w:cs="Times New Roman"/>
              </w:rPr>
            </m:ctrlPr>
          </m:dPr>
          <m:e>
            <m:r>
              <m:rPr>
                <m:sty m:val="b"/>
              </m:rPr>
              <w:rPr>
                <w:rFonts w:ascii="Cambria Math" w:hAnsi="Cambria Math" w:cs="Times New Roman"/>
              </w:rPr>
              <m:t>x</m:t>
            </m:r>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(52)</w:t>
      </w:r>
    </w:p>
    <w:p>
      <w:pPr>
        <w:rPr>
          <w:rFonts w:ascii="Times New Roman" w:hAnsi="Times New Roman" w:cs="Times New Roman"/>
        </w:rPr>
      </w:pPr>
      <w:r>
        <w:rPr>
          <w:rFonts w:ascii="Times New Roman" w:hAnsi="Times New Roman" w:cs="Times New Roman"/>
        </w:rPr>
        <w:t xml:space="preserve">Only candidates in </w:t>
      </w:r>
      <m:oMath>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were eligible for selection, and the materials with the largest composite scores were assigned to the next batch. The Greedy rule did not use posterior variance, posterior sampling, expected hypervolume improvement or unavailable oracle labels. It was therefore a deterministic posterior-mean exploitation policy. The task configuration explicitly identified this policy as posterior_mean_composite_greedy, rather than a predicted hypervolume-contribution rule.</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6.2.4 Random sampling baseline</w:t>
      </w:r>
    </w:p>
    <w:p>
      <w:pPr>
        <w:ind w:firstLine="420"/>
        <w:rPr>
          <w:rFonts w:ascii="Times New Roman" w:hAnsi="Times New Roman" w:cs="Times New Roman"/>
        </w:rPr>
      </w:pPr>
      <w:r>
        <w:rPr>
          <w:rFonts w:ascii="Times New Roman" w:hAnsi="Times New Roman" w:cs="Times New Roman"/>
        </w:rPr>
        <w:t xml:space="preserve">Random sampling served as an unguided reference policy. At iteration </w:t>
      </w:r>
      <m:oMath>
        <m:r>
          <m:rPr/>
          <w:rPr>
            <w:rFonts w:ascii="Cambria Math" w:hAnsi="Cambria Math" w:cs="Times New Roman"/>
          </w:rPr>
          <m:t>t</m:t>
        </m:r>
      </m:oMath>
      <w:r>
        <w:rPr>
          <w:rFonts w:ascii="Times New Roman" w:hAnsi="Times New Roman" w:cs="Times New Roman"/>
        </w:rPr>
        <w:t xml:space="preserve">, the required number of materials was sampled uniformly from the current unqueried pool without replacement, </w:t>
      </w:r>
      <m:oMath>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r>
          <m:rPr>
            <m:sty m:val="p"/>
          </m:rPr>
          <w:rPr>
            <w:rFonts w:ascii="Cambria Math" w:hAnsi="Cambria Math" w:cs="Times New Roman"/>
          </w:rPr>
          <m:t>UniformSubset</m:t>
        </m:r>
        <m:r>
          <m:rPr/>
          <w:rPr>
            <w:rFonts w:ascii="Cambria Math" w:hAnsi="Cambria Math" w:cs="Times New Roman"/>
          </w:rPr>
          <m:t>⁡</m:t>
        </m:r>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where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denotes the batch size used in that round. The implementation used random sampling with replace=False, ensuring that no MOF was queried more than once. </w:t>
      </w:r>
    </w:p>
    <w:p>
      <w:pPr>
        <w:ind w:firstLine="420"/>
        <w:rPr>
          <w:rFonts w:ascii="Times New Roman" w:hAnsi="Times New Roman" w:cs="Times New Roman"/>
        </w:rPr>
      </w:pPr>
      <w:r>
        <w:rPr>
          <w:rFonts w:ascii="Times New Roman" w:hAnsi="Times New Roman" w:cs="Times New Roman"/>
        </w:rPr>
        <w:t>Random sampling did not fit a GP surrogate, calculate posterior predictions, apply qEHVI, use the posterior-mean composite score or possess an ARD setting. It nevertheless used the same finite candidate library, seed-specific initial designs, query budgets and oracle-based performance calculations as the model-guided policies.</w:t>
      </w:r>
    </w:p>
    <w:p>
      <w:pPr>
        <w:ind w:firstLine="420"/>
        <w:rPr>
          <w:rFonts w:ascii="Times New Roman" w:hAnsi="Times New Roman" w:cs="Times New Roman"/>
        </w:rPr>
      </w:pPr>
      <w:r>
        <w:rPr>
          <w:rFonts w:ascii="Times New Roman" w:hAnsi="Times New Roman" w:cs="Times New Roman"/>
        </w:rPr>
        <w:t>Together, the three policy families separated uncertainty-aware multi-objective acquisition, deterministic posterior-mean exploitation and unguided finite-pool sampling under a common retrospective evaluation setting.</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S6.3 BO execution and memory-efficient computational implementation</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6.3.1 Common MaxMin initialization and matched seeds</w:t>
      </w:r>
    </w:p>
    <w:p>
      <w:pPr>
        <w:rPr>
          <w:rFonts w:ascii="Times New Roman" w:hAnsi="Times New Roman" w:cs="Times New Roman"/>
        </w:rPr>
      </w:pPr>
      <w:r>
        <w:rPr>
          <w:rFonts w:ascii="Times New Roman" w:hAnsi="Times New Roman" w:cs="Times New Roman"/>
        </w:rPr>
        <w:t>Each optimization task began from a precomputed initial design containing 100 MOFs. The initial designs were constructed in the standardized 14-dimensional Manual descriptor space using a seeded MaxMin, or farthest-point, procedure. For each seed, the first material was sampled uniformly from the complete 7,532-MOF candidate library. The remaining 99 materials were then selected sequentially according to their Euclidean distances in the standardized Manual descriptor space.</w:t>
      </w:r>
    </w:p>
    <w:p>
      <w:pPr>
        <w:ind w:firstLine="420"/>
        <w:rPr>
          <w:rFonts w:ascii="Times New Roman" w:hAnsi="Times New Roman" w:cs="Times New Roman"/>
        </w:rPr>
      </w:pPr>
      <w:r>
        <w:rPr>
          <w:rFonts w:ascii="Times New Roman" w:hAnsi="Times New Roman" w:cs="Times New Roman"/>
        </w:rPr>
        <w:t xml:space="preserve">Let </w:t>
      </w:r>
      <m:oMath>
        <m:sSub>
          <m:sSubPr>
            <m:ctrlPr>
              <w:rPr>
                <w:rFonts w:ascii="Cambria Math" w:hAnsi="Cambria Math" w:cs="Times New Roman"/>
              </w:rPr>
            </m:ctrlPr>
          </m:sSubPr>
          <m:e>
            <m:r>
              <m:rPr>
                <m:scr m:val="script"/>
              </m:rPr>
              <w:rPr>
                <w:rFonts w:ascii="Cambria Math" w:hAnsi="Cambria Math" w:eastAsia="MS Mincho" w:cs="Times New Roman"/>
              </w:rPr>
              <m:t>ℐ</m:t>
            </m:r>
            <m:ctrlPr>
              <w:rPr>
                <w:rFonts w:ascii="Cambria Math" w:hAnsi="Cambria Math" w:cs="Times New Roman"/>
              </w:rPr>
            </m:ctrlPr>
          </m:e>
          <m:sub>
            <m:r>
              <m:rPr/>
              <w:rPr>
                <w:rFonts w:ascii="Cambria Math" w:hAnsi="Cambria Math" w:cs="Times New Roman"/>
              </w:rPr>
              <m:t>s,j</m:t>
            </m:r>
            <m:ctrlPr>
              <w:rPr>
                <w:rFonts w:ascii="Cambria Math" w:hAnsi="Cambria Math" w:cs="Times New Roman"/>
              </w:rPr>
            </m:ctrlPr>
          </m:sub>
        </m:sSub>
        <m:r>
          <m:rPr>
            <m:scr m:val="script"/>
          </m:rPr>
          <w:rPr>
            <w:rFonts w:ascii="Cambria Math" w:hAnsi="Cambria Math" w:eastAsia="MS Mincho" w:cs="Times New Roman"/>
          </w:rPr>
          <m:t>⊂ℳ</m:t>
        </m:r>
      </m:oMath>
      <w:r>
        <w:rPr>
          <w:rFonts w:ascii="Times New Roman" w:hAnsi="Times New Roman" w:cs="Times New Roman"/>
        </w:rPr>
        <w:t xml:space="preserve"> denote the partial initial design containing </w:t>
      </w:r>
      <m:oMath>
        <m:r>
          <m:rPr/>
          <w:rPr>
            <w:rFonts w:ascii="Cambria Math" w:hAnsi="Cambria Math" w:cs="Times New Roman"/>
          </w:rPr>
          <m:t xml:space="preserve">j </m:t>
        </m:r>
      </m:oMath>
      <w:r>
        <w:rPr>
          <w:rFonts w:ascii="Times New Roman" w:hAnsi="Times New Roman" w:cs="Times New Roman"/>
        </w:rPr>
        <w:t xml:space="preserve">MOFs for seed </w:t>
      </w:r>
      <m:oMath>
        <m:r>
          <m:rPr/>
          <w:rPr>
            <w:rFonts w:ascii="Cambria Math" w:hAnsi="Cambria Math" w:cs="Times New Roman"/>
          </w:rPr>
          <m:t>s</m:t>
        </m:r>
      </m:oMath>
      <w:r>
        <w:rPr>
          <w:rFonts w:ascii="Times New Roman" w:hAnsi="Times New Roman" w:cs="Times New Roman"/>
        </w:rPr>
        <w:t xml:space="preserve">, and let </w:t>
      </w:r>
      <m:oMath>
        <m:sSubSup>
          <m:sSubSupPr>
            <m:ctrlPr>
              <w:rPr>
                <w:rFonts w:ascii="Cambria Math" w:hAnsi="Cambria Math" w:cs="Times New Roman"/>
              </w:rPr>
            </m:ctrlPr>
          </m:sSubSup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up>
            <m:d>
              <m:dPr>
                <m:ctrlPr>
                  <w:rPr>
                    <w:rFonts w:ascii="Cambria Math" w:hAnsi="Cambria Math" w:cs="Times New Roman"/>
                  </w:rPr>
                </m:ctrlPr>
              </m:dPr>
              <m:e>
                <m:r>
                  <m:rPr>
                    <m:sty m:val="p"/>
                  </m:rPr>
                  <w:rPr>
                    <w:rFonts w:ascii="Cambria Math" w:hAnsi="Cambria Math" w:cs="Times New Roman"/>
                  </w:rPr>
                  <m:t>M</m:t>
                </m:r>
                <m:ctrlPr>
                  <w:rPr>
                    <w:rFonts w:ascii="Cambria Math" w:hAnsi="Cambria Math" w:cs="Times New Roman"/>
                  </w:rPr>
                </m:ctrlPr>
              </m:e>
            </m:d>
            <m:ctrlPr>
              <w:rPr>
                <w:rFonts w:ascii="Cambria Math" w:hAnsi="Cambria Math" w:cs="Times New Roman"/>
              </w:rPr>
            </m:ctrlPr>
          </m:sup>
        </m:sSubSup>
      </m:oMath>
      <w:r>
        <w:rPr>
          <w:rFonts w:ascii="Times New Roman" w:hAnsi="Times New Roman" w:cs="Times New Roman"/>
        </w:rPr>
        <w:t xml:space="preserve">denote the standardized Manual descriptor vector of material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oMath>
      <w:r>
        <w:rPr>
          <w:rFonts w:ascii="Times New Roman" w:hAnsi="Times New Roman" w:cs="Times New Roman"/>
        </w:rPr>
        <w:t xml:space="preserve">. For a candidate </w:t>
      </w:r>
      <m:oMath>
        <m:r>
          <m:rPr/>
          <w:rPr>
            <w:rFonts w:ascii="Cambria Math" w:hAnsi="Cambria Math" w:cs="Times New Roman"/>
          </w:rPr>
          <m:t>m</m:t>
        </m:r>
        <m:r>
          <m:rPr>
            <m:sty m:val="p"/>
          </m:rPr>
          <w:rPr>
            <w:rFonts w:ascii="Cambria Math" w:hAnsi="Cambria Math" w:cs="Times New Roman"/>
          </w:rPr>
          <m:t>∉</m:t>
        </m:r>
        <m:sSub>
          <m:sSubPr>
            <m:ctrlPr>
              <w:rPr>
                <w:rFonts w:ascii="Cambria Math" w:hAnsi="Cambria Math" w:cs="Times New Roman"/>
              </w:rPr>
            </m:ctrlPr>
          </m:sSubPr>
          <m:e>
            <m:r>
              <m:rPr>
                <m:scr m:val="script"/>
              </m:rPr>
              <w:rPr>
                <w:rFonts w:ascii="Cambria Math" w:hAnsi="Cambria Math" w:eastAsia="MS Mincho" w:cs="Times New Roman"/>
              </w:rPr>
              <m:t>ℐ</m:t>
            </m:r>
            <m:ctrlPr>
              <w:rPr>
                <w:rFonts w:ascii="Cambria Math" w:hAnsi="Cambria Math" w:cs="Times New Roman"/>
              </w:rPr>
            </m:ctrlPr>
          </m:e>
          <m:sub>
            <m:r>
              <m:rPr/>
              <w:rPr>
                <w:rFonts w:ascii="Cambria Math" w:hAnsi="Cambria Math" w:cs="Times New Roman"/>
              </w:rPr>
              <m:t>s,j</m:t>
            </m:r>
            <m:ctrlPr>
              <w:rPr>
                <w:rFonts w:ascii="Cambria Math" w:hAnsi="Cambria Math" w:cs="Times New Roman"/>
              </w:rPr>
            </m:ctrlPr>
          </m:sub>
        </m:sSub>
      </m:oMath>
      <w:r>
        <w:rPr>
          <w:rFonts w:ascii="Times New Roman" w:hAnsi="Times New Roman" w:cs="Times New Roman"/>
        </w:rPr>
        <w:t>, its distance from the current design was defined as its nearest-neighbour distance to the selected set,</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s,j+1</m:t>
            </m:r>
            <m:ctrlPr>
              <w:rPr>
                <w:rFonts w:ascii="Cambria Math" w:hAnsi="Cambria Math" w:cs="Times New Roman"/>
              </w:rPr>
            </m:ctrlPr>
          </m:sub>
        </m:sSub>
        <m:r>
          <m:rPr/>
          <w:rPr>
            <w:rFonts w:ascii="Cambria Math" w:hAnsi="Cambria Math" w:cs="Times New Roman"/>
          </w:rPr>
          <m:t>=</m:t>
        </m:r>
        <m:limLow>
          <m:limLowPr>
            <m:ctrlPr>
              <w:rPr>
                <w:rFonts w:ascii="Cambria Math" w:hAnsi="Cambria Math" w:cs="Times New Roman"/>
              </w:rPr>
            </m:ctrlPr>
          </m:limLowPr>
          <m:e>
            <m:r>
              <m:rPr>
                <m:sty m:val="p"/>
              </m:rPr>
              <w:rPr>
                <w:rFonts w:ascii="Cambria Math" w:hAnsi="Cambria Math" w:cs="Times New Roman"/>
              </w:rPr>
              <m:t>arg max</m:t>
            </m:r>
            <m:ctrlPr>
              <w:rPr>
                <w:rFonts w:ascii="Cambria Math" w:hAnsi="Cambria Math" w:cs="Times New Roman"/>
              </w:rPr>
            </m:ctrlPr>
          </m:e>
          <m:lim>
            <m:r>
              <m:rPr/>
              <w:rPr>
                <w:rFonts w:ascii="Cambria Math" w:hAnsi="Cambria Math" w:cs="Times New Roman"/>
              </w:rPr>
              <m:t>m</m:t>
            </m:r>
            <m:r>
              <m:rPr>
                <m:scr m:val="script"/>
              </m:rPr>
              <w:rPr>
                <w:rFonts w:ascii="Cambria Math" w:hAnsi="Cambria Math" w:eastAsia="MS Mincho" w:cs="Times New Roman"/>
              </w:rPr>
              <m:t>∈ℳ∖</m:t>
            </m:r>
            <m:sSub>
              <m:sSubPr>
                <m:ctrlPr>
                  <w:rPr>
                    <w:rFonts w:ascii="Cambria Math" w:hAnsi="Cambria Math" w:cs="Times New Roman"/>
                  </w:rPr>
                </m:ctrlPr>
              </m:sSubPr>
              <m:e>
                <m:r>
                  <m:rPr>
                    <m:scr m:val="script"/>
                  </m:rPr>
                  <w:rPr>
                    <w:rFonts w:ascii="Cambria Math" w:hAnsi="Cambria Math" w:eastAsia="MS Mincho" w:cs="Times New Roman"/>
                  </w:rPr>
                  <m:t>ℐ</m:t>
                </m:r>
                <m:ctrlPr>
                  <w:rPr>
                    <w:rFonts w:ascii="Cambria Math" w:hAnsi="Cambria Math" w:cs="Times New Roman"/>
                  </w:rPr>
                </m:ctrlPr>
              </m:e>
              <m:sub>
                <m:r>
                  <m:rPr/>
                  <w:rPr>
                    <w:rFonts w:ascii="Cambria Math" w:hAnsi="Cambria Math" w:cs="Times New Roman"/>
                  </w:rPr>
                  <m:t>s,j</m:t>
                </m:r>
                <m:ctrlPr>
                  <w:rPr>
                    <w:rFonts w:ascii="Cambria Math" w:hAnsi="Cambria Math" w:cs="Times New Roman"/>
                  </w:rPr>
                </m:ctrlPr>
              </m:sub>
            </m:sSub>
            <m:ctrlPr>
              <w:rPr>
                <w:rFonts w:ascii="Cambria Math" w:hAnsi="Cambria Math" w:cs="Times New Roman"/>
              </w:rPr>
            </m:ctrlPr>
          </m:lim>
        </m:limLow>
        <m:limLow>
          <m:limLowPr>
            <m:ctrlPr>
              <w:rPr>
                <w:rFonts w:ascii="Cambria Math" w:hAnsi="Cambria Math" w:cs="Times New Roman"/>
              </w:rPr>
            </m:ctrlPr>
          </m:limLowPr>
          <m:e>
            <m:r>
              <m:rPr>
                <m:sty m:val="p"/>
              </m:rPr>
              <w:rPr>
                <w:rFonts w:ascii="Cambria Math" w:hAnsi="Cambria Math" w:cs="Times New Roman"/>
              </w:rPr>
              <m:t>min</m:t>
            </m:r>
            <m:ctrlPr>
              <w:rPr>
                <w:rFonts w:ascii="Cambria Math" w:hAnsi="Cambria Math" w:cs="Times New Roman"/>
              </w:rPr>
            </m:ctrlPr>
          </m:e>
          <m:lim>
            <m:sSup>
              <m:sSupPr>
                <m:ctrlPr>
                  <w:rPr>
                    <w:rFonts w:ascii="Cambria Math" w:hAnsi="Cambria Math" w:cs="Times New Roman"/>
                  </w:rPr>
                </m:ctrlPr>
              </m:sSupPr>
              <m:e>
                <m:r>
                  <m:rPr/>
                  <w:rPr>
                    <w:rFonts w:ascii="Cambria Math" w:hAnsi="Cambria Math" w:cs="Times New Roman"/>
                  </w:rPr>
                  <m:t>m</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r>
              <m:rPr/>
              <w:rPr>
                <w:rFonts w:ascii="Cambria Math" w:hAnsi="Cambria Math" w:cs="Times New Roman"/>
              </w:rPr>
              <m:t>∈</m:t>
            </m:r>
            <m:sSub>
              <m:sSubPr>
                <m:ctrlPr>
                  <w:rPr>
                    <w:rFonts w:ascii="Cambria Math" w:hAnsi="Cambria Math" w:cs="Times New Roman"/>
                  </w:rPr>
                </m:ctrlPr>
              </m:sSubPr>
              <m:e>
                <m:r>
                  <m:rPr>
                    <m:scr m:val="script"/>
                  </m:rPr>
                  <w:rPr>
                    <w:rFonts w:ascii="Cambria Math" w:hAnsi="Cambria Math" w:eastAsia="MS Mincho" w:cs="Times New Roman"/>
                  </w:rPr>
                  <m:t>ℐ</m:t>
                </m:r>
                <m:ctrlPr>
                  <w:rPr>
                    <w:rFonts w:ascii="Cambria Math" w:hAnsi="Cambria Math" w:cs="Times New Roman"/>
                  </w:rPr>
                </m:ctrlPr>
              </m:e>
              <m:sub>
                <m:r>
                  <m:rPr/>
                  <w:rPr>
                    <w:rFonts w:ascii="Cambria Math" w:hAnsi="Cambria Math" w:cs="Times New Roman"/>
                  </w:rPr>
                  <m:t>s,j</m:t>
                </m:r>
                <m:ctrlPr>
                  <w:rPr>
                    <w:rFonts w:ascii="Cambria Math" w:hAnsi="Cambria Math" w:cs="Times New Roman"/>
                  </w:rPr>
                </m:ctrlPr>
              </m:sub>
            </m:sSub>
            <m:ctrlPr>
              <w:rPr>
                <w:rFonts w:ascii="Cambria Math" w:hAnsi="Cambria Math" w:cs="Times New Roman"/>
              </w:rPr>
            </m:ctrlPr>
          </m:lim>
        </m:limLow>
        <m:sSub>
          <m:sSubPr>
            <m:ctrlPr>
              <w:rPr>
                <w:rFonts w:ascii="Cambria Math" w:hAnsi="Cambria Math" w:cs="Times New Roman"/>
              </w:rPr>
            </m:ctrlPr>
          </m:sSubPr>
          <m:e>
            <m:d>
              <m:dPr>
                <m:begChr m:val="‖"/>
                <m:sepChr m:val="−"/>
                <m:endChr m:val="‖"/>
                <m:ctrlPr>
                  <w:rPr>
                    <w:rFonts w:ascii="Cambria Math" w:hAnsi="Cambria Math" w:cs="Times New Roman"/>
                  </w:rPr>
                </m:ctrlPr>
              </m:dPr>
              <m:e>
                <m:sSubSup>
                  <m:sSubSupPr>
                    <m:ctrlPr>
                      <w:rPr>
                        <w:rFonts w:ascii="Cambria Math" w:hAnsi="Cambria Math" w:cs="Times New Roman"/>
                      </w:rPr>
                    </m:ctrlPr>
                  </m:sSubSupPr>
                  <m:e>
                    <m:r>
                      <m:rPr>
                        <m:sty m:val="b"/>
                      </m:rPr>
                      <w:rPr>
                        <w:rFonts w:ascii="Cambria Math" w:hAnsi="Cambria Math" w:cs="Times New Roman"/>
                      </w:rPr>
                      <m:t>x</m:t>
                    </m:r>
                    <m:ctrlPr>
                      <w:rPr>
                        <w:rFonts w:ascii="Cambria Math" w:hAnsi="Cambria Math" w:cs="Times New Roman"/>
                      </w:rPr>
                    </m:ctrlPr>
                  </m:e>
                  <m:sub>
                    <m:r>
                      <m:rPr/>
                      <w:rPr>
                        <w:rFonts w:ascii="Cambria Math" w:hAnsi="Cambria Math" w:cs="Times New Roman"/>
                      </w:rPr>
                      <m:t>m</m:t>
                    </m:r>
                    <m:ctrlPr>
                      <w:rPr>
                        <w:rFonts w:ascii="Cambria Math" w:hAnsi="Cambria Math" w:cs="Times New Roman"/>
                      </w:rPr>
                    </m:ctrlPr>
                  </m:sub>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bSup>
                <m:ctrlPr>
                  <w:rPr>
                    <w:rFonts w:ascii="Cambria Math" w:hAnsi="Cambria Math" w:cs="Times New Roman"/>
                  </w:rPr>
                </m:ctrlPr>
              </m:e>
              <m:e>
                <m:sSubSup>
                  <m:sSubSupPr>
                    <m:ctrlPr>
                      <w:rPr>
                        <w:rFonts w:ascii="Cambria Math" w:hAnsi="Cambria Math" w:cs="Times New Roman"/>
                      </w:rPr>
                    </m:ctrlPr>
                  </m:sSubSupPr>
                  <m:e>
                    <m:r>
                      <m:rPr>
                        <m:sty m:val="b"/>
                      </m:rPr>
                      <w:rPr>
                        <w:rFonts w:ascii="Cambria Math" w:hAnsi="Cambria Math" w:cs="Times New Roman"/>
                      </w:rPr>
                      <m:t>x</m:t>
                    </m:r>
                    <m:ctrlPr>
                      <w:rPr>
                        <w:rFonts w:ascii="Cambria Math" w:hAnsi="Cambria Math" w:cs="Times New Roman"/>
                      </w:rPr>
                    </m:ctrlPr>
                  </m:e>
                  <m:sub>
                    <m:sSup>
                      <m:sSupPr>
                        <m:ctrlPr>
                          <w:rPr>
                            <w:rFonts w:ascii="Cambria Math" w:hAnsi="Cambria Math" w:cs="Times New Roman"/>
                          </w:rPr>
                        </m:ctrlPr>
                      </m:sSupPr>
                      <m:e>
                        <m:r>
                          <m:rPr/>
                          <w:rPr>
                            <w:rFonts w:ascii="Cambria Math" w:hAnsi="Cambria Math" w:cs="Times New Roman"/>
                          </w:rPr>
                          <m:t>m</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sub>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bSup>
                <m:ctrlPr>
                  <w:rPr>
                    <w:rFonts w:ascii="Cambria Math" w:hAnsi="Cambria Math" w:cs="Times New Roman"/>
                  </w:rPr>
                </m:ctrlPr>
              </m:e>
            </m:d>
            <m:ctrlPr>
              <w:rPr>
                <w:rFonts w:ascii="Cambria Math" w:hAnsi="Cambria Math" w:cs="Times New Roman"/>
              </w:rPr>
            </m:ctrlPr>
          </m:e>
          <m:sub>
            <m:r>
              <m:rPr/>
              <w:rPr>
                <w:rFonts w:ascii="Cambria Math" w:hAnsi="Cambria Math" w:cs="Times New Roman"/>
              </w:rPr>
              <m:t>2</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(53)</w:t>
      </w:r>
    </w:p>
    <w:p>
      <w:pPr>
        <w:ind w:firstLine="420"/>
        <w:rPr>
          <w:rFonts w:ascii="Times New Roman" w:hAnsi="Times New Roman" w:cs="Times New Roman"/>
        </w:rPr>
      </w:pPr>
      <w:r>
        <w:rPr>
          <w:rFonts w:ascii="Times New Roman" w:hAnsi="Times New Roman" w:cs="Times New Roman"/>
        </w:rPr>
        <w:t>At each subsequent step, the candidate with the largest distance to its nearest selected neighbour was added to the design. The procedure was repeated until 100 materials had been selected. MaxMin initialization therefore favoured materials that extended the physicochemical coverage of the current design. CEES, DMMP and EtCl responses, target-specific rankings and oracle Pareto assignments were not used during initial-design construction.</w:t>
      </w:r>
    </w:p>
    <w:p>
      <w:pPr>
        <w:ind w:firstLine="420"/>
        <w:rPr>
          <w:rFonts w:ascii="Times New Roman" w:hAnsi="Times New Roman" w:cs="Times New Roman"/>
        </w:rPr>
      </w:pPr>
      <w:r>
        <w:rPr>
          <w:rFonts w:ascii="Times New Roman" w:hAnsi="Times New Roman" w:cs="Times New Roman"/>
        </w:rPr>
        <w:t>Five matched seeds were evaluated: 42, 123, 456, 789 and 1024. For a given seed, all model-guided configurations and Random sampling used exactly the same ordered set of 100 initial MOFs. The three oracle responses of these materials were treated as revealed at the start of optimization and were included in the cumulative query budget.</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6.3.2 Query-budget accounting and round-wise execution</w:t>
      </w:r>
    </w:p>
    <w:p>
      <w:pPr>
        <w:ind w:firstLine="420"/>
        <w:rPr>
          <w:rFonts w:ascii="Times New Roman" w:hAnsi="Times New Roman" w:cs="Times New Roman"/>
        </w:rPr>
      </w:pPr>
      <w:r>
        <w:rPr>
          <w:rFonts w:ascii="Times New Roman" w:hAnsi="Times New Roman" w:cs="Times New Roman"/>
        </w:rPr>
        <w:t xml:space="preserve">The query budget was defined as the cumulative number of materials for which the oracle responses had been revealed. At the beginning of round </w:t>
      </w:r>
      <m:oMath>
        <m:r>
          <m:rPr/>
          <w:rPr>
            <w:rFonts w:ascii="Cambria Math" w:hAnsi="Cambria Math" w:cs="Times New Roman"/>
          </w:rPr>
          <m:t>t</m:t>
        </m:r>
      </m:oMath>
      <w:r>
        <w:rPr>
          <w:rFonts w:ascii="Times New Roman" w:hAnsi="Times New Roman" w:cs="Times New Roman"/>
        </w:rPr>
        <w:t xml:space="preserve">, the cumulative query count was </w:t>
      </w:r>
      <m:oMath>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r>
          <m:rPr>
            <m:sty m:val="p"/>
          </m:rPr>
          <w:rPr>
            <w:rFonts w:ascii="Cambria Math" w:hAnsi="Cambria Math" w:cs="Times New Roman"/>
          </w:rPr>
          <m:t xml:space="preserve">, </m:t>
        </m:r>
      </m:oMath>
      <w:r>
        <w:rPr>
          <w:rFonts w:ascii="Times New Roman" w:hAnsi="Times New Roman" w:cs="Times New Roman"/>
        </w:rPr>
        <w:t xml:space="preserve">where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 xml:space="preserve"> </m:t>
        </m:r>
      </m:oMath>
      <w:r>
        <w:rPr>
          <w:rFonts w:ascii="Times New Roman" w:hAnsi="Times New Roman" w:cs="Times New Roman"/>
        </w:rPr>
        <w:t>included the common 100-MOF initial design. Performance was recorded at five post-initial milestones corresponding nominally to 3%, 5%, 10%, 15% and 20% of the 7,532-MOF candidate library. The corresponding cumulative query counts were 226, 377, 753, 1,130 and 1,506 materials, respectively. These integer counts were specified directly in the benchmark configuration rather than reconstructed during execution from the rounded percentage labels.</w:t>
      </w:r>
    </w:p>
    <w:p>
      <w:pPr>
        <w:pStyle w:val="11"/>
        <w:jc w:val="center"/>
        <w:rPr>
          <w:rFonts w:cs="Times New Roman" w:eastAsiaTheme="minorEastAsia"/>
          <w:b/>
          <w:bCs w:val="0"/>
          <w:color w:val="auto"/>
        </w:rPr>
      </w:pPr>
      <w:r>
        <w:rPr>
          <w:rFonts w:cs="Times New Roman"/>
          <w:b/>
          <w:bCs w:val="0"/>
          <w:color w:val="auto"/>
        </w:rPr>
        <w:t>Supplementary Table 1</w:t>
      </w:r>
      <w:r>
        <w:rPr>
          <w:rFonts w:eastAsia="宋体" w:cs="Times New Roman"/>
          <w:b/>
          <w:bCs w:val="0"/>
          <w:color w:val="auto"/>
        </w:rPr>
        <w:t>7</w:t>
      </w:r>
      <w:r>
        <w:rPr>
          <w:rFonts w:cs="Times New Roman"/>
          <w:b/>
          <w:bCs w:val="0"/>
          <w:color w:val="auto"/>
        </w:rPr>
        <w:t xml:space="preserve"> | Budget milestones used in the pool-based Re</w:t>
      </w:r>
      <w:r>
        <w:rPr>
          <w:rFonts w:eastAsia="宋体" w:cs="Times New Roman"/>
          <w:b/>
          <w:bCs w:val="0"/>
          <w:color w:val="auto"/>
        </w:rPr>
        <w:t>p</w:t>
      </w:r>
      <w:r>
        <w:rPr>
          <w:rFonts w:cs="Times New Roman"/>
          <w:b/>
          <w:bCs w:val="0"/>
          <w:color w:val="auto"/>
        </w:rPr>
        <w:t>MOBO benchmark</w:t>
      </w:r>
    </w:p>
    <w:tbl>
      <w:tblPr>
        <w:tblStyle w:val="21"/>
        <w:tblW w:w="6237"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60"/>
        <w:gridCol w:w="1842"/>
        <w:gridCol w:w="2835"/>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1560"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eastAsia="Times New Roman" w:cs="Times New Roman"/>
                <w:b/>
                <w:sz w:val="17"/>
                <w:lang w:eastAsia="en-US"/>
              </w:rPr>
              <w:t>Milestone</w:t>
            </w:r>
          </w:p>
        </w:tc>
        <w:tc>
          <w:tcPr>
            <w:tcW w:w="1842"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eastAsia="Times New Roman" w:cs="Times New Roman"/>
                <w:b/>
                <w:sz w:val="17"/>
                <w:lang w:eastAsia="en-US"/>
              </w:rPr>
              <w:t>Evaluated MOFs, |Qₜ|</w:t>
            </w:r>
          </w:p>
        </w:tc>
        <w:tc>
          <w:tcPr>
            <w:tcW w:w="2835"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eastAsia="Times New Roman" w:cs="Times New Roman"/>
                <w:b/>
                <w:sz w:val="17"/>
                <w:lang w:eastAsia="en-US"/>
              </w:rPr>
              <w:t>Active selections beyond initial 100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60"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Initial design</w:t>
            </w:r>
          </w:p>
        </w:tc>
        <w:tc>
          <w:tcPr>
            <w:tcW w:w="1842"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100</w:t>
            </w:r>
          </w:p>
        </w:tc>
        <w:tc>
          <w:tcPr>
            <w:tcW w:w="2835"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60"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3% budget</w:t>
            </w:r>
          </w:p>
        </w:tc>
        <w:tc>
          <w:tcPr>
            <w:tcW w:w="184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226</w:t>
            </w:r>
          </w:p>
        </w:tc>
        <w:tc>
          <w:tcPr>
            <w:tcW w:w="2835"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126</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60"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5% budget</w:t>
            </w:r>
          </w:p>
        </w:tc>
        <w:tc>
          <w:tcPr>
            <w:tcW w:w="184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377</w:t>
            </w:r>
          </w:p>
        </w:tc>
        <w:tc>
          <w:tcPr>
            <w:tcW w:w="2835"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277</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60"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10% budget</w:t>
            </w:r>
          </w:p>
        </w:tc>
        <w:tc>
          <w:tcPr>
            <w:tcW w:w="1842"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753</w:t>
            </w:r>
          </w:p>
        </w:tc>
        <w:tc>
          <w:tcPr>
            <w:tcW w:w="2835"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653</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60"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15% budget</w:t>
            </w:r>
          </w:p>
        </w:tc>
        <w:tc>
          <w:tcPr>
            <w:tcW w:w="1842"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1,130</w:t>
            </w:r>
          </w:p>
        </w:tc>
        <w:tc>
          <w:tcPr>
            <w:tcW w:w="2835"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1,030</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60"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20% budget</w:t>
            </w:r>
          </w:p>
        </w:tc>
        <w:tc>
          <w:tcPr>
            <w:tcW w:w="1842" w:type="dxa"/>
            <w:vAlign w:val="center"/>
          </w:tcPr>
          <w:p>
            <w:pPr>
              <w:jc w:val="center"/>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1,506</w:t>
            </w:r>
          </w:p>
        </w:tc>
        <w:tc>
          <w:tcPr>
            <w:tcW w:w="2835" w:type="dxa"/>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1,406</w:t>
            </w:r>
          </w:p>
        </w:tc>
      </w:tr>
    </w:tbl>
    <w:p>
      <w:pPr>
        <w:ind w:firstLine="420"/>
        <w:rPr>
          <w:rFonts w:ascii="Times New Roman" w:hAnsi="Times New Roman" w:cs="Times New Roman"/>
        </w:rPr>
      </w:pPr>
      <w:r>
        <w:rPr>
          <w:rFonts w:ascii="Times New Roman" w:hAnsi="Times New Roman" w:cs="Times New Roman"/>
        </w:rPr>
        <w:t xml:space="preserve">The nominal post-initial batch size was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nom</m:t>
                </m:r>
                <m:ctrlPr>
                  <w:rPr>
                    <w:rFonts w:ascii="Cambria Math" w:hAnsi="Cambria Math" w:cs="Times New Roman"/>
                  </w:rPr>
                </m:ctrlPr>
              </m:e>
            </m:phant>
            <m:ctrlPr>
              <w:rPr>
                <w:rFonts w:ascii="Cambria Math" w:hAnsi="Cambria Math" w:cs="Times New Roman"/>
              </w:rPr>
            </m:ctrlPr>
          </m:sub>
        </m:sSub>
        <m:r>
          <m:rPr/>
          <w:rPr>
            <w:rFonts w:ascii="Cambria Math" w:hAnsi="Cambria Math" w:cs="Times New Roman"/>
          </w:rPr>
          <m:t>=10.</m:t>
        </m:r>
      </m:oMath>
      <w:r>
        <w:rPr>
          <w:rFonts w:ascii="Times New Roman" w:hAnsi="Times New Roman" w:cs="Times New Roman"/>
        </w:rPr>
        <w:t xml:space="preserve"> Let N ={226,377,753,1130,1506} denote the cumulative reporting milestones, and let </w:t>
      </w:r>
      <m:oMath>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next</m:t>
                </m:r>
                <m:ctrlPr>
                  <w:rPr>
                    <w:rFonts w:ascii="Cambria Math" w:hAnsi="Cambria Math" w:cs="Times New Roman"/>
                  </w:rPr>
                </m:ctrlPr>
              </m:e>
            </m:phant>
            <m:ctrlPr>
              <w:rPr>
                <w:rFonts w:ascii="Cambria Math" w:hAnsi="Cambria Math" w:cs="Times New Roman"/>
              </w:rPr>
            </m:ctrlPr>
          </m:sub>
        </m:sSub>
        <m:r>
          <m:rPr/>
          <w:rPr>
            <w:rFonts w:ascii="Cambria Math" w:hAnsi="Cambria Math" w:cs="Times New Roman"/>
          </w:rPr>
          <m:t>(t)=</m:t>
        </m:r>
        <m:r>
          <m:rPr>
            <m:sty m:val="p"/>
          </m:rPr>
          <w:rPr>
            <w:rFonts w:ascii="Cambria Math" w:hAnsi="Cambria Math" w:cs="Times New Roman"/>
          </w:rPr>
          <m:t>min</m:t>
        </m:r>
        <m:r>
          <m:rPr/>
          <w:rPr>
            <w:rFonts w:ascii="Cambria Math" w:hAnsi="Cambria Math" w:cs="Times New Roman"/>
          </w:rPr>
          <m:t>⁡</m:t>
        </m:r>
        <m:d>
          <m:dPr>
            <m:begChr m:val="{"/>
            <m:endChr m:val="}"/>
            <m:ctrlPr>
              <w:rPr>
                <w:rFonts w:ascii="Cambria Math" w:hAnsi="Cambria Math" w:cs="Times New Roman"/>
              </w:rPr>
            </m:ctrlPr>
          </m:dPr>
          <m:e>
            <m:r>
              <m:rPr/>
              <w:rPr>
                <w:rFonts w:ascii="Cambria Math" w:hAnsi="Cambria Math" w:cs="Times New Roman"/>
              </w:rPr>
              <m:t>n∈</m:t>
            </m:r>
            <m:r>
              <m:rPr>
                <m:scr m:val="script"/>
              </m:rPr>
              <w:rPr>
                <w:rFonts w:ascii="Cambria Math" w:hAnsi="Cambria Math" w:eastAsia="MS Mincho" w:cs="Times New Roman"/>
              </w:rPr>
              <m:t>N:</m:t>
            </m:r>
            <m:r>
              <m:rPr/>
              <w:rPr>
                <w:rFonts w:ascii="Cambria Math" w:hAnsi="Cambria Math" w:cs="Times New Roman"/>
              </w:rPr>
              <m:t>n&gt;|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ctrlPr>
              <w:rPr>
                <w:rFonts w:ascii="Cambria Math" w:hAnsi="Cambria Math" w:cs="Times New Roman"/>
              </w:rPr>
            </m:ctrlPr>
          </m:e>
        </m:d>
      </m:oMath>
      <w:r>
        <w:rPr>
          <w:rFonts w:ascii="Times New Roman" w:hAnsi="Times New Roman" w:cs="Times New Roman"/>
        </w:rPr>
        <w:t xml:space="preserve"> denote the next milestone above the current queried-set size. The realized batch size at round </w:t>
      </w:r>
      <m:oMath>
        <m:r>
          <m:rPr/>
          <w:rPr>
            <w:rFonts w:ascii="Cambria Math" w:hAnsi="Cambria Math" w:cs="Times New Roman"/>
          </w:rPr>
          <m:t xml:space="preserve">t </m:t>
        </m:r>
      </m:oMath>
      <w:r>
        <w:rPr>
          <w:rFonts w:ascii="Times New Roman" w:hAnsi="Times New Roman" w:cs="Times New Roman"/>
        </w:rPr>
        <w:t xml:space="preserve">was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r>
          <m:rPr>
            <m:sty m:val="p"/>
          </m:rPr>
          <w:rPr>
            <w:rFonts w:ascii="Cambria Math" w:hAnsi="Cambria Math" w:cs="Times New Roman"/>
          </w:rPr>
          <m:t>min</m:t>
        </m:r>
        <m:r>
          <m:rP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nom</m:t>
                    </m:r>
                    <m:ctrlPr>
                      <w:rPr>
                        <w:rFonts w:ascii="Cambria Math" w:hAnsi="Cambria Math" w:cs="Times New Roman"/>
                      </w:rPr>
                    </m:ctrlPr>
                  </m:e>
                </m:phant>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next</m:t>
                    </m:r>
                    <m:ctrlPr>
                      <w:rPr>
                        <w:rFonts w:ascii="Cambria Math" w:hAnsi="Cambria Math" w:cs="Times New Roman"/>
                      </w:rPr>
                    </m:ctrlPr>
                  </m:e>
                </m:phant>
                <m:ctrlPr>
                  <w:rPr>
                    <w:rFonts w:ascii="Cambria Math" w:hAnsi="Cambria Math" w:cs="Times New Roman"/>
                  </w:rPr>
                </m:ctrlPr>
              </m:sub>
            </m:sSub>
            <m:r>
              <m:rPr/>
              <w:rPr>
                <w:rFonts w:ascii="Cambria Math" w:hAnsi="Cambria Math" w:cs="Times New Roman"/>
              </w:rPr>
              <m:t>(t)−|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ctrlPr>
              <w:rPr>
                <w:rFonts w:ascii="Cambria Math" w:hAnsi="Cambria Math" w:cs="Times New Roman"/>
              </w:rPr>
            </m:ctrlPr>
          </m:e>
        </m:d>
        <m:r>
          <m:rPr/>
          <w:rPr>
            <w:rFonts w:ascii="Cambria Math" w:hAnsi="Cambria Math" w:cs="Times New Roman"/>
          </w:rPr>
          <m:t>.</m:t>
        </m:r>
      </m:oMath>
    </w:p>
    <w:p>
      <w:pPr>
        <w:ind w:firstLine="420"/>
        <w:rPr>
          <w:rFonts w:ascii="Times New Roman" w:hAnsi="Times New Roman" w:cs="Times New Roman"/>
        </w:rPr>
      </w:pPr>
      <w:r>
        <w:rPr>
          <w:rFonts w:ascii="Times New Roman" w:hAnsi="Times New Roman" w:cs="Times New Roman"/>
        </w:rPr>
        <w:t>Thus, when fewer than ten additional queries were required to reach the next milestone, the final preceding batch was shortened. This rule ensured that performance was evaluated at exactly 226, 377, 753, 1,130 and 1,506 queried materials rather than at the first full-batch endpoint exceeding each target.</w:t>
      </w:r>
    </w:p>
    <w:p>
      <w:pPr>
        <w:ind w:firstLine="420"/>
        <w:rPr>
          <w:rFonts w:ascii="Times New Roman" w:hAnsi="Times New Roman" w:cs="Times New Roman"/>
        </w:rPr>
      </w:pPr>
      <w:r>
        <w:rPr>
          <w:rFonts w:ascii="Times New Roman" w:hAnsi="Times New Roman" w:cs="Times New Roman"/>
        </w:rPr>
        <w:t xml:space="preserve">For each model-guided policy, round </w:t>
      </w:r>
      <m:oMath>
        <m:r>
          <m:rPr/>
          <w:rPr>
            <w:rFonts w:ascii="Cambria Math" w:hAnsi="Cambria Math" w:cs="Times New Roman"/>
          </w:rPr>
          <m:t>t</m:t>
        </m:r>
      </m:oMath>
      <w:r>
        <w:rPr>
          <w:rFonts w:ascii="Times New Roman" w:hAnsi="Times New Roman" w:cs="Times New Roman"/>
        </w:rPr>
        <w:t xml:space="preserve">comprised four stages. First, the three objective-specific GP models were refitted using the representation coordinates and currently observed oracle responses of all materials in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 Second, a batch </w:t>
      </w:r>
      <m:oMath>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of size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was constructed according to the assigned candidate-selection policy. Third, only after the complete batch had been formed were the three oracle responses of all materials in </w:t>
      </w:r>
      <m:oMath>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revealed simultaneously. Finally, the queried and unqueried pools were updated according to Eqs. (28) and (29), and round-level evaluation metrics were calculated using the oracle responses available in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t+1</m:t>
            </m:r>
            <m:ctrlPr>
              <w:rPr>
                <w:rFonts w:ascii="Cambria Math" w:hAnsi="Cambria Math" w:cs="Times New Roman"/>
              </w:rPr>
            </m:ctrlPr>
          </m:sub>
        </m:sSub>
      </m:oMath>
      <w:r>
        <w:rPr>
          <w:rFonts w:ascii="Times New Roman" w:hAnsi="Times New Roman" w:cs="Times New Roman"/>
        </w:rPr>
        <w:t>.</w:t>
      </w:r>
    </w:p>
    <w:p>
      <w:pPr>
        <w:ind w:firstLine="420"/>
        <w:rPr>
          <w:rFonts w:ascii="Times New Roman" w:hAnsi="Times New Roman" w:cs="Times New Roman"/>
        </w:rPr>
      </w:pPr>
      <w:r>
        <w:rPr>
          <w:rFonts w:ascii="Times New Roman" w:hAnsi="Times New Roman" w:cs="Times New Roman"/>
        </w:rPr>
        <w:t xml:space="preserve">The qEHVI batch was assembled sequentially while the round-level GP models remained fixed. At within-batch position </w:t>
      </w:r>
      <m:oMath>
        <m:r>
          <m:rPr/>
          <w:rPr>
            <w:rFonts w:ascii="Cambria Math" w:hAnsi="Cambria Math" w:cs="Times New Roman"/>
          </w:rPr>
          <m:t>j</m:t>
        </m:r>
      </m:oMath>
      <w:r>
        <w:rPr>
          <w:rFonts w:ascii="Times New Roman" w:hAnsi="Times New Roman" w:cs="Times New Roman"/>
        </w:rPr>
        <w:t xml:space="preserve">, let </w:t>
      </w:r>
      <m:oMath>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t,1</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t,j−1</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rPr>
        <w:t xml:space="preserve"> denote the candidates already selected for the current batch, with </w:t>
      </w:r>
      <m:oMath>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t,1</m:t>
            </m:r>
            <m:ctrlPr>
              <w:rPr>
                <w:rFonts w:ascii="Cambria Math" w:hAnsi="Cambria Math" w:cs="Times New Roman"/>
              </w:rPr>
            </m:ctrlPr>
          </m:sub>
        </m:sSub>
        <m:r>
          <m:rPr/>
          <w:rPr>
            <w:rFonts w:ascii="Cambria Math" w:hAnsi="Cambria Math" w:cs="Times New Roman"/>
          </w:rPr>
          <m:t>=</m:t>
        </m:r>
        <m:r>
          <m:rPr>
            <m:sty m:val="p"/>
          </m:rPr>
          <w:rPr>
            <w:rFonts w:ascii="Cambria Math" w:hAnsi="Cambria Math" w:cs="Times New Roman"/>
          </w:rPr>
          <m:t>∅</m:t>
        </m:r>
      </m:oMath>
      <w:r>
        <w:rPr>
          <w:rFonts w:ascii="Times New Roman" w:hAnsi="Times New Roman" w:cs="Times New Roman"/>
        </w:rPr>
        <w:t xml:space="preserve">. The next material was selected as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r>
          <m:rPr/>
          <w:rPr>
            <w:rFonts w:ascii="Cambria Math" w:hAnsi="Cambria Math" w:cs="Times New Roman"/>
          </w:rPr>
          <m:t>=</m:t>
        </m:r>
        <m:limLow>
          <m:limLowPr>
            <m:ctrlPr>
              <w:rPr>
                <w:rFonts w:ascii="Cambria Math" w:hAnsi="Cambria Math" w:cs="Times New Roman"/>
              </w:rPr>
            </m:ctrlPr>
          </m:limLowPr>
          <m:e>
            <m:r>
              <m:rPr>
                <m:sty m:val="p"/>
              </m:rPr>
              <w:rPr>
                <w:rFonts w:ascii="Cambria Math" w:hAnsi="Cambria Math" w:cs="Times New Roman"/>
              </w:rPr>
              <m:t xml:space="preserve">arg max </m:t>
            </m:r>
            <m:ctrlPr>
              <w:rPr>
                <w:rFonts w:ascii="Cambria Math" w:hAnsi="Cambria Math" w:cs="Times New Roman"/>
              </w:rPr>
            </m:ctrlPr>
          </m:e>
          <m:lim>
            <m:r>
              <m:rPr/>
              <w:rPr>
                <w:rFonts w:ascii="Cambria Math" w:hAnsi="Cambria Math" w:cs="Times New Roman"/>
              </w:rPr>
              <m:t>m∈</m:t>
            </m:r>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ctrlPr>
              <w:rPr>
                <w:rFonts w:ascii="Cambria Math" w:hAnsi="Cambria Math" w:cs="Times New Roman"/>
              </w:rPr>
            </m:ctrlPr>
          </m:lim>
        </m:limLow>
        <m:sSub>
          <m:sSubPr>
            <m:ctrlPr>
              <w:rPr>
                <w:rFonts w:ascii="Cambria Math" w:hAnsi="Cambria Math" w:cs="Times New Roman"/>
              </w:rPr>
            </m:ctrlPr>
          </m:sSubPr>
          <m:e>
            <m:r>
              <m:rPr/>
              <w:rPr>
                <w:rFonts w:ascii="Cambria Math" w:hAnsi="Cambria Math" w:cs="Times New Roman"/>
              </w:rPr>
              <m:t>α</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qEHVI</m:t>
                </m:r>
                <m:ctrlPr>
                  <w:rPr>
                    <w:rFonts w:ascii="Cambria Math" w:hAnsi="Cambria Math" w:cs="Times New Roman"/>
                  </w:rPr>
                </m:ctrlPr>
              </m:e>
            </m:phant>
            <m:r>
              <m:rPr/>
              <w:rPr>
                <w:rFonts w:ascii="Cambria Math" w:hAnsi="Cambria Math" w:cs="Times New Roman"/>
              </w:rPr>
              <m:t>,t</m:t>
            </m:r>
            <m:ctrlPr>
              <w:rPr>
                <w:rFonts w:ascii="Cambria Math" w:hAnsi="Cambria Math" w:cs="Times New Roman"/>
              </w:rPr>
            </m:ctrlPr>
          </m:sub>
        </m:sSub>
        <m:d>
          <m:dPr>
            <m:ctrlPr>
              <w:rPr>
                <w:rFonts w:ascii="Cambria Math" w:hAnsi="Cambria Math" w:cs="Times New Roman"/>
              </w:rPr>
            </m:ctrlPr>
          </m:dPr>
          <m:e>
            <m:r>
              <m:rPr/>
              <w:rPr>
                <w:rFonts w:ascii="Cambria Math" w:hAnsi="Cambria Math" w:cs="Times New Roman"/>
              </w:rPr>
              <m:t>m</m:t>
            </m:r>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where </w:t>
      </w:r>
      <m:oMath>
        <m:sSub>
          <m:sSubPr>
            <m:ctrlPr>
              <w:rPr>
                <w:rFonts w:ascii="Cambria Math" w:hAnsi="Cambria Math" w:cs="Times New Roman"/>
              </w:rPr>
            </m:ctrlPr>
          </m:sSubPr>
          <m:e>
            <m:r>
              <m:rPr/>
              <w:rPr>
                <w:rFonts w:ascii="Cambria Math" w:hAnsi="Cambria Math" w:cs="Times New Roman"/>
              </w:rPr>
              <m:t>α</m:t>
            </m:r>
            <m:ctrlPr>
              <w:rPr>
                <w:rFonts w:ascii="Cambria Math" w:hAnsi="Cambria Math" w:cs="Times New Roman"/>
              </w:rPr>
            </m:ctrlPr>
          </m:e>
          <m:sub>
            <m:r>
              <m:rPr>
                <m:sty m:val="p"/>
              </m:rPr>
              <w:rPr>
                <w:rFonts w:ascii="Cambria Math" w:hAnsi="Cambria Math" w:cs="Times New Roman"/>
              </w:rPr>
              <m:t>qEHVI</m:t>
            </m:r>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r>
          <m:rPr/>
          <w:rPr>
            <w:rFonts w:ascii="Cambria Math" w:hAnsi="Cambria Math" w:cs="Times New Roman"/>
          </w:rPr>
          <m:t xml:space="preserve">) </m:t>
        </m:r>
      </m:oMath>
      <w:r>
        <w:rPr>
          <w:rFonts w:ascii="Times New Roman" w:hAnsi="Times New Roman" w:cs="Times New Roman"/>
        </w:rPr>
        <w:t xml:space="preserve">denotes the acquisition value of candidate </w:t>
      </w:r>
      <m:oMath>
        <m:r>
          <m:rPr/>
          <w:rPr>
            <w:rFonts w:ascii="Cambria Math" w:hAnsi="Cambria Math" w:cs="Times New Roman"/>
          </w:rPr>
          <m:t xml:space="preserve">m </m:t>
        </m:r>
      </m:oMath>
      <w:r>
        <w:rPr>
          <w:rFonts w:ascii="Times New Roman" w:hAnsi="Times New Roman" w:cs="Times New Roman"/>
        </w:rPr>
        <w:t xml:space="preserve">conditional on the previously selected candidates being treated as pending points. After selection,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oMath>
      <w:r>
        <w:rPr>
          <w:rFonts w:ascii="Times New Roman" w:hAnsi="Times New Roman" w:cs="Times New Roman"/>
        </w:rPr>
        <w:t xml:space="preserve">was appended to </w:t>
      </w:r>
      <m:oMath>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oMath>
      <w:r>
        <w:rPr>
          <w:rFonts w:ascii="Times New Roman" w:hAnsi="Times New Roman" w:cs="Times New Roman"/>
        </w:rPr>
        <w:t xml:space="preserve">, and the procedure continued until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distinct materials had been selected. Pending candidates influenced the joint posterior acquisition calculation, but their oracle responses remained unavailable during construction of the batch. The GP models were therefore not refitted between successive within-batch selections.</w:t>
      </w:r>
    </w:p>
    <w:p>
      <w:pPr>
        <w:ind w:firstLine="420"/>
        <w:rPr>
          <w:rFonts w:ascii="Times New Roman" w:hAnsi="Times New Roman" w:cs="Times New Roman"/>
        </w:rPr>
      </w:pPr>
      <w:r>
        <w:rPr>
          <w:rFonts w:ascii="Times New Roman" w:hAnsi="Times New Roman" w:cs="Times New Roman"/>
        </w:rPr>
        <w:t xml:space="preserve">For Greedy selection, the posterior-mean composite score defined in Section S6.2 was calculated once for every currently unqueried material using the round-level posterior predictions. The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highest-scoring materials were selected directly: </w:t>
      </w:r>
      <m:oMath>
        <m:sSubSup>
          <m:sSubSupPr>
            <m:ctrlPr>
              <w:rPr>
                <w:rFonts w:ascii="Cambria Math" w:hAnsi="Cambria Math" w:cs="Times New Roman"/>
              </w:rPr>
            </m:ctrlPr>
          </m:sSubSup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Greedy</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bSup>
        <m:r>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Top</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sub>
        </m:sSub>
        <m:r>
          <m:rP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s</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Greedy</m:t>
                    </m:r>
                    <m:ctrlPr>
                      <w:rPr>
                        <w:rFonts w:ascii="Cambria Math" w:hAnsi="Cambria Math" w:cs="Times New Roman"/>
                      </w:rPr>
                    </m:ctrlPr>
                  </m:e>
                </m:phant>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(m):m∈</m:t>
            </m:r>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Because this deterministic ranking depended only on the fixed round-level posterior means, the scores were not recomputed after each within-batch selection.</w:t>
      </w:r>
    </w:p>
    <w:p>
      <w:pPr>
        <w:ind w:firstLine="420"/>
        <w:rPr>
          <w:rFonts w:ascii="Times New Roman" w:hAnsi="Times New Roman" w:cs="Times New Roman"/>
        </w:rPr>
      </w:pPr>
      <w:r>
        <w:rPr>
          <w:rFonts w:ascii="Times New Roman" w:hAnsi="Times New Roman" w:cs="Times New Roman"/>
        </w:rPr>
        <w:t xml:space="preserve">Random sampling selected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 distinct materials uniformly without replacement from the current unqueried pool: </w:t>
      </w:r>
      <m:oMath>
        <m:sSubSup>
          <m:sSubSupPr>
            <m:ctrlPr>
              <w:rPr>
                <w:rFonts w:ascii="Cambria Math" w:hAnsi="Cambria Math" w:cs="Times New Roman"/>
              </w:rPr>
            </m:ctrlPr>
          </m:sSubSup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up>
            <m:d>
              <m:dPr>
                <m:ctrlPr>
                  <w:rPr>
                    <w:rFonts w:ascii="Cambria Math" w:hAnsi="Cambria Math" w:cs="Times New Roman"/>
                  </w:rPr>
                </m:ctrlPr>
              </m:dPr>
              <m:e>
                <m:phant>
                  <m:phantPr>
                    <m:ctrlPr>
                      <w:rPr>
                        <w:rFonts w:ascii="Cambria Math" w:hAnsi="Cambria Math" w:cs="Times New Roman"/>
                      </w:rPr>
                    </m:ctrlPr>
                  </m:phantPr>
                  <m:e>
                    <m:r>
                      <m:rPr>
                        <m:sty m:val="p"/>
                      </m:rPr>
                      <w:rPr>
                        <w:rFonts w:ascii="Cambria Math" w:hAnsi="Cambria Math" w:cs="Times New Roman"/>
                      </w:rPr>
                      <m:t>Random</m:t>
                    </m:r>
                    <m:ctrlPr>
                      <w:rPr>
                        <w:rFonts w:ascii="Cambria Math" w:hAnsi="Cambria Math" w:cs="Times New Roman"/>
                      </w:rPr>
                    </m:ctrlPr>
                  </m:e>
                </m:phant>
                <m:ctrlPr>
                  <w:rPr>
                    <w:rFonts w:ascii="Cambria Math" w:hAnsi="Cambria Math" w:cs="Times New Roman"/>
                  </w:rPr>
                </m:ctrlPr>
              </m:e>
            </m:d>
            <m:ctrlPr>
              <w:rPr>
                <w:rFonts w:ascii="Cambria Math" w:hAnsi="Cambria Math" w:cs="Times New Roman"/>
              </w:rPr>
            </m:ctrlPr>
          </m:sup>
        </m:sSubSup>
        <m:r>
          <m:rPr/>
          <w:rPr>
            <w:rFonts w:ascii="Cambria Math" w:hAnsi="Cambria Math" w:cs="Times New Roman"/>
          </w:rPr>
          <m:t>∼</m:t>
        </m:r>
        <m:r>
          <m:rPr>
            <m:sty m:val="p"/>
          </m:rPr>
          <w:rPr>
            <w:rFonts w:ascii="Cambria Math" w:hAnsi="Cambria Math" w:cs="Times New Roman"/>
          </w:rPr>
          <m:t>UniformSubset</m:t>
        </m:r>
        <m:r>
          <m:rPr/>
          <w:rPr>
            <w:rFonts w:ascii="Cambria Math" w:hAnsi="Cambria Math" w:cs="Times New Roman"/>
          </w:rPr>
          <m:t>⁡</m:t>
        </m:r>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Random sampling followed the same batch formation, oracle revelation, pool-update and evaluation schedule as the model-guided policies, but did not fit GP models or use posterior predictions.</w:t>
      </w:r>
    </w:p>
    <w:p>
      <w:pPr>
        <w:ind w:firstLine="420"/>
        <w:rPr>
          <w:rFonts w:ascii="Times New Roman" w:hAnsi="Times New Roman" w:cs="Times New Roman"/>
        </w:rPr>
      </w:pPr>
      <w:r>
        <w:rPr>
          <w:rFonts w:ascii="Times New Roman" w:hAnsi="Times New Roman" w:cs="Times New Roman"/>
        </w:rPr>
        <w:t xml:space="preserve">For all three policies, oracle responses were revealed only after the complete round-level batch had been formed. The benchmark therefore used a synchronous batch-query protocol rather than a sequence of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batch-size-one model updates.</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6.3.3 Memory-efficient screened and chunked qEHVI evaluation</w:t>
      </w:r>
    </w:p>
    <w:p>
      <w:pPr>
        <w:ind w:firstLine="420"/>
        <w:rPr>
          <w:rFonts w:ascii="Times New Roman" w:hAnsi="Times New Roman" w:cs="Times New Roman"/>
        </w:rPr>
      </w:pPr>
      <w:r>
        <w:rPr>
          <w:rFonts w:ascii="Times New Roman" w:hAnsi="Times New Roman" w:cs="Times New Roman"/>
        </w:rPr>
        <w:t>Repeated qEHVI evaluation over the complete unqueried pool can generate large posterior and Monte Carlo tensors, particularly during early rounds when most of the 7,532 candidates remain unqueried. RepMOBO therefore separated full-pool posterior prediction, low-cost candidate screening and qEHVI acquisition evaluation into distinct computational stages.</w:t>
      </w:r>
    </w:p>
    <w:p>
      <w:pPr>
        <w:ind w:firstLine="420"/>
        <w:rPr>
          <w:rFonts w:ascii="Times New Roman" w:hAnsi="Times New Roman" w:cs="Times New Roman"/>
        </w:rPr>
      </w:pPr>
      <w:r>
        <w:rPr>
          <w:rFonts w:ascii="Times New Roman" w:hAnsi="Times New Roman" w:cs="Times New Roman"/>
        </w:rPr>
        <w:t>This implementation reduced peak device-memory use while retaining the complete scientific candidate pool, the same initial designs and query budgets, the same fitted GP models and full-library oracle-based evaluation.</w:t>
      </w:r>
    </w:p>
    <w:p>
      <w:pPr>
        <w:rPr>
          <w:rFonts w:ascii="Times New Roman" w:hAnsi="Times New Roman" w:cs="Times New Roman"/>
        </w:rPr>
      </w:pPr>
      <w:r>
        <w:rPr>
          <w:rFonts w:ascii="Times New Roman" w:hAnsi="Times New Roman" w:cs="Times New Roman"/>
          <w:b/>
          <w:bCs/>
          <w:sz w:val="22"/>
        </w:rPr>
        <w:t>S</w:t>
      </w:r>
      <w:r>
        <w:rPr>
          <w:rFonts w:ascii="Times New Roman" w:hAnsi="Times New Roman" w:cs="Times New Roman"/>
          <w:b/>
          <w:bCs/>
        </w:rPr>
        <w:t>6.3.3.1 Full-pool posterior prediction</w:t>
      </w:r>
    </w:p>
    <w:p>
      <w:pPr>
        <w:ind w:firstLine="420"/>
        <w:rPr>
          <w:rFonts w:ascii="Times New Roman" w:hAnsi="Times New Roman" w:cs="Times New Roman"/>
        </w:rPr>
      </w:pPr>
      <w:r>
        <w:rPr>
          <w:rFonts w:ascii="Times New Roman" w:hAnsi="Times New Roman" w:cs="Times New Roman"/>
        </w:rPr>
        <w:t xml:space="preserve">After each GP refit, posterior means and variances were calculated for the complete candidate library in chunks containing at most 2048. Each chunk was transferred to the selected compute device, evaluated under the three objective-specific GP models and returned to CPU memory before the next chunk was processed. The chunk-level results were then concatenated to recover the complete full-library posterior summaries. </w:t>
      </w:r>
    </w:p>
    <w:p>
      <w:pPr>
        <w:ind w:firstLine="420"/>
        <w:rPr>
          <w:rFonts w:ascii="Times New Roman" w:hAnsi="Times New Roman" w:cs="Times New Roman"/>
        </w:rPr>
      </w:pPr>
      <w:r>
        <w:rPr>
          <w:rFonts w:ascii="Times New Roman" w:hAnsi="Times New Roman" w:cs="Times New Roman"/>
        </w:rPr>
        <w:t xml:space="preserve">Prediction chunking changed only the memory partitioning of the calculation; every candidate continued to receive posterior predictions. Posterior variances were lower-bounded by </w:t>
      </w:r>
      <m:oMath>
        <m:sSup>
          <m:sSupPr>
            <m:ctrlPr>
              <w:rPr>
                <w:rFonts w:ascii="Cambria Math" w:hAnsi="Cambria Math" w:cs="Times New Roman"/>
              </w:rPr>
            </m:ctrlPr>
          </m:sSupPr>
          <m:e>
            <m:r>
              <m:rPr/>
              <w:rPr>
                <w:rFonts w:ascii="Cambria Math" w:hAnsi="Cambria Math" w:cs="Times New Roman"/>
              </w:rPr>
              <m:t>10</m:t>
            </m:r>
            <m:ctrlPr>
              <w:rPr>
                <w:rFonts w:ascii="Cambria Math" w:hAnsi="Cambria Math" w:cs="Times New Roman"/>
              </w:rPr>
            </m:ctrlPr>
          </m:e>
          <m:sup>
            <m:r>
              <m:rPr/>
              <w:rPr>
                <w:rFonts w:ascii="Cambria Math" w:hAnsi="Cambria Math" w:cs="Times New Roman"/>
              </w:rPr>
              <m:t>−12</m:t>
            </m:r>
            <m:ctrlPr>
              <w:rPr>
                <w:rFonts w:ascii="Cambria Math" w:hAnsi="Cambria Math" w:cs="Times New Roman"/>
              </w:rPr>
            </m:ctrlPr>
          </m:sup>
        </m:sSup>
      </m:oMath>
      <w:r>
        <w:rPr>
          <w:rFonts w:ascii="Times New Roman" w:hAnsi="Times New Roman" w:cs="Times New Roman"/>
        </w:rPr>
        <w:t xml:space="preserve">before conversion to posterior standard deviations to avoid unstable square-root operations caused by numerical round-off. </w:t>
      </w:r>
    </w:p>
    <w:p>
      <w:pPr>
        <w:rPr>
          <w:rFonts w:ascii="Times New Roman" w:hAnsi="Times New Roman" w:cs="Times New Roman"/>
        </w:rPr>
      </w:pPr>
      <w:r>
        <w:rPr>
          <w:rFonts w:ascii="Times New Roman" w:hAnsi="Times New Roman" w:cs="Times New Roman"/>
          <w:b/>
          <w:bCs/>
          <w:sz w:val="22"/>
        </w:rPr>
        <w:t>S</w:t>
      </w:r>
      <w:r>
        <w:rPr>
          <w:rFonts w:ascii="Times New Roman" w:hAnsi="Times New Roman" w:cs="Times New Roman"/>
          <w:b/>
          <w:bCs/>
        </w:rPr>
        <w:t>6.3.3.2 Posterior-based candidate screening</w:t>
      </w:r>
    </w:p>
    <w:p>
      <w:pPr>
        <w:ind w:firstLine="420"/>
        <w:rPr>
          <w:rFonts w:ascii="Times New Roman" w:hAnsi="Times New Roman" w:cs="Times New Roman"/>
        </w:rPr>
      </w:pPr>
      <w:r>
        <w:rPr>
          <w:rFonts w:ascii="Times New Roman" w:hAnsi="Times New Roman" w:cs="Times New Roman"/>
        </w:rPr>
        <w:t>The configured qEHVI calculation was restricted temporarily to a high-potential subset identified using a lower-cost score that combined posterior mean and posterior uncertainty.</w:t>
      </w:r>
    </w:p>
    <w:p>
      <w:pPr>
        <w:ind w:firstLine="420"/>
        <w:rPr>
          <w:rFonts w:ascii="Times New Roman" w:hAnsi="Times New Roman" w:cs="Times New Roman"/>
        </w:rPr>
      </w:pPr>
      <w:r>
        <w:rPr>
          <w:rFonts w:ascii="Times New Roman" w:hAnsi="Times New Roman" w:cs="Times New Roman"/>
        </w:rPr>
        <w:t xml:space="preserve">For objective </w:t>
      </w:r>
      <m:oMath>
        <m:r>
          <m:rPr/>
          <w:rPr>
            <w:rFonts w:ascii="Cambria Math" w:hAnsi="Cambria Math" w:cs="Times New Roman"/>
          </w:rPr>
          <m:t>k</m:t>
        </m:r>
      </m:oMath>
      <w:r>
        <w:rPr>
          <w:rFonts w:ascii="Times New Roman" w:hAnsi="Times New Roman" w:cs="Times New Roman"/>
        </w:rPr>
        <w:t xml:space="preserve">, let </w:t>
      </w:r>
      <m:oMath>
        <m:sSub>
          <m:sSubPr>
            <m:ctrlPr>
              <w:rPr>
                <w:rFonts w:ascii="Cambria Math" w:hAnsi="Cambria Math" w:cs="Times New Roman"/>
              </w:rPr>
            </m:ctrlPr>
          </m:sSub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m:t>
        </m:r>
      </m:oMath>
      <w:r>
        <w:rPr>
          <w:rFonts w:ascii="Times New Roman" w:hAnsi="Times New Roman" w:cs="Times New Roman"/>
        </w:rPr>
        <w:t xml:space="preserve">and </w:t>
      </w:r>
      <m:oMath>
        <m:sSub>
          <m:sSubPr>
            <m:ctrlPr>
              <w:rPr>
                <w:rFonts w:ascii="Cambria Math" w:hAnsi="Cambria Math" w:cs="Times New Roman"/>
              </w:rPr>
            </m:ctrlPr>
          </m:sSub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m:t>
        </m:r>
      </m:oMath>
      <w:r>
        <w:rPr>
          <w:rFonts w:ascii="Times New Roman" w:hAnsi="Times New Roman" w:cs="Times New Roman"/>
        </w:rPr>
        <w:t xml:space="preserve">denote the raw-scale posterior mean and standard deviation of candidate </w:t>
      </w:r>
      <m:oMath>
        <m:r>
          <m:rPr/>
          <w:rPr>
            <w:rFonts w:ascii="Cambria Math" w:hAnsi="Cambria Math" w:cs="Times New Roman"/>
          </w:rPr>
          <m:t>m</m:t>
        </m:r>
      </m:oMath>
      <w:r>
        <w:rPr>
          <w:rFonts w:ascii="Times New Roman" w:hAnsi="Times New Roman" w:cs="Times New Roman"/>
        </w:rPr>
        <w:t xml:space="preserve">. With </w:t>
      </w:r>
      <m:oMath>
        <m:r>
          <m:rPr/>
          <w:rPr>
            <w:rFonts w:ascii="Cambria Math" w:hAnsi="Cambria Math" w:cs="Times New Roman"/>
          </w:rPr>
          <m:t>ε=</m:t>
        </m:r>
        <m:sSup>
          <m:sSupPr>
            <m:ctrlPr>
              <w:rPr>
                <w:rFonts w:ascii="Cambria Math" w:hAnsi="Cambria Math" w:cs="Times New Roman"/>
              </w:rPr>
            </m:ctrlPr>
          </m:sSupPr>
          <m:e>
            <m:r>
              <m:rPr/>
              <w:rPr>
                <w:rFonts w:ascii="Cambria Math" w:hAnsi="Cambria Math" w:cs="Times New Roman"/>
              </w:rPr>
              <m:t>10</m:t>
            </m:r>
            <m:ctrlPr>
              <w:rPr>
                <w:rFonts w:ascii="Cambria Math" w:hAnsi="Cambria Math" w:cs="Times New Roman"/>
              </w:rPr>
            </m:ctrlPr>
          </m:e>
          <m:sup>
            <m:r>
              <m:rPr/>
              <w:rPr>
                <w:rFonts w:ascii="Cambria Math" w:hAnsi="Cambria Math" w:cs="Times New Roman"/>
              </w:rPr>
              <m:t>−12</m:t>
            </m:r>
            <m:ctrlPr>
              <w:rPr>
                <w:rFonts w:ascii="Cambria Math" w:hAnsi="Cambria Math" w:cs="Times New Roman"/>
              </w:rPr>
            </m:ctrlPr>
          </m:sup>
        </m:sSup>
      </m:oMath>
      <w:r>
        <w:rPr>
          <w:rFonts w:ascii="Times New Roman" w:hAnsi="Times New Roman" w:cs="Times New Roman"/>
        </w:rPr>
        <w:t>, the normalized quantities were</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μ</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m:t>
        </m:r>
        <m:f>
          <m:fPr>
            <m:ctrlPr>
              <w:rPr>
                <w:rFonts w:ascii="Cambria Math" w:hAnsi="Cambria Math" w:cs="Times New Roman"/>
              </w:rPr>
            </m:ctrlPr>
          </m:fPr>
          <m:num>
            <m:sSub>
              <m:sSubPr>
                <m:ctrlPr>
                  <w:rPr>
                    <w:rFonts w:ascii="Cambria Math" w:hAnsi="Cambria Math" w:cs="Times New Roman"/>
                  </w:rPr>
                </m:ctrlPr>
              </m:sSub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m:t>
            </m:r>
            <m:sSubSup>
              <m:sSubSupPr>
                <m:ctrlPr>
                  <w:rPr>
                    <w:rFonts w:ascii="Cambria Math" w:hAnsi="Cambria Math" w:cs="Times New Roman"/>
                  </w:rPr>
                </m:ctrlPr>
              </m:sSubSup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up>
                <m:r>
                  <m:rPr>
                    <m:sty m:val="p"/>
                  </m:rPr>
                  <w:rPr>
                    <w:rFonts w:ascii="Cambria Math" w:hAnsi="Cambria Math" w:cs="Times New Roman"/>
                  </w:rPr>
                  <m:t>min</m:t>
                </m:r>
                <m:r>
                  <m:rPr/>
                  <w:rPr>
                    <w:rFonts w:ascii="Cambria Math" w:hAnsi="Cambria Math" w:cs="Times New Roman"/>
                  </w:rPr>
                  <m:t>⁡</m:t>
                </m:r>
                <m:ctrlPr>
                  <w:rPr>
                    <w:rFonts w:ascii="Cambria Math" w:hAnsi="Cambria Math" w:cs="Times New Roman"/>
                  </w:rPr>
                </m:ctrlPr>
              </m:sup>
            </m:sSubSup>
            <m:ctrlPr>
              <w:rPr>
                <w:rFonts w:ascii="Cambria Math" w:hAnsi="Cambria Math" w:cs="Times New Roman"/>
              </w:rPr>
            </m:ctrlPr>
          </m:num>
          <m:den>
            <m:r>
              <m:rPr>
                <m:sty m:val="p"/>
              </m:rPr>
              <w:rPr>
                <w:rFonts w:ascii="Cambria Math" w:hAnsi="Cambria Math" w:cs="Times New Roman"/>
              </w:rPr>
              <m:t>max</m:t>
            </m:r>
            <m:r>
              <m:rPr/>
              <w:rPr>
                <w:rFonts w:ascii="Cambria Math" w:hAnsi="Cambria Math" w:cs="Times New Roman"/>
              </w:rPr>
              <m:t>⁡</m:t>
            </m:r>
            <m:d>
              <m:dPr>
                <m:begChr m:val="{"/>
                <m:endChr m:val="}"/>
                <m:ctrlPr>
                  <w:rPr>
                    <w:rFonts w:ascii="Cambria Math" w:hAnsi="Cambria Math" w:cs="Times New Roman"/>
                  </w:rPr>
                </m:ctrlPr>
              </m:dPr>
              <m:e>
                <m:sSubSup>
                  <m:sSubSupPr>
                    <m:ctrlPr>
                      <w:rPr>
                        <w:rFonts w:ascii="Cambria Math" w:hAnsi="Cambria Math" w:cs="Times New Roman"/>
                      </w:rPr>
                    </m:ctrlPr>
                  </m:sSubSup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up>
                    <m:r>
                      <m:rPr>
                        <m:sty m:val="p"/>
                      </m:rPr>
                      <w:rPr>
                        <w:rFonts w:ascii="Cambria Math" w:hAnsi="Cambria Math" w:cs="Times New Roman"/>
                      </w:rPr>
                      <m:t>max</m:t>
                    </m:r>
                    <m:r>
                      <m:rPr/>
                      <w:rPr>
                        <w:rFonts w:ascii="Cambria Math" w:hAnsi="Cambria Math" w:cs="Times New Roman"/>
                      </w:rPr>
                      <m:t>⁡</m:t>
                    </m:r>
                    <m:ctrlPr>
                      <w:rPr>
                        <w:rFonts w:ascii="Cambria Math" w:hAnsi="Cambria Math" w:cs="Times New Roman"/>
                      </w:rPr>
                    </m:ctrlPr>
                  </m:sup>
                </m:sSubSup>
                <m:r>
                  <m:rPr/>
                  <w:rPr>
                    <w:rFonts w:ascii="Cambria Math" w:hAnsi="Cambria Math" w:cs="Times New Roman"/>
                  </w:rPr>
                  <m:t>−</m:t>
                </m:r>
                <m:sSubSup>
                  <m:sSubSupPr>
                    <m:ctrlPr>
                      <w:rPr>
                        <w:rFonts w:ascii="Cambria Math" w:hAnsi="Cambria Math" w:cs="Times New Roman"/>
                      </w:rPr>
                    </m:ctrlPr>
                  </m:sSubSupPr>
                  <m:e>
                    <m:r>
                      <m:rPr/>
                      <w:rPr>
                        <w:rFonts w:ascii="Cambria Math" w:hAnsi="Cambria Math" w:cs="Times New Roman"/>
                      </w:rPr>
                      <m:t>μ</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up>
                    <m:r>
                      <m:rPr>
                        <m:sty m:val="p"/>
                      </m:rPr>
                      <w:rPr>
                        <w:rFonts w:ascii="Cambria Math" w:hAnsi="Cambria Math" w:cs="Times New Roman"/>
                      </w:rPr>
                      <m:t>min</m:t>
                    </m:r>
                    <m:r>
                      <m:rPr/>
                      <w:rPr>
                        <w:rFonts w:ascii="Cambria Math" w:hAnsi="Cambria Math" w:cs="Times New Roman"/>
                      </w:rPr>
                      <m:t>⁡</m:t>
                    </m:r>
                    <m:ctrlPr>
                      <w:rPr>
                        <w:rFonts w:ascii="Cambria Math" w:hAnsi="Cambria Math" w:cs="Times New Roman"/>
                      </w:rPr>
                    </m:ctrlPr>
                  </m:sup>
                </m:sSubSup>
                <m:r>
                  <m:rPr/>
                  <w:rPr>
                    <w:rFonts w:ascii="Cambria Math" w:hAnsi="Cambria Math" w:cs="Times New Roman"/>
                  </w:rPr>
                  <m:t>,ε</m:t>
                </m:r>
                <m:ctrlPr>
                  <w:rPr>
                    <w:rFonts w:ascii="Cambria Math" w:hAnsi="Cambria Math" w:cs="Times New Roman"/>
                  </w:rPr>
                </m:ctrlPr>
              </m:e>
            </m:d>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(54)</w:t>
      </w:r>
    </w:p>
    <w:p>
      <w:pPr>
        <w:rPr>
          <w:rFonts w:ascii="Times New Roman" w:hAnsi="Times New Roman" w:cs="Times New Roman"/>
        </w:rPr>
      </w:pPr>
      <w:r>
        <w:rPr>
          <w:rFonts w:ascii="Times New Roman" w:hAnsi="Times New Roman" w:cs="Times New Roman"/>
        </w:rPr>
        <w:t>and</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σ</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m:t>
        </m:r>
        <m:f>
          <m:fPr>
            <m:ctrlPr>
              <w:rPr>
                <w:rFonts w:ascii="Cambria Math" w:hAnsi="Cambria Math" w:cs="Times New Roman"/>
              </w:rPr>
            </m:ctrlPr>
          </m:fPr>
          <m:num>
            <m:sSub>
              <m:sSubPr>
                <m:ctrlPr>
                  <w:rPr>
                    <w:rFonts w:ascii="Cambria Math" w:hAnsi="Cambria Math" w:cs="Times New Roman"/>
                  </w:rPr>
                </m:ctrlPr>
              </m:sSub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r>
              <m:rPr/>
              <w:rPr>
                <w:rFonts w:ascii="Cambria Math" w:hAnsi="Cambria Math" w:cs="Times New Roman"/>
              </w:rPr>
              <m:t>(m)</m:t>
            </m:r>
            <m:ctrlPr>
              <w:rPr>
                <w:rFonts w:ascii="Cambria Math" w:hAnsi="Cambria Math" w:cs="Times New Roman"/>
              </w:rPr>
            </m:ctrlPr>
          </m:num>
          <m:den>
            <m:r>
              <m:rPr>
                <m:sty m:val="p"/>
              </m:rPr>
              <w:rPr>
                <w:rFonts w:ascii="Cambria Math" w:hAnsi="Cambria Math" w:cs="Times New Roman"/>
              </w:rPr>
              <m:t>max</m:t>
            </m:r>
            <m:r>
              <m:rPr/>
              <w:rPr>
                <w:rFonts w:ascii="Cambria Math" w:hAnsi="Cambria Math" w:cs="Times New Roman"/>
              </w:rPr>
              <m:t>⁡</m:t>
            </m:r>
            <m:d>
              <m:dPr>
                <m:begChr m:val="{"/>
                <m:sepChr m:val=","/>
                <m:endChr m:val="}"/>
                <m:ctrlPr>
                  <w:rPr>
                    <w:rFonts w:ascii="Cambria Math" w:hAnsi="Cambria Math" w:cs="Times New Roman"/>
                  </w:rPr>
                </m:ctrlPr>
              </m:dPr>
              <m:e>
                <m:sSubSup>
                  <m:sSubSupPr>
                    <m:ctrlPr>
                      <w:rPr>
                        <w:rFonts w:ascii="Cambria Math" w:hAnsi="Cambria Math" w:cs="Times New Roman"/>
                      </w:rPr>
                    </m:ctrlPr>
                  </m:sSubSupPr>
                  <m:e>
                    <m:r>
                      <m:rPr/>
                      <w:rPr>
                        <w:rFonts w:ascii="Cambria Math" w:hAnsi="Cambria Math" w:cs="Times New Roman"/>
                      </w:rPr>
                      <m:t>σ</m:t>
                    </m:r>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up>
                    <m:r>
                      <m:rPr>
                        <m:sty m:val="p"/>
                      </m:rPr>
                      <w:rPr>
                        <w:rFonts w:ascii="Cambria Math" w:hAnsi="Cambria Math" w:cs="Times New Roman"/>
                      </w:rPr>
                      <m:t>max</m:t>
                    </m:r>
                    <m:r>
                      <m:rPr/>
                      <w:rPr>
                        <w:rFonts w:ascii="Cambria Math" w:hAnsi="Cambria Math" w:cs="Times New Roman"/>
                      </w:rPr>
                      <m:t>⁡</m:t>
                    </m:r>
                    <m:ctrlPr>
                      <w:rPr>
                        <w:rFonts w:ascii="Cambria Math" w:hAnsi="Cambria Math" w:cs="Times New Roman"/>
                      </w:rPr>
                    </m:ctrlPr>
                  </m:sup>
                </m:sSubSup>
                <m:ctrlPr>
                  <w:rPr>
                    <w:rFonts w:ascii="Cambria Math" w:hAnsi="Cambria Math" w:cs="Times New Roman"/>
                  </w:rPr>
                </m:ctrlPr>
              </m:e>
              <m:e>
                <m:r>
                  <m:rPr/>
                  <w:rPr>
                    <w:rFonts w:ascii="Cambria Math" w:hAnsi="Cambria Math" w:cs="Times New Roman"/>
                  </w:rPr>
                  <m:t>ε</m:t>
                </m:r>
                <m:ctrlPr>
                  <w:rPr>
                    <w:rFonts w:ascii="Cambria Math" w:hAnsi="Cambria Math" w:cs="Times New Roman"/>
                  </w:rPr>
                </m:ctrlPr>
              </m:e>
            </m:d>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(55)</w:t>
      </w:r>
    </w:p>
    <w:p>
      <w:pPr>
        <w:pStyle w:val="13"/>
        <w:spacing w:before="80" w:after="80" w:line="276" w:lineRule="auto"/>
        <w:rPr>
          <w:rFonts w:ascii="Times New Roman" w:hAnsi="Times New Roman" w:cs="Times New Roman"/>
          <w:bCs/>
        </w:rPr>
      </w:pPr>
      <w:r>
        <w:rPr>
          <w:rFonts w:ascii="Times New Roman" w:hAnsi="Times New Roman" w:cs="Times New Roman"/>
          <w:bCs/>
        </w:rPr>
        <w:t>where the minimum and maximum values were calculated over the complete candidate library. The mean-performance and uncertainty components were then</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m:t>
        </m:r>
        <m:f>
          <m:fPr>
            <m:ctrlPr>
              <w:rPr>
                <w:rFonts w:ascii="Cambria Math" w:hAnsi="Cambria Math" w:cs="Times New Roman"/>
              </w:rPr>
            </m:ctrlPr>
          </m:fPr>
          <m:num>
            <m:r>
              <m:rPr/>
              <w:rPr>
                <w:rFonts w:ascii="Cambria Math" w:hAnsi="Cambria Math" w:cs="Times New Roman"/>
              </w:rPr>
              <m:t>1</m:t>
            </m:r>
            <m:ctrlPr>
              <w:rPr>
                <w:rFonts w:ascii="Cambria Math" w:hAnsi="Cambria Math" w:cs="Times New Roman"/>
              </w:rPr>
            </m:ctrlPr>
          </m:num>
          <m:den>
            <m:r>
              <m:rPr/>
              <w:rPr>
                <w:rFonts w:ascii="Cambria Math" w:hAnsi="Cambria Math" w:cs="Times New Roman"/>
              </w:rPr>
              <m:t>3</m:t>
            </m:r>
            <m:ctrlPr>
              <w:rPr>
                <w:rFonts w:ascii="Cambria Math" w:hAnsi="Cambria Math" w:cs="Times New Roman"/>
              </w:rPr>
            </m:ctrlPr>
          </m:den>
        </m:f>
        <m:nary>
          <m:naryPr>
            <m:chr m:val="∑"/>
            <m:grow m:val="1"/>
            <m:limLoc m:val="subSup"/>
            <m:ctrlPr>
              <w:rPr>
                <w:rFonts w:ascii="Cambria Math" w:hAnsi="Cambria Math" w:cs="Times New Roman"/>
              </w:rPr>
            </m:ctrlPr>
          </m:naryPr>
          <m:sub>
            <m:r>
              <m:rPr/>
              <w:rPr>
                <w:rFonts w:ascii="Cambria Math" w:hAnsi="Cambria Math" w:cs="Times New Roman"/>
              </w:rPr>
              <m:t>k=1</m:t>
            </m:r>
            <m:ctrlPr>
              <w:rPr>
                <w:rFonts w:ascii="Cambria Math" w:hAnsi="Cambria Math" w:cs="Times New Roman"/>
              </w:rPr>
            </m:ctrlPr>
          </m:sub>
          <m:sup>
            <m:r>
              <m:rPr/>
              <w:rPr>
                <w:rFonts w:ascii="Cambria Math" w:hAnsi="Cambria Math" w:cs="Times New Roman"/>
              </w:rPr>
              <m:t>3</m:t>
            </m:r>
            <m:ctrlPr>
              <w:rPr>
                <w:rFonts w:ascii="Cambria Math" w:hAnsi="Cambria Math" w:cs="Times New Roman"/>
              </w:rPr>
            </m:ctrlPr>
          </m:sup>
          <m:e>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μ</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ctrlPr>
              <w:rPr>
                <w:rFonts w:ascii="Cambria Math" w:hAnsi="Cambria Math" w:cs="Times New Roman"/>
              </w:rPr>
            </m:ctrlPr>
          </m:e>
        </m:nary>
        <m:r>
          <m:rPr/>
          <w:rPr>
            <w:rFonts w:ascii="Cambria Math" w:hAnsi="Cambria Math" w:cs="Times New Roman"/>
          </w:rPr>
          <m:t>(m),</m:t>
        </m:r>
      </m:oMath>
      <w:r>
        <w:rPr>
          <w:rFonts w:ascii="Times New Roman" w:hAnsi="Times New Roman" w:cs="Times New Roman"/>
          <w:sz w:val="20"/>
          <w:szCs w:val="20"/>
        </w:rPr>
        <w:tab/>
      </w:r>
      <w:r>
        <w:rPr>
          <w:rFonts w:ascii="Times New Roman" w:hAnsi="Times New Roman" w:cs="Times New Roman"/>
          <w:sz w:val="20"/>
          <w:szCs w:val="20"/>
        </w:rPr>
        <w:t>(56)</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V</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m:t>
        </m:r>
        <m:f>
          <m:fPr>
            <m:ctrlPr>
              <w:rPr>
                <w:rFonts w:ascii="Cambria Math" w:hAnsi="Cambria Math" w:cs="Times New Roman"/>
              </w:rPr>
            </m:ctrlPr>
          </m:fPr>
          <m:num>
            <m:r>
              <m:rPr/>
              <w:rPr>
                <w:rFonts w:ascii="Cambria Math" w:hAnsi="Cambria Math" w:cs="Times New Roman"/>
              </w:rPr>
              <m:t>1</m:t>
            </m:r>
            <m:ctrlPr>
              <w:rPr>
                <w:rFonts w:ascii="Cambria Math" w:hAnsi="Cambria Math" w:cs="Times New Roman"/>
              </w:rPr>
            </m:ctrlPr>
          </m:num>
          <m:den>
            <m:r>
              <m:rPr/>
              <w:rPr>
                <w:rFonts w:ascii="Cambria Math" w:hAnsi="Cambria Math" w:cs="Times New Roman"/>
              </w:rPr>
              <m:t>3</m:t>
            </m:r>
            <m:ctrlPr>
              <w:rPr>
                <w:rFonts w:ascii="Cambria Math" w:hAnsi="Cambria Math" w:cs="Times New Roman"/>
              </w:rPr>
            </m:ctrlPr>
          </m:den>
        </m:f>
        <m:nary>
          <m:naryPr>
            <m:chr m:val="∑"/>
            <m:grow m:val="1"/>
            <m:limLoc m:val="subSup"/>
            <m:ctrlPr>
              <w:rPr>
                <w:rFonts w:ascii="Cambria Math" w:hAnsi="Cambria Math" w:cs="Times New Roman"/>
              </w:rPr>
            </m:ctrlPr>
          </m:naryPr>
          <m:sub>
            <m:r>
              <m:rPr/>
              <w:rPr>
                <w:rFonts w:ascii="Cambria Math" w:hAnsi="Cambria Math" w:cs="Times New Roman"/>
              </w:rPr>
              <m:t>k=1</m:t>
            </m:r>
            <m:ctrlPr>
              <w:rPr>
                <w:rFonts w:ascii="Cambria Math" w:hAnsi="Cambria Math" w:cs="Times New Roman"/>
              </w:rPr>
            </m:ctrlPr>
          </m:sub>
          <m:sup>
            <m:r>
              <m:rPr/>
              <w:rPr>
                <w:rFonts w:ascii="Cambria Math" w:hAnsi="Cambria Math" w:cs="Times New Roman"/>
              </w:rPr>
              <m:t>3</m:t>
            </m:r>
            <m:ctrlPr>
              <w:rPr>
                <w:rFonts w:ascii="Cambria Math" w:hAnsi="Cambria Math" w:cs="Times New Roman"/>
              </w:rPr>
            </m:ctrlPr>
          </m:sup>
          <m:e>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σ</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t,k</m:t>
                </m:r>
                <m:ctrlPr>
                  <w:rPr>
                    <w:rFonts w:ascii="Cambria Math" w:hAnsi="Cambria Math" w:cs="Times New Roman"/>
                  </w:rPr>
                </m:ctrlPr>
              </m:sub>
            </m:sSub>
            <m:ctrlPr>
              <w:rPr>
                <w:rFonts w:ascii="Cambria Math" w:hAnsi="Cambria Math" w:cs="Times New Roman"/>
              </w:rPr>
            </m:ctrlPr>
          </m:e>
        </m:nary>
        <m:r>
          <m:rPr/>
          <w:rPr>
            <w:rFonts w:ascii="Cambria Math" w:hAnsi="Cambria Math" w:cs="Times New Roman"/>
          </w:rPr>
          <m:t>(m).</m:t>
        </m:r>
      </m:oMath>
      <w:r>
        <w:rPr>
          <w:rFonts w:ascii="Times New Roman" w:hAnsi="Times New Roman" w:cs="Times New Roman"/>
          <w:sz w:val="20"/>
          <w:szCs w:val="20"/>
        </w:rPr>
        <w:tab/>
      </w:r>
      <w:r>
        <w:rPr>
          <w:rFonts w:ascii="Times New Roman" w:hAnsi="Times New Roman" w:cs="Times New Roman"/>
          <w:sz w:val="20"/>
          <w:szCs w:val="20"/>
        </w:rPr>
        <w:t>(57)</w:t>
      </w:r>
    </w:p>
    <w:p>
      <w:pPr>
        <w:pStyle w:val="13"/>
        <w:spacing w:before="80" w:after="80" w:line="276" w:lineRule="auto"/>
        <w:rPr>
          <w:rFonts w:ascii="Times New Roman" w:hAnsi="Times New Roman" w:cs="Times New Roman"/>
          <w:bCs/>
        </w:rPr>
      </w:pPr>
      <w:r>
        <w:rPr>
          <w:rFonts w:ascii="Times New Roman" w:hAnsi="Times New Roman" w:cs="Times New Roman"/>
          <w:bCs/>
        </w:rPr>
        <w:t>The screening score was defined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s</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screen</m:t>
                </m:r>
                <m:ctrlPr>
                  <w:rPr>
                    <w:rFonts w:ascii="Cambria Math" w:hAnsi="Cambria Math" w:cs="Times New Roman"/>
                  </w:rPr>
                </m:ctrlPr>
              </m:e>
            </m:phant>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m:t>
        </m:r>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(m)+0.25</m:t>
        </m:r>
        <m:sSub>
          <m:sSubPr>
            <m:ctrlPr>
              <w:rPr>
                <w:rFonts w:ascii="Cambria Math" w:hAnsi="Cambria Math" w:cs="Times New Roman"/>
              </w:rPr>
            </m:ctrlPr>
          </m:sSubPr>
          <m:e>
            <m:r>
              <m:rPr/>
              <w:rPr>
                <w:rFonts w:ascii="Cambria Math" w:hAnsi="Cambria Math" w:cs="Times New Roman"/>
              </w:rPr>
              <m:t>V</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m:t>
        </m:r>
      </m:oMath>
      <w:r>
        <w:rPr>
          <w:rFonts w:ascii="Times New Roman" w:hAnsi="Times New Roman" w:cs="Times New Roman"/>
          <w:sz w:val="20"/>
          <w:szCs w:val="20"/>
        </w:rPr>
        <w:tab/>
      </w:r>
      <w:r>
        <w:rPr>
          <w:rFonts w:ascii="Times New Roman" w:hAnsi="Times New Roman" w:cs="Times New Roman"/>
          <w:sz w:val="20"/>
          <w:szCs w:val="20"/>
        </w:rPr>
        <w:t>(58)</w:t>
      </w:r>
    </w:p>
    <w:p>
      <w:pPr>
        <w:spacing w:after="120" w:line="256" w:lineRule="auto"/>
        <w:rPr>
          <w:rFonts w:ascii="Times New Roman" w:hAnsi="Times New Roman" w:cs="Times New Roman"/>
        </w:rPr>
      </w:pPr>
      <w:r>
        <w:rPr>
          <w:rFonts w:ascii="Times New Roman" w:hAnsi="Times New Roman" w:cs="Times New Roman"/>
        </w:rPr>
        <w:t xml:space="preserve">The coefficient 0.25 retained an uncertainty contribution while assigning greater weight to the posterior-mean component. The screening score was calculated from the round-level posterior summaries and was used only to identify candidates for subsequent qEHVI evaluation; it did not replace the qEHVI acquisition function. At within-batch position j, at most </w:t>
      </w:r>
      <m:oMath>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screen</m:t>
                </m:r>
                <m:ctrlPr>
                  <w:rPr>
                    <w:rFonts w:ascii="Cambria Math" w:hAnsi="Cambria Math" w:cs="Times New Roman"/>
                  </w:rPr>
                </m:ctrlPr>
              </m:e>
            </m:phant>
            <m:ctrlPr>
              <w:rPr>
                <w:rFonts w:ascii="Cambria Math" w:hAnsi="Cambria Math" w:cs="Times New Roman"/>
              </w:rPr>
            </m:ctrlPr>
          </m:sub>
        </m:sSub>
        <m:r>
          <m:rPr/>
          <w:rPr>
            <w:rFonts w:ascii="Cambria Math" w:hAnsi="Cambria Math" w:cs="Times New Roman"/>
          </w:rPr>
          <m:t>=2048</m:t>
        </m:r>
      </m:oMath>
      <w:r>
        <w:rPr>
          <w:rFonts w:ascii="Times New Roman" w:hAnsi="Times New Roman" w:cs="Times New Roman"/>
        </w:rPr>
        <w:t xml:space="preserve"> currently available candidates were retained: </w:t>
      </w:r>
      <m:oMath>
        <m:sSub>
          <m:sSubPr>
            <m:ctrlPr>
              <w:rPr>
                <w:rFonts w:ascii="Cambria Math" w:hAnsi="Cambria Math" w:cs="Times New Roman"/>
              </w:rPr>
            </m:ctrlPr>
          </m:sSubPr>
          <m:e>
            <m:r>
              <m:rPr>
                <m:scr m:val="script"/>
              </m:rPr>
              <w:rPr>
                <w:rFonts w:ascii="Cambria Math" w:hAnsi="Cambria Math" w:eastAsia="MS Mincho" w:cs="Times New Roman"/>
              </w:rPr>
              <m:t>S</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Top</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screen</m:t>
                    </m:r>
                    <m:ctrlPr>
                      <w:rPr>
                        <w:rFonts w:ascii="Cambria Math" w:hAnsi="Cambria Math" w:cs="Times New Roman"/>
                      </w:rPr>
                    </m:ctrlPr>
                  </m:e>
                </m:phant>
                <m:ctrlPr>
                  <w:rPr>
                    <w:rFonts w:ascii="Cambria Math" w:hAnsi="Cambria Math" w:cs="Times New Roman"/>
                  </w:rPr>
                </m:ctrlPr>
              </m:sub>
            </m:sSub>
            <m:ctrlPr>
              <w:rPr>
                <w:rFonts w:ascii="Cambria Math" w:hAnsi="Cambria Math" w:cs="Times New Roman"/>
              </w:rPr>
            </m:ctrlPr>
          </m:sub>
        </m:sSub>
        <m:r>
          <m:rP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s</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screen</m:t>
                    </m:r>
                    <m:ctrlPr>
                      <w:rPr>
                        <w:rFonts w:ascii="Cambria Math" w:hAnsi="Cambria Math" w:cs="Times New Roman"/>
                      </w:rPr>
                    </m:ctrlPr>
                  </m:e>
                </m:phant>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(m):m∈</m:t>
            </m:r>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When fewer than 2,048 candidates remained, all available candidates were retained. Materials outside </w:t>
      </w:r>
      <m:oMath>
        <m:sSub>
          <m:sSubPr>
            <m:ctrlPr>
              <w:rPr>
                <w:rFonts w:ascii="Cambria Math" w:hAnsi="Cambria Math" w:cs="Times New Roman"/>
              </w:rPr>
            </m:ctrlPr>
          </m:sSubPr>
          <m:e>
            <m:r>
              <m:rPr>
                <m:scr m:val="script"/>
              </m:rPr>
              <w:rPr>
                <w:rFonts w:ascii="Cambria Math" w:hAnsi="Cambria Math" w:eastAsia="MS Mincho" w:cs="Times New Roman"/>
              </w:rPr>
              <m:t>S</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oMath>
      <w:r>
        <w:rPr>
          <w:rFonts w:ascii="Times New Roman" w:hAnsi="Times New Roman" w:cs="Times New Roman"/>
        </w:rPr>
        <w:t xml:space="preserve">were not removed from </w:t>
      </w:r>
      <m:oMath>
        <m:sSub>
          <m:sSubPr>
            <m:ctrlPr>
              <w:rPr>
                <w:rFonts w:ascii="Cambria Math" w:hAnsi="Cambria Math" w:cs="Times New Roman"/>
              </w:rPr>
            </m:ctrlPr>
          </m:sSubPr>
          <m:e>
            <m:r>
              <m:rPr/>
              <w:rPr>
                <w:rFonts w:ascii="Cambria Math" w:hAnsi="Cambria Math" w:cs="Times New Roman"/>
              </w:rPr>
              <m:t>U</m:t>
            </m:r>
            <m:ctrlPr>
              <w:rPr>
                <w:rFonts w:ascii="Cambria Math" w:hAnsi="Cambria Math" w:cs="Times New Roman"/>
              </w:rPr>
            </m:ctrlPr>
          </m:e>
          <m:sub>
            <m:r>
              <m:rPr/>
              <w:rPr>
                <w:rFonts w:ascii="Cambria Math" w:hAnsi="Cambria Math" w:cs="Times New Roman"/>
              </w:rPr>
              <m:t>t</m:t>
            </m:r>
            <m:ctrlPr>
              <w:rPr>
                <w:rFonts w:ascii="Cambria Math" w:hAnsi="Cambria Math" w:cs="Times New Roman"/>
              </w:rPr>
            </m:ctrlPr>
          </m:sub>
        </m:sSub>
      </m:oMath>
      <w:r>
        <w:rPr>
          <w:rFonts w:ascii="Times New Roman" w:hAnsi="Times New Roman" w:cs="Times New Roman"/>
        </w:rPr>
        <w:t xml:space="preserve">and could enter the screened subset in a later round after the GP posterior had changed. The raw-scale posterior summaries were used only for candidate screening. </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6.3.3.3 Chunked qEHVI evaluation</w:t>
      </w:r>
    </w:p>
    <w:p>
      <w:pPr>
        <w:spacing w:line="276" w:lineRule="auto"/>
        <w:ind w:firstLine="420"/>
        <w:rPr>
          <w:rFonts w:ascii="Times New Roman" w:hAnsi="Times New Roman" w:cs="Times New Roman"/>
        </w:rPr>
      </w:pPr>
      <w:r>
        <w:rPr>
          <w:rFonts w:ascii="Times New Roman" w:hAnsi="Times New Roman" w:cs="Times New Roman"/>
        </w:rPr>
        <w:t xml:space="preserve">The screened candidates were divided into acquisition chunks containing at most 256 materials. At each within-batch position, every candidate in a chunk was evaluated using the same current pending set </w:t>
      </w:r>
      <m:oMath>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t,j</m:t>
            </m:r>
            <m:ctrlPr>
              <w:rPr>
                <w:rFonts w:ascii="Cambria Math" w:hAnsi="Cambria Math" w:cs="Times New Roman"/>
              </w:rPr>
            </m:ctrlPr>
          </m:sub>
        </m:sSub>
      </m:oMath>
      <w:r>
        <w:rPr>
          <w:rFonts w:ascii="Times New Roman" w:hAnsi="Times New Roman" w:cs="Times New Roman"/>
        </w:rPr>
        <w:t xml:space="preserve">. Acquisition values from all chunks were combined, and the candidate with the highest qEHVI value was appended to the pending set. For a full 2,048-candidate screened subset, this corresponded to approximately eight acquisition chunks per within-batch position. </w:t>
      </w:r>
    </w:p>
    <w:p>
      <w:pPr>
        <w:spacing w:line="276" w:lineRule="auto"/>
        <w:ind w:firstLine="420"/>
        <w:rPr>
          <w:rFonts w:ascii="Times New Roman" w:hAnsi="Times New Roman" w:cs="Times New Roman"/>
        </w:rPr>
      </w:pPr>
      <w:r>
        <w:rPr>
          <w:rFonts w:ascii="Times New Roman" w:hAnsi="Times New Roman" w:cs="Times New Roman"/>
        </w:rPr>
        <w:t>For each acquisition-function evaluation, the posterior expectation was approximated using 64 Sobol quasi-Monte Carlo samples drawn from the joint GP posterior. Sequential pending-point construction also avoided forming and optimizing a single combinatorial acquisition tensor over all possible ten-material batches.</w:t>
      </w:r>
    </w:p>
    <w:p>
      <w:pPr>
        <w:spacing w:after="120" w:line="256" w:lineRule="auto"/>
        <w:ind w:firstLine="420"/>
        <w:rPr>
          <w:rFonts w:ascii="Times New Roman" w:hAnsi="Times New Roman" w:cs="Times New Roman"/>
        </w:rPr>
      </w:pPr>
      <w:r>
        <w:rPr>
          <w:rFonts w:ascii="Times New Roman" w:hAnsi="Times New Roman" w:cs="Times New Roman"/>
        </w:rPr>
        <w:t>Prediction chunking and acquisition chunking were computationally neutral partitioning operations: they altered the size of the tensors held in device memory but not the candidates covered by the corresponding calculations. Candidate screening was different because qEHVI was evaluated only for the temporary screened subset. Screening was therefore an explicit acquisition approximation, although it did not change the fixed candidate library, cumulative query budget, revealed oracle responses or full-library evaluation protocol.</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S6.4 Oracle-based BO performance evaluation, statistical aggregation and recovery diagnostics</w:t>
      </w:r>
    </w:p>
    <w:p>
      <w:pPr>
        <w:ind w:firstLine="420"/>
        <w:rPr>
          <w:rFonts w:ascii="Times New Roman" w:hAnsi="Times New Roman" w:cs="Times New Roman"/>
        </w:rPr>
      </w:pPr>
      <w:r>
        <w:rPr>
          <w:rFonts w:ascii="Times New Roman" w:hAnsi="Times New Roman" w:cs="Times New Roman"/>
        </w:rPr>
        <w:t>All Bayesian-optimization performance metrics were calculated from the true GCMC responses of the materials contained in the cumulative queried set. Gaussian-process posterior predictions, posterior uncertainties and candidate-selection scores were used only to guide acquisition and were not substituted for oracle responses during performance evaluation. The strict oracle Pareto set, the first three oracle Pareto layers and the target-specific Top-1% sets defined in Supplementary Note 3 remained fixed across configurations, seeds and query budgets.</w:t>
      </w:r>
    </w:p>
    <w:p>
      <w:pPr>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For configuration c, seed s and cumulative query budget b, let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r>
          <m:rPr>
            <m:scr m:val="script"/>
          </m:rPr>
          <w:rPr>
            <w:rFonts w:ascii="Cambria Math" w:hAnsi="Cambria Math" w:eastAsia="MS Mincho" w:cs="Times New Roman"/>
          </w:rPr>
          <m:t>)⊆ℳ</m:t>
        </m:r>
      </m:oMath>
      <w:r>
        <w:rPr>
          <w:rFonts w:ascii="Times New Roman" w:hAnsi="Times New Roman" w:cs="Times New Roman"/>
        </w:rPr>
        <w:t xml:space="preserve"> denote the corresponding cumulative queried set. The associated set of true three-objective response vectors was </w:t>
      </w:r>
      <m:oMath>
        <m:sSub>
          <m:sSubPr>
            <m:ctrlPr>
              <w:rPr>
                <w:rFonts w:ascii="Cambria Math" w:hAnsi="Cambria Math" w:cs="Times New Roman"/>
              </w:rPr>
            </m:ctrlPr>
          </m:sSubPr>
          <m:e>
            <m:r>
              <m:rPr>
                <m:scr m:val="script"/>
              </m:rPr>
              <w:rPr>
                <w:rFonts w:ascii="Cambria Math" w:hAnsi="Cambria Math" w:eastAsia="MS Mincho" w:cs="Times New Roman"/>
              </w:rPr>
              <m:t>Y</m:t>
            </m:r>
            <m:ctrlPr>
              <w:rPr>
                <w:rFonts w:ascii="Cambria Math" w:hAnsi="Cambria Math" w:cs="Times New Roman"/>
              </w:rPr>
            </m:ctrlPr>
          </m:e>
          <m:sub>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d>
          <m:dPr>
            <m:begChr m:val="{"/>
            <m:endChr m:val="}"/>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y</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The initial 100-MOF design was included in every cumulative queried set and therefore contributed to all reported budget-level performance values.</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6.4.1 Oracle-based BO performance metrics</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6.4.1.1 Normalized hypervolume</w:t>
      </w:r>
    </w:p>
    <w:p>
      <w:pPr>
        <w:spacing w:after="120" w:line="256" w:lineRule="auto"/>
        <w:ind w:firstLine="420"/>
        <w:rPr>
          <w:rFonts w:ascii="Times New Roman" w:hAnsi="Times New Roman" w:cs="Times New Roman"/>
        </w:rPr>
      </w:pPr>
      <w:r>
        <w:rPr>
          <w:rFonts w:ascii="Times New Roman" w:hAnsi="Times New Roman" w:cs="Times New Roman"/>
        </w:rPr>
        <w:t xml:space="preserve">Normalized hypervolume was evaluated post hoc using a fixed evaluation reference point, denoted </w:t>
      </w:r>
      <m:oMath>
        <m:sSup>
          <m:sSupPr>
            <m:ctrlPr>
              <w:rPr>
                <w:rFonts w:ascii="Cambria Math" w:hAnsi="Cambria Math" w:cs="Times New Roman"/>
              </w:rPr>
            </m:ctrlPr>
          </m:sSupPr>
          <m:e>
            <m:r>
              <m:rPr>
                <m:sty m:val="bi"/>
              </m:rPr>
              <w:rPr>
                <w:rFonts w:ascii="Cambria Math" w:hAnsi="Cambria Math" w:cs="Times New Roman"/>
              </w:rPr>
              <m:t>r</m:t>
            </m:r>
            <m:ctrlPr>
              <w:rPr>
                <w:rFonts w:ascii="Cambria Math" w:hAnsi="Cambria Math" w:cs="Times New Roman"/>
              </w:rPr>
            </m:ctrlPr>
          </m:e>
          <m:sup>
            <m:r>
              <m:rPr>
                <m:sty m:val="p"/>
              </m:rPr>
              <w:rPr>
                <w:rFonts w:ascii="Cambria Math" w:hAnsi="Cambria Math" w:cs="Times New Roman"/>
              </w:rPr>
              <m:t>eval</m:t>
            </m:r>
            <m:ctrlPr>
              <w:rPr>
                <w:rFonts w:ascii="Cambria Math" w:hAnsi="Cambria Math" w:cs="Times New Roman"/>
              </w:rPr>
            </m:ctrlPr>
          </m:sup>
        </m:sSup>
      </m:oMath>
      <w:r>
        <w:rPr>
          <w:rFonts w:ascii="Times New Roman" w:hAnsi="Times New Roman" w:cs="Times New Roman"/>
        </w:rPr>
        <w:t xml:space="preserve">. The numerical coordinates of </w:t>
      </w:r>
      <m:oMath>
        <m:sSup>
          <m:sSupPr>
            <m:ctrlPr>
              <w:rPr>
                <w:rFonts w:ascii="Cambria Math" w:hAnsi="Cambria Math" w:cs="Times New Roman"/>
              </w:rPr>
            </m:ctrlPr>
          </m:sSupPr>
          <m:e>
            <m:r>
              <m:rPr>
                <m:sty m:val="bi"/>
              </m:rPr>
              <w:rPr>
                <w:rFonts w:ascii="Cambria Math" w:hAnsi="Cambria Math" w:cs="Times New Roman"/>
              </w:rPr>
              <m:t>r</m:t>
            </m:r>
            <m:ctrlPr>
              <w:rPr>
                <w:rFonts w:ascii="Cambria Math" w:hAnsi="Cambria Math" w:cs="Times New Roman"/>
              </w:rPr>
            </m:ctrlPr>
          </m:e>
          <m:sup>
            <m:r>
              <m:rPr>
                <m:sty m:val="p"/>
              </m:rPr>
              <w:rPr>
                <w:rFonts w:ascii="Cambria Math" w:hAnsi="Cambria Math" w:cs="Times New Roman"/>
              </w:rPr>
              <m:t>eval</m:t>
            </m:r>
            <m:ctrlPr>
              <w:rPr>
                <w:rFonts w:ascii="Cambria Math" w:hAnsi="Cambria Math" w:cs="Times New Roman"/>
              </w:rPr>
            </m:ctrlPr>
          </m:sup>
        </m:sSup>
      </m:oMath>
      <w:r>
        <w:rPr>
          <w:rFonts w:ascii="Times New Roman" w:hAnsi="Times New Roman" w:cs="Times New Roman"/>
        </w:rPr>
        <w:t xml:space="preserve">were identical to those of the benchmark-wide acquisition reference point defined in Eq. (49), </w:t>
      </w:r>
      <m:oMath>
        <m:sSup>
          <m:sSupPr>
            <m:ctrlPr>
              <w:rPr>
                <w:rFonts w:ascii="Cambria Math" w:hAnsi="Cambria Math" w:cs="Times New Roman"/>
              </w:rPr>
            </m:ctrlPr>
          </m:sSupPr>
          <m:e>
            <m:r>
              <m:rPr>
                <m:sty m:val="bi"/>
              </m:rPr>
              <w:rPr>
                <w:rFonts w:ascii="Cambria Math" w:hAnsi="Cambria Math" w:cs="Times New Roman"/>
              </w:rPr>
              <m:t>r</m:t>
            </m:r>
            <m:ctrlPr>
              <w:rPr>
                <w:rFonts w:ascii="Cambria Math" w:hAnsi="Cambria Math" w:cs="Times New Roman"/>
              </w:rPr>
            </m:ctrlPr>
          </m:e>
          <m:sup>
            <m:box>
              <m:boxPr>
                <m:ctrlPr>
                  <w:rPr>
                    <w:rFonts w:ascii="Cambria Math" w:hAnsi="Cambria Math" w:cs="Times New Roman"/>
                  </w:rPr>
                </m:ctrlPr>
              </m:boxPr>
              <m:e>
                <m:r>
                  <m:rPr>
                    <m:sty m:val="p"/>
                  </m:rPr>
                  <w:rPr>
                    <w:rFonts w:ascii="Cambria Math" w:hAnsi="Cambria Math" w:cs="Times New Roman"/>
                  </w:rPr>
                  <m:t>eval</m:t>
                </m:r>
                <m:ctrlPr>
                  <w:rPr>
                    <w:rFonts w:ascii="Cambria Math" w:hAnsi="Cambria Math" w:cs="Times New Roman"/>
                  </w:rPr>
                </m:ctrlPr>
              </m:e>
            </m:box>
            <m:ctrlPr>
              <w:rPr>
                <w:rFonts w:ascii="Cambria Math" w:hAnsi="Cambria Math" w:cs="Times New Roman"/>
              </w:rPr>
            </m:ctrlPr>
          </m:sup>
        </m:sSup>
        <m:r>
          <m:rPr/>
          <w:rPr>
            <w:rFonts w:ascii="Cambria Math" w:hAnsi="Cambria Math" w:cs="Times New Roman"/>
          </w:rPr>
          <m:t>=</m:t>
        </m:r>
        <m:sSup>
          <m:sSupPr>
            <m:ctrlPr>
              <w:rPr>
                <w:rFonts w:ascii="Cambria Math" w:hAnsi="Cambria Math" w:cs="Times New Roman"/>
              </w:rPr>
            </m:ctrlPr>
          </m:sSupPr>
          <m:e>
            <m:r>
              <m:rPr>
                <m:sty m:val="bi"/>
              </m:rPr>
              <w:rPr>
                <w:rFonts w:ascii="Cambria Math" w:hAnsi="Cambria Math" w:cs="Times New Roman"/>
              </w:rPr>
              <m:t>r</m:t>
            </m:r>
            <m:ctrlPr>
              <w:rPr>
                <w:rFonts w:ascii="Cambria Math" w:hAnsi="Cambria Math" w:cs="Times New Roman"/>
              </w:rPr>
            </m:ctrlPr>
          </m:e>
          <m:sup>
            <m:box>
              <m:boxPr>
                <m:ctrlPr>
                  <w:rPr>
                    <w:rFonts w:ascii="Cambria Math" w:hAnsi="Cambria Math" w:cs="Times New Roman"/>
                  </w:rPr>
                </m:ctrlPr>
              </m:boxPr>
              <m:e>
                <m:r>
                  <m:rPr>
                    <m:sty m:val="p"/>
                  </m:rPr>
                  <w:rPr>
                    <w:rFonts w:ascii="Cambria Math" w:hAnsi="Cambria Math" w:cs="Times New Roman"/>
                  </w:rPr>
                  <m:t>acq</m:t>
                </m:r>
                <m:ctrlPr>
                  <w:rPr>
                    <w:rFonts w:ascii="Cambria Math" w:hAnsi="Cambria Math" w:cs="Times New Roman"/>
                  </w:rPr>
                </m:ctrlPr>
              </m:e>
            </m:box>
            <m:ctrlPr>
              <w:rPr>
                <w:rFonts w:ascii="Cambria Math" w:hAnsi="Cambria Math" w:cs="Times New Roman"/>
              </w:rPr>
            </m:ctrlPr>
          </m:sup>
        </m:sSup>
        <m:r>
          <m:rPr/>
          <w:rPr>
            <w:rFonts w:ascii="Cambria Math" w:hAnsi="Cambria Math" w:cs="Times New Roman"/>
          </w:rPr>
          <m:t>,</m:t>
        </m:r>
      </m:oMath>
      <w:r>
        <w:rPr>
          <w:rFonts w:ascii="Times New Roman" w:hAnsi="Times New Roman" w:cs="Times New Roman"/>
        </w:rPr>
        <w:t xml:space="preserve"> but the two uses were conceptually distinguished. During acquisition, the reference point defined the hypervolume-improvement origin used by qEHVI. During evaluation, it served only to place the queried Pareto sets of all configurations, seeds and budgets on a common post hoc scale. The evaluation calculation did not affect candidate selection.</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r>
          <m:rPr/>
          <w:rPr>
            <w:rFonts w:ascii="Cambria Math" w:hAnsi="Cambria Math" w:cs="Times New Roman"/>
          </w:rPr>
          <m:t>H</m:t>
        </m:r>
        <m:sSub>
          <m:sSubPr>
            <m:ctrlPr>
              <w:rPr>
                <w:rFonts w:ascii="Cambria Math" w:hAnsi="Cambria Math" w:cs="Times New Roman"/>
              </w:rPr>
            </m:ctrlPr>
          </m:sSubPr>
          <m:e>
            <m:r>
              <m:rPr/>
              <w:rPr>
                <w:rFonts w:ascii="Cambria Math" w:hAnsi="Cambria Math" w:cs="Times New Roman"/>
              </w:rPr>
              <m:t>V</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norm</m:t>
                </m:r>
                <m:ctrlPr>
                  <w:rPr>
                    <w:rFonts w:ascii="Cambria Math" w:hAnsi="Cambria Math" w:cs="Times New Roman"/>
                  </w:rPr>
                </m:ctrlPr>
              </m:e>
            </m:phant>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f>
          <m:fPr>
            <m:ctrlPr>
              <w:rPr>
                <w:rFonts w:ascii="Cambria Math" w:hAnsi="Cambria Math" w:cs="Times New Roman"/>
              </w:rPr>
            </m:ctrlPr>
          </m:fPr>
          <m:num>
            <m:r>
              <m:rPr/>
              <w:rPr>
                <w:rFonts w:ascii="Cambria Math" w:hAnsi="Cambria Math" w:cs="Times New Roman"/>
              </w:rPr>
              <m:t>HV</m:t>
            </m:r>
            <m:d>
              <m:dPr>
                <m:ctrlPr>
                  <w:rPr>
                    <w:rFonts w:ascii="Cambria Math" w:hAnsi="Cambria Math" w:cs="Times New Roman"/>
                  </w:rPr>
                </m:ctrlPr>
              </m:dPr>
              <m:e>
                <m:r>
                  <m:rPr>
                    <m:sty m:val="p"/>
                  </m:rPr>
                  <w:rPr>
                    <w:rFonts w:ascii="Cambria Math" w:hAnsi="Cambria Math" w:cs="Times New Roman"/>
                  </w:rPr>
                  <m:t>ND</m:t>
                </m:r>
                <m:r>
                  <m:rP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m:rPr>
                            <m:scr m:val="script"/>
                          </m:rPr>
                          <w:rPr>
                            <w:rFonts w:ascii="Cambria Math" w:hAnsi="Cambria Math" w:eastAsia="MS Mincho" w:cs="Times New Roman"/>
                          </w:rPr>
                          <m:t>Y</m:t>
                        </m:r>
                        <m:ctrlPr>
                          <w:rPr>
                            <w:rFonts w:ascii="Cambria Math" w:hAnsi="Cambria Math" w:cs="Times New Roman"/>
                          </w:rPr>
                        </m:ctrlPr>
                      </m:e>
                      <m:sub>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ctrlPr>
                      <w:rPr>
                        <w:rFonts w:ascii="Cambria Math" w:hAnsi="Cambria Math" w:cs="Times New Roman"/>
                      </w:rPr>
                    </m:ctrlPr>
                  </m:e>
                </m:d>
                <m:r>
                  <m:rPr/>
                  <w:rPr>
                    <w:rFonts w:ascii="Cambria Math" w:hAnsi="Cambria Math" w:cs="Times New Roman"/>
                  </w:rPr>
                  <m:t>;</m:t>
                </m:r>
                <m:r>
                  <m:rPr>
                    <m:sty m:val="b"/>
                  </m:rPr>
                  <w:rPr>
                    <w:rFonts w:ascii="Cambria Math" w:hAnsi="Cambria Math" w:cs="Times New Roman"/>
                  </w:rPr>
                  <m:t>r</m:t>
                </m:r>
                <m:ctrlPr>
                  <w:rPr>
                    <w:rFonts w:ascii="Cambria Math" w:hAnsi="Cambria Math" w:cs="Times New Roman"/>
                  </w:rPr>
                </m:ctrlPr>
              </m:e>
            </m:d>
            <m:ctrlPr>
              <w:rPr>
                <w:rFonts w:ascii="Cambria Math" w:hAnsi="Cambria Math" w:cs="Times New Roman"/>
              </w:rPr>
            </m:ctrlPr>
          </m:num>
          <m:den>
            <m:r>
              <m:rPr/>
              <w:rPr>
                <w:rFonts w:ascii="Cambria Math" w:hAnsi="Cambria Math" w:cs="Times New Roman"/>
              </w:rPr>
              <m:t>HV</m:t>
            </m:r>
            <m:d>
              <m:dPr>
                <m:ctrlPr>
                  <w:rPr>
                    <w:rFonts w:ascii="Cambria Math" w:hAnsi="Cambria Math" w:cs="Times New Roman"/>
                  </w:rPr>
                </m:ctrlPr>
              </m:dPr>
              <m:e>
                <m:r>
                  <m:rPr>
                    <m:scr m:val="script"/>
                  </m:rPr>
                  <w:rPr>
                    <w:rFonts w:ascii="Cambria Math" w:hAnsi="Cambria Math" w:eastAsia="MS Mincho" w:cs="Times New Roman"/>
                  </w:rPr>
                  <m:t>Y(</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r>
                  <m:rPr/>
                  <w:rPr>
                    <w:rFonts w:ascii="Cambria Math" w:hAnsi="Cambria Math" w:cs="Times New Roman"/>
                  </w:rPr>
                  <m:t>);</m:t>
                </m:r>
                <m:r>
                  <m:rPr>
                    <m:sty m:val="b"/>
                  </m:rPr>
                  <w:rPr>
                    <w:rFonts w:ascii="Cambria Math" w:hAnsi="Cambria Math" w:cs="Times New Roman"/>
                  </w:rPr>
                  <m:t>r</m:t>
                </m:r>
                <m:ctrlPr>
                  <w:rPr>
                    <w:rFonts w:ascii="Cambria Math" w:hAnsi="Cambria Math" w:cs="Times New Roman"/>
                  </w:rPr>
                </m:ctrlPr>
              </m:e>
            </m:d>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(59)</w:t>
      </w:r>
    </w:p>
    <w:p>
      <w:pPr>
        <w:spacing w:line="276" w:lineRule="auto"/>
        <w:rPr>
          <w:rFonts w:ascii="Times New Roman" w:hAnsi="Times New Roman" w:cs="Times New Roman"/>
        </w:rPr>
      </w:pPr>
      <w:r>
        <w:rPr>
          <w:rFonts w:ascii="Times New Roman" w:hAnsi="Times New Roman" w:cs="Times New Roman"/>
        </w:rPr>
        <w:t xml:space="preserve">where </w:t>
      </w:r>
      <m:oMath>
        <m:r>
          <m:rPr>
            <m:sty m:val="p"/>
          </m:rPr>
          <w:rPr>
            <w:rFonts w:ascii="Cambria Math" w:hAnsi="Cambria Math" w:cs="Times New Roman"/>
          </w:rPr>
          <m:t>ND</m:t>
        </m:r>
        <m:r>
          <m:rPr/>
          <w:rPr>
            <w:rFonts w:ascii="Cambria Math" w:hAnsi="Cambria Math" w:cs="Times New Roman"/>
          </w:rPr>
          <m:t>⁡[⋅]</m:t>
        </m:r>
      </m:oMath>
      <w:r>
        <w:rPr>
          <w:rFonts w:ascii="Times New Roman" w:hAnsi="Times New Roman" w:cs="Times New Roman"/>
        </w:rPr>
        <w:t xml:space="preserve">denotes the non-dominated subset under simultaneous maximization of CEES, DMMP and EtCl uptake, </w:t>
      </w:r>
      <m:oMath>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oMath>
      <w:r>
        <w:rPr>
          <w:rFonts w:ascii="Times New Roman" w:hAnsi="Times New Roman" w:cs="Times New Roman"/>
        </w:rPr>
        <w:t xml:space="preserve">is the strict oracle Pareto set defined in Section S3.2, and </w:t>
      </w:r>
      <m:oMath>
        <m:r>
          <m:rPr>
            <m:scr m:val="script"/>
          </m:rPr>
          <w:rPr>
            <w:rFonts w:ascii="Cambria Math" w:hAnsi="Cambria Math" w:eastAsia="MS Mincho" w:cs="Times New Roman"/>
          </w:rPr>
          <m:t>Y(</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r>
          <m:rPr/>
          <w:rPr>
            <w:rFonts w:ascii="Cambria Math" w:hAnsi="Cambria Math" w:cs="Times New Roman"/>
          </w:rPr>
          <m:t>)=</m:t>
        </m:r>
        <m:d>
          <m:dPr>
            <m:begChr m:val="{"/>
            <m:endChr m:val="}"/>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y</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The denominator is the hypervolume of the complete strict oracle front under the same reference point. Normalized hypervolume therefore measures the fraction of the full-library oracle-dominated objective-space volume attained by the queried set.</w:t>
      </w:r>
    </w:p>
    <w:p>
      <w:pPr>
        <w:spacing w:line="276" w:lineRule="auto"/>
        <w:ind w:firstLine="420"/>
        <w:rPr>
          <w:rFonts w:ascii="Times New Roman" w:hAnsi="Times New Roman" w:cs="Times New Roman"/>
        </w:rPr>
      </w:pPr>
      <w:r>
        <w:rPr>
          <w:rFonts w:ascii="Times New Roman" w:hAnsi="Times New Roman" w:cs="Times New Roman"/>
        </w:rPr>
        <w:t>A limited number of extreme trade-off materials can account for a large fraction of the oracle hypervolume even when other oracle-front materials remain undiscovered. Normalized hypervolume was therefore interpreted together with the material-identity-based recovery metrics defined below.</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6.4.1.2 Strict-front recovery</w:t>
      </w:r>
    </w:p>
    <w:p>
      <w:pPr>
        <w:spacing w:after="120" w:line="256" w:lineRule="auto"/>
        <w:ind w:firstLine="420"/>
        <w:rPr>
          <w:rFonts w:ascii="Times New Roman" w:hAnsi="Times New Roman" w:cs="Times New Roman"/>
        </w:rPr>
      </w:pPr>
      <w:r>
        <w:rPr>
          <w:rFonts w:ascii="Times New Roman" w:hAnsi="Times New Roman" w:cs="Times New Roman"/>
        </w:rPr>
        <w:t xml:space="preserve">Strict Pareto-front recovery was defined as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R</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PF</m:t>
                </m:r>
                <m:ctrlPr>
                  <w:rPr>
                    <w:rFonts w:ascii="Cambria Math" w:hAnsi="Cambria Math" w:cs="Times New Roman"/>
                  </w:rPr>
                </m:ctrlPr>
              </m:e>
            </m:phant>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f>
          <m:fPr>
            <m:ctrlPr>
              <w:rPr>
                <w:rFonts w:ascii="Cambria Math" w:hAnsi="Cambria Math" w:cs="Times New Roman"/>
              </w:rPr>
            </m:ctrlPr>
          </m:fPr>
          <m:num>
            <m:d>
              <m:dPr>
                <m:begChr m:val="|"/>
                <m:end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ctrlPr>
                  <w:rPr>
                    <w:rFonts w:ascii="Cambria Math" w:hAnsi="Cambria Math" w:cs="Times New Roman"/>
                  </w:rPr>
                </m:ctrlPr>
              </m:e>
            </m:d>
            <m:ctrlPr>
              <w:rPr>
                <w:rFonts w:ascii="Cambria Math" w:hAnsi="Cambria Math" w:cs="Times New Roman"/>
              </w:rPr>
            </m:ctrlPr>
          </m:num>
          <m:den>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r>
              <m:rPr/>
              <w:rPr>
                <w:rFonts w:ascii="Cambria Math" w:hAnsi="Cambria Math" w:cs="Times New Roman"/>
              </w:rPr>
              <m:t>|</m:t>
            </m:r>
            <m:ctrlPr>
              <w:rPr>
                <w:rFonts w:ascii="Cambria Math" w:hAnsi="Cambria Math" w:cs="Times New Roman"/>
              </w:rPr>
            </m:ctrlPr>
          </m:den>
        </m:f>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r>
          <m:rPr/>
          <w:rPr>
            <w:rFonts w:ascii="Cambria Math" w:hAnsi="Cambria Math" w:cs="Times New Roman"/>
          </w:rPr>
          <m:t>|=15.</m:t>
        </m:r>
      </m:oMath>
      <w:r>
        <w:rPr>
          <w:rFonts w:ascii="Times New Roman" w:hAnsi="Times New Roman" w:cs="Times New Roman"/>
          <w:sz w:val="20"/>
          <w:szCs w:val="20"/>
        </w:rPr>
        <w:tab/>
      </w:r>
      <w:r>
        <w:rPr>
          <w:rFonts w:ascii="Times New Roman" w:hAnsi="Times New Roman" w:cs="Times New Roman"/>
          <w:sz w:val="20"/>
          <w:szCs w:val="20"/>
        </w:rPr>
        <w:t>(60)</w:t>
      </w:r>
    </w:p>
    <w:p>
      <w:pPr>
        <w:spacing w:after="120" w:line="256" w:lineRule="auto"/>
        <w:ind w:firstLine="420"/>
        <w:rPr>
          <w:rFonts w:ascii="Times New Roman" w:hAnsi="Times New Roman" w:cs="Times New Roman"/>
        </w:rPr>
      </w:pPr>
      <w:r>
        <w:rPr>
          <w:rFonts w:ascii="Times New Roman" w:hAnsi="Times New Roman" w:cs="Times New Roman"/>
        </w:rPr>
        <w:t>This metric evaluates direct recovery of the fixed strict oracle Pareto set. A value of zero indicates that no strict-front material had been queried, whereas a value of one indicates complete recovery of all 15 strict-front MOFs.</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6.4.1.3 Top-3 Pareto-layer capture</w:t>
      </w:r>
    </w:p>
    <w:p>
      <w:pPr>
        <w:spacing w:after="120" w:line="256" w:lineRule="auto"/>
        <w:ind w:firstLine="420"/>
        <w:rPr>
          <w:rFonts w:ascii="Times New Roman" w:hAnsi="Times New Roman" w:cs="Times New Roman"/>
        </w:rPr>
      </w:pPr>
      <w:r>
        <w:rPr>
          <w:rFonts w:ascii="Times New Roman" w:hAnsi="Times New Roman" w:cs="Times New Roman"/>
        </w:rPr>
        <w:t xml:space="preserve">Let </w:t>
      </w:r>
      <m:oMath>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≤3</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2</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3</m:t>
            </m:r>
            <m:ctrlPr>
              <w:rPr>
                <w:rFonts w:ascii="Cambria Math" w:hAnsi="Cambria Math" w:cs="Times New Roman"/>
              </w:rPr>
            </m:ctrlPr>
          </m:sub>
        </m:sSub>
      </m:oMath>
      <w:r>
        <w:rPr>
          <w:rFonts w:ascii="Times New Roman" w:hAnsi="Times New Roman" w:cs="Times New Roman"/>
        </w:rPr>
        <w:t xml:space="preserve"> denote the fixed union of the first three oracle Pareto layers defined in Section S3.2, with </w:t>
      </w:r>
      <m:oMath>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≤3</m:t>
            </m:r>
            <m:ctrlPr>
              <w:rPr>
                <w:rFonts w:ascii="Cambria Math" w:hAnsi="Cambria Math" w:cs="Times New Roman"/>
              </w:rPr>
            </m:ctrlPr>
          </m:sub>
        </m:sSub>
        <m:r>
          <m:rPr/>
          <w:rPr>
            <w:rFonts w:ascii="Cambria Math" w:hAnsi="Cambria Math" w:cs="Times New Roman"/>
          </w:rPr>
          <m:t>|=113.</m:t>
        </m:r>
      </m:oMath>
      <w:r>
        <w:rPr>
          <w:rFonts w:ascii="Times New Roman" w:hAnsi="Times New Roman" w:cs="Times New Roman"/>
        </w:rPr>
        <w:t xml:space="preserve"> Top-3 Pareto-layer capture was defined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R</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Top3</m:t>
                </m:r>
                <m:ctrlPr>
                  <w:rPr>
                    <w:rFonts w:ascii="Cambria Math" w:hAnsi="Cambria Math" w:cs="Times New Roman"/>
                  </w:rPr>
                </m:ctrlPr>
              </m:e>
            </m:phant>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f>
          <m:fPr>
            <m:ctrlPr>
              <w:rPr>
                <w:rFonts w:ascii="Cambria Math" w:hAnsi="Cambria Math" w:cs="Times New Roman"/>
              </w:rPr>
            </m:ctrlPr>
          </m:fPr>
          <m:num>
            <m:d>
              <m:dPr>
                <m:begChr m:val="|"/>
                <m:end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≤3</m:t>
                    </m:r>
                    <m:ctrlPr>
                      <w:rPr>
                        <w:rFonts w:ascii="Cambria Math" w:hAnsi="Cambria Math" w:cs="Times New Roman"/>
                      </w:rPr>
                    </m:ctrlPr>
                  </m:sub>
                </m:sSub>
                <m:ctrlPr>
                  <w:rPr>
                    <w:rFonts w:ascii="Cambria Math" w:hAnsi="Cambria Math" w:cs="Times New Roman"/>
                  </w:rPr>
                </m:ctrlPr>
              </m:e>
            </m:d>
            <m:ctrlPr>
              <w:rPr>
                <w:rFonts w:ascii="Cambria Math" w:hAnsi="Cambria Math" w:cs="Times New Roman"/>
              </w:rPr>
            </m:ctrlPr>
          </m:num>
          <m:den>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≤3</m:t>
                </m:r>
                <m:ctrlPr>
                  <w:rPr>
                    <w:rFonts w:ascii="Cambria Math" w:hAnsi="Cambria Math" w:cs="Times New Roman"/>
                  </w:rPr>
                </m:ctrlPr>
              </m:sub>
            </m:sSub>
            <m:r>
              <m:rPr/>
              <w:rPr>
                <w:rFonts w:ascii="Cambria Math" w:hAnsi="Cambria Math" w:cs="Times New Roman"/>
              </w:rPr>
              <m:t>|</m:t>
            </m:r>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(61)</w:t>
      </w:r>
    </w:p>
    <w:p>
      <w:pPr>
        <w:spacing w:after="120" w:line="256" w:lineRule="auto"/>
        <w:ind w:firstLine="420"/>
        <w:rPr>
          <w:rFonts w:ascii="Times New Roman" w:hAnsi="Times New Roman" w:cs="Times New Roman"/>
        </w:rPr>
      </w:pPr>
      <w:r>
        <w:rPr>
          <w:rFonts w:ascii="Times New Roman" w:hAnsi="Times New Roman" w:cs="Times New Roman"/>
        </w:rPr>
        <w:t>Strict-front recovery evaluates recovery of the exact oracle non-dominated boundary, whereas Top-3 capture evaluates entry into the broader Pareto-relevant region represented by the first three non-dominated layers. The latter is less sensitive to small objective differences that assign otherwise similar high-performing materials to adjacent Pareto layers.</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6.4.1.4 Target-specific Top-1% recovery</w:t>
      </w:r>
    </w:p>
    <w:p>
      <w:pPr>
        <w:spacing w:after="120" w:line="256" w:lineRule="auto"/>
        <w:ind w:firstLine="420"/>
        <w:rPr>
          <w:rFonts w:ascii="Times New Roman" w:hAnsi="Times New Roman" w:cs="Times New Roman"/>
        </w:rPr>
      </w:pPr>
      <w:r>
        <w:rPr>
          <w:rFonts w:ascii="Times New Roman" w:hAnsi="Times New Roman" w:cs="Times New Roman"/>
        </w:rPr>
        <w:t xml:space="preserve">For adsorption target </w:t>
      </w:r>
      <m:oMath>
        <m:r>
          <m:rPr/>
          <w:rPr>
            <w:rFonts w:ascii="Cambria Math" w:hAnsi="Cambria Math" w:cs="Times New Roman"/>
          </w:rPr>
          <m:t>k∈{</m:t>
        </m:r>
        <m:phant>
          <m:phantPr>
            <m:ctrlPr>
              <w:rPr>
                <w:rFonts w:ascii="Cambria Math" w:hAnsi="Cambria Math" w:cs="Times New Roman"/>
              </w:rPr>
            </m:ctrlPr>
          </m:phantPr>
          <m:e>
            <m:r>
              <m:rPr>
                <m:sty m:val="p"/>
              </m:rPr>
              <w:rPr>
                <w:rFonts w:ascii="Cambria Math" w:hAnsi="Cambria Math" w:cs="Times New Roman"/>
              </w:rPr>
              <m:t>CEES</m:t>
            </m:r>
            <m:ctrlPr>
              <w:rPr>
                <w:rFonts w:ascii="Cambria Math" w:hAnsi="Cambria Math" w:cs="Times New Roman"/>
              </w:rPr>
            </m:ctrlPr>
          </m:e>
        </m:phant>
        <m:r>
          <m:rPr/>
          <w:rPr>
            <w:rFonts w:ascii="Cambria Math" w:hAnsi="Cambria Math" w:cs="Times New Roman"/>
          </w:rPr>
          <m:t>,</m:t>
        </m:r>
        <m:phant>
          <m:phantPr>
            <m:ctrlPr>
              <w:rPr>
                <w:rFonts w:ascii="Cambria Math" w:hAnsi="Cambria Math" w:cs="Times New Roman"/>
              </w:rPr>
            </m:ctrlPr>
          </m:phantPr>
          <m:e>
            <m:r>
              <m:rPr>
                <m:sty m:val="p"/>
              </m:rPr>
              <w:rPr>
                <w:rFonts w:ascii="Cambria Math" w:hAnsi="Cambria Math" w:cs="Times New Roman"/>
              </w:rPr>
              <m:t>DMMP</m:t>
            </m:r>
            <m:ctrlPr>
              <w:rPr>
                <w:rFonts w:ascii="Cambria Math" w:hAnsi="Cambria Math" w:cs="Times New Roman"/>
              </w:rPr>
            </m:ctrlPr>
          </m:e>
        </m:phant>
        <m:r>
          <m:rPr/>
          <w:rPr>
            <w:rFonts w:ascii="Cambria Math" w:hAnsi="Cambria Math" w:cs="Times New Roman"/>
          </w:rPr>
          <m:t>,</m:t>
        </m:r>
        <m:phant>
          <m:phantPr>
            <m:ctrlPr>
              <w:rPr>
                <w:rFonts w:ascii="Cambria Math" w:hAnsi="Cambria Math" w:cs="Times New Roman"/>
              </w:rPr>
            </m:ctrlPr>
          </m:phantPr>
          <m:e>
            <m:r>
              <m:rPr>
                <m:sty m:val="p"/>
              </m:rPr>
              <w:rPr>
                <w:rFonts w:ascii="Cambria Math" w:hAnsi="Cambria Math" w:cs="Times New Roman"/>
              </w:rPr>
              <m:t>EtCl</m:t>
            </m:r>
            <m:ctrlPr>
              <w:rPr>
                <w:rFonts w:ascii="Cambria Math" w:hAnsi="Cambria Math" w:cs="Times New Roman"/>
              </w:rPr>
            </m:ctrlPr>
          </m:e>
        </m:phant>
        <m:r>
          <m:rPr/>
          <w:rPr>
            <w:rFonts w:ascii="Cambria Math" w:hAnsi="Cambria Math" w:cs="Times New Roman"/>
          </w:rPr>
          <m:t>},</m:t>
        </m:r>
      </m:oMath>
      <w:r>
        <w:rPr>
          <w:rFonts w:ascii="Times New Roman" w:hAnsi="Times New Roman" w:cs="Times New Roman"/>
        </w:rPr>
        <w:t xml:space="preserve"> let </w:t>
      </w:r>
      <m:oMath>
        <m:sSubSup>
          <m:sSubSupPr>
            <m:ctrlPr>
              <w:rPr>
                <w:rFonts w:ascii="Cambria Math" w:hAnsi="Cambria Math" w:cs="Times New Roman"/>
              </w:rPr>
            </m:ctrlPr>
          </m:sSubSupPr>
          <m:e>
            <m:r>
              <m:rPr/>
              <w:rPr>
                <w:rFonts w:ascii="Cambria Math" w:hAnsi="Cambria Math" w:cs="Times New Roman"/>
              </w:rPr>
              <m:t>T</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r>
              <m:rPr/>
              <w:rPr>
                <w:rFonts w:ascii="Cambria Math" w:hAnsi="Cambria Math" w:cs="Times New Roman"/>
              </w:rPr>
              <m:t>1</m:t>
            </m:r>
            <m:r>
              <m:rPr>
                <m:sty m:val="p"/>
              </m:rPr>
              <w:rPr>
                <w:rFonts w:ascii="Cambria Math" w:hAnsi="Cambria Math" w:cs="Times New Roman"/>
              </w:rPr>
              <m:t>%</m:t>
            </m:r>
            <m:ctrlPr>
              <w:rPr>
                <w:rFonts w:ascii="Cambria Math" w:hAnsi="Cambria Math" w:cs="Times New Roman"/>
              </w:rPr>
            </m:ctrlPr>
          </m:sup>
        </m:sSubSup>
      </m:oMath>
      <w:r>
        <w:rPr>
          <w:rFonts w:ascii="Times New Roman" w:hAnsi="Times New Roman" w:cs="Times New Roman"/>
        </w:rPr>
        <w:t xml:space="preserve">denote the fixed Top-1% set defined from the descending full-library oracle ranking in Section S3.3. Each target-specific set contained 76 MOFs. Target-specific Top-1% recovery was defined as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rPr>
            </m:ctrlPr>
          </m:sSubSupPr>
          <m:e>
            <m:r>
              <m:rPr/>
              <w:rPr>
                <w:rFonts w:ascii="Cambria Math" w:hAnsi="Cambria Math" w:cs="Times New Roman"/>
              </w:rPr>
              <m:t>R</m:t>
            </m:r>
            <m:ctrlPr>
              <w:rPr>
                <w:rFonts w:ascii="Cambria Math" w:hAnsi="Cambria Math" w:cs="Times New Roman"/>
              </w:rPr>
            </m:ctrlPr>
          </m:e>
          <m:sub>
            <m:r>
              <m:rPr/>
              <w:rPr>
                <w:rFonts w:ascii="Cambria Math" w:hAnsi="Cambria Math" w:cs="Times New Roman"/>
              </w:rPr>
              <m:t>k,c,s</m:t>
            </m:r>
            <m:ctrlPr>
              <w:rPr>
                <w:rFonts w:ascii="Cambria Math" w:hAnsi="Cambria Math" w:cs="Times New Roman"/>
              </w:rPr>
            </m:ctrlPr>
          </m:sub>
          <m:sup>
            <m:r>
              <m:rPr/>
              <w:rPr>
                <w:rFonts w:ascii="Cambria Math" w:hAnsi="Cambria Math" w:cs="Times New Roman"/>
              </w:rPr>
              <m:t>1%</m:t>
            </m:r>
            <m:ctrlPr>
              <w:rPr>
                <w:rFonts w:ascii="Cambria Math" w:hAnsi="Cambria Math" w:cs="Times New Roman"/>
              </w:rPr>
            </m:ctrlPr>
          </m:sup>
        </m:sSubSup>
        <m:r>
          <m:rPr/>
          <w:rPr>
            <w:rFonts w:ascii="Cambria Math" w:hAnsi="Cambria Math" w:cs="Times New Roman"/>
          </w:rPr>
          <m:t>(b)=</m:t>
        </m:r>
        <m:f>
          <m:fPr>
            <m:ctrlPr>
              <w:rPr>
                <w:rFonts w:ascii="Cambria Math" w:hAnsi="Cambria Math" w:cs="Times New Roman"/>
              </w:rPr>
            </m:ctrlPr>
          </m:fPr>
          <m:num>
            <m:d>
              <m:dPr>
                <m:begChr m:val="|"/>
                <m:end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(b)∩</m:t>
                </m:r>
                <m:sSubSup>
                  <m:sSubSupPr>
                    <m:ctrlPr>
                      <w:rPr>
                        <w:rFonts w:ascii="Cambria Math" w:hAnsi="Cambria Math" w:cs="Times New Roman"/>
                      </w:rPr>
                    </m:ctrlPr>
                  </m:sSubSupPr>
                  <m:e>
                    <m:r>
                      <m:rPr/>
                      <w:rPr>
                        <w:rFonts w:ascii="Cambria Math" w:hAnsi="Cambria Math" w:cs="Times New Roman"/>
                      </w:rPr>
                      <m:t>T</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r>
                      <m:rPr/>
                      <w:rPr>
                        <w:rFonts w:ascii="Cambria Math" w:hAnsi="Cambria Math" w:cs="Times New Roman"/>
                      </w:rPr>
                      <m:t>1%</m:t>
                    </m:r>
                    <m:ctrlPr>
                      <w:rPr>
                        <w:rFonts w:ascii="Cambria Math" w:hAnsi="Cambria Math" w:cs="Times New Roman"/>
                      </w:rPr>
                    </m:ctrlPr>
                  </m:sup>
                </m:sSubSup>
                <m:ctrlPr>
                  <w:rPr>
                    <w:rFonts w:ascii="Cambria Math" w:hAnsi="Cambria Math" w:cs="Times New Roman"/>
                  </w:rPr>
                </m:ctrlPr>
              </m:e>
            </m:d>
            <m:ctrlPr>
              <w:rPr>
                <w:rFonts w:ascii="Cambria Math" w:hAnsi="Cambria Math" w:cs="Times New Roman"/>
              </w:rPr>
            </m:ctrlPr>
          </m:num>
          <m:den>
            <m:r>
              <m:rPr/>
              <w:rPr>
                <w:rFonts w:ascii="Cambria Math" w:hAnsi="Cambria Math" w:cs="Times New Roman"/>
              </w:rPr>
              <m:t>|</m:t>
            </m:r>
            <m:sSubSup>
              <m:sSubSupPr>
                <m:ctrlPr>
                  <w:rPr>
                    <w:rFonts w:ascii="Cambria Math" w:hAnsi="Cambria Math" w:cs="Times New Roman"/>
                  </w:rPr>
                </m:ctrlPr>
              </m:sSubSupPr>
              <m:e>
                <m:r>
                  <m:rPr/>
                  <w:rPr>
                    <w:rFonts w:ascii="Cambria Math" w:hAnsi="Cambria Math" w:cs="Times New Roman"/>
                  </w:rPr>
                  <m:t>T</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r>
                  <m:rPr/>
                  <w:rPr>
                    <w:rFonts w:ascii="Cambria Math" w:hAnsi="Cambria Math" w:cs="Times New Roman"/>
                  </w:rPr>
                  <m:t>1%</m:t>
                </m:r>
                <m:ctrlPr>
                  <w:rPr>
                    <w:rFonts w:ascii="Cambria Math" w:hAnsi="Cambria Math" w:cs="Times New Roman"/>
                  </w:rPr>
                </m:ctrlPr>
              </m:sup>
            </m:sSubSup>
            <m:r>
              <m:rPr/>
              <w:rPr>
                <w:rFonts w:ascii="Cambria Math" w:hAnsi="Cambria Math" w:cs="Times New Roman"/>
              </w:rPr>
              <m:t>|</m:t>
            </m:r>
            <m:ctrlPr>
              <w:rPr>
                <w:rFonts w:ascii="Cambria Math" w:hAnsi="Cambria Math" w:cs="Times New Roman"/>
              </w:rPr>
            </m:ctrlPr>
          </m:den>
        </m:f>
        <m:r>
          <m:rPr/>
          <w:rPr>
            <w:rFonts w:ascii="Cambria Math" w:hAnsi="Cambria Math" w:cs="Times New Roman"/>
          </w:rPr>
          <m:t>,|</m:t>
        </m:r>
        <m:sSubSup>
          <m:sSubSupPr>
            <m:ctrlPr>
              <w:rPr>
                <w:rFonts w:ascii="Cambria Math" w:hAnsi="Cambria Math" w:cs="Times New Roman"/>
              </w:rPr>
            </m:ctrlPr>
          </m:sSubSupPr>
          <m:e>
            <m:r>
              <m:rPr/>
              <w:rPr>
                <w:rFonts w:ascii="Cambria Math" w:hAnsi="Cambria Math" w:cs="Times New Roman"/>
              </w:rPr>
              <m:t>T</m:t>
            </m:r>
            <m:ctrlPr>
              <w:rPr>
                <w:rFonts w:ascii="Cambria Math" w:hAnsi="Cambria Math" w:cs="Times New Roman"/>
              </w:rPr>
            </m:ctrlPr>
          </m:e>
          <m:sub>
            <m:r>
              <m:rPr/>
              <w:rPr>
                <w:rFonts w:ascii="Cambria Math" w:hAnsi="Cambria Math" w:cs="Times New Roman"/>
              </w:rPr>
              <m:t>k</m:t>
            </m:r>
            <m:ctrlPr>
              <w:rPr>
                <w:rFonts w:ascii="Cambria Math" w:hAnsi="Cambria Math" w:cs="Times New Roman"/>
              </w:rPr>
            </m:ctrlPr>
          </m:sub>
          <m:sup>
            <m:r>
              <m:rPr/>
              <w:rPr>
                <w:rFonts w:ascii="Cambria Math" w:hAnsi="Cambria Math" w:cs="Times New Roman"/>
              </w:rPr>
              <m:t>1%</m:t>
            </m:r>
            <m:ctrlPr>
              <w:rPr>
                <w:rFonts w:ascii="Cambria Math" w:hAnsi="Cambria Math" w:cs="Times New Roman"/>
              </w:rPr>
            </m:ctrlPr>
          </m:sup>
        </m:sSubSup>
        <m:r>
          <m:rPr/>
          <w:rPr>
            <w:rFonts w:ascii="Cambria Math" w:hAnsi="Cambria Math" w:cs="Times New Roman"/>
          </w:rPr>
          <m:t>|=76.</m:t>
        </m:r>
      </m:oMath>
      <w:r>
        <w:rPr>
          <w:rFonts w:ascii="Times New Roman" w:hAnsi="Times New Roman" w:cs="Times New Roman"/>
          <w:sz w:val="20"/>
          <w:szCs w:val="20"/>
        </w:rPr>
        <w:tab/>
      </w:r>
      <w:r>
        <w:rPr>
          <w:rFonts w:ascii="Times New Roman" w:hAnsi="Times New Roman" w:cs="Times New Roman"/>
          <w:sz w:val="20"/>
          <w:szCs w:val="20"/>
        </w:rPr>
        <w:t>(62)</w:t>
      </w:r>
    </w:p>
    <w:p>
      <w:pPr>
        <w:spacing w:after="120" w:line="256" w:lineRule="auto"/>
        <w:ind w:firstLine="420"/>
        <w:rPr>
          <w:rFonts w:ascii="Times New Roman" w:hAnsi="Times New Roman" w:cs="Times New Roman"/>
        </w:rPr>
      </w:pPr>
      <w:r>
        <w:rPr>
          <w:rFonts w:ascii="Times New Roman" w:hAnsi="Times New Roman" w:cs="Times New Roman"/>
        </w:rPr>
        <w:t xml:space="preserve">The oracle Top-1% sets were constructed once from the complete 7,532-MOF library and were not recomputed within individual queried sets. The three target-specific recovery values were retained separately because a policy could preferentially enrich one adsorption objective without producing an equivalent improvement for the other two objectives. Where a single aggregate summary was required, mean Top-1% recovery was calculated as the unweighted arithmetic mean over the three targets: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Sup>
          <m:sSubSupPr>
            <m:ctrlPr>
              <w:rPr>
                <w:rFonts w:ascii="Cambria Math" w:hAnsi="Cambria Math" w:cs="Times New Roman"/>
              </w:rPr>
            </m:ctrlPr>
          </m:sSubSupPr>
          <m:e>
            <m:borderBox>
              <m:borderBoxPr>
                <m:hideBot m:val="1"/>
                <m:hideLeft m:val="1"/>
                <m:hideRight m:val="1"/>
                <m:ctrlPr>
                  <w:rPr>
                    <w:rFonts w:ascii="Cambria Math" w:hAnsi="Cambria Math" w:cs="Times New Roman"/>
                  </w:rPr>
                </m:ctrlPr>
              </m:borderBoxPr>
              <m:e>
                <m:r>
                  <m:rPr/>
                  <w:rPr>
                    <w:rFonts w:ascii="Cambria Math" w:hAnsi="Cambria Math" w:cs="Times New Roman"/>
                  </w:rPr>
                  <m:t>R</m:t>
                </m:r>
                <m:ctrlPr>
                  <w:rPr>
                    <w:rFonts w:ascii="Cambria Math" w:hAnsi="Cambria Math" w:cs="Times New Roman"/>
                  </w:rPr>
                </m:ctrlPr>
              </m:e>
            </m:borderBox>
            <m:ctrlPr>
              <w:rPr>
                <w:rFonts w:ascii="Cambria Math" w:hAnsi="Cambria Math" w:cs="Times New Roman"/>
              </w:rPr>
            </m:ctrlPr>
          </m:e>
          <m:sub>
            <m:r>
              <m:rPr/>
              <w:rPr>
                <w:rFonts w:ascii="Cambria Math" w:hAnsi="Cambria Math" w:cs="Times New Roman"/>
              </w:rPr>
              <m:t>c,s</m:t>
            </m:r>
            <m:ctrlPr>
              <w:rPr>
                <w:rFonts w:ascii="Cambria Math" w:hAnsi="Cambria Math" w:cs="Times New Roman"/>
              </w:rPr>
            </m:ctrlPr>
          </m:sub>
          <m:sup>
            <m:r>
              <m:rPr/>
              <w:rPr>
                <w:rFonts w:ascii="Cambria Math" w:hAnsi="Cambria Math" w:cs="Times New Roman"/>
              </w:rPr>
              <m:t>1%</m:t>
            </m:r>
            <m:ctrlPr>
              <w:rPr>
                <w:rFonts w:ascii="Cambria Math" w:hAnsi="Cambria Math" w:cs="Times New Roman"/>
              </w:rPr>
            </m:ctrlPr>
          </m:sup>
        </m:sSubSup>
        <m:r>
          <m:rPr/>
          <w:rPr>
            <w:rFonts w:ascii="Cambria Math" w:hAnsi="Cambria Math" w:cs="Times New Roman"/>
          </w:rPr>
          <m:t>(b)=</m:t>
        </m:r>
        <m:f>
          <m:fPr>
            <m:ctrlPr>
              <w:rPr>
                <w:rFonts w:ascii="Cambria Math" w:hAnsi="Cambria Math" w:cs="Times New Roman"/>
              </w:rPr>
            </m:ctrlPr>
          </m:fPr>
          <m:num>
            <m:r>
              <m:rPr/>
              <w:rPr>
                <w:rFonts w:ascii="Cambria Math" w:hAnsi="Cambria Math" w:cs="Times New Roman"/>
              </w:rPr>
              <m:t>1</m:t>
            </m:r>
            <m:ctrlPr>
              <w:rPr>
                <w:rFonts w:ascii="Cambria Math" w:hAnsi="Cambria Math" w:cs="Times New Roman"/>
              </w:rPr>
            </m:ctrlPr>
          </m:num>
          <m:den>
            <m:r>
              <m:rPr/>
              <w:rPr>
                <w:rFonts w:ascii="Cambria Math" w:hAnsi="Cambria Math" w:cs="Times New Roman"/>
              </w:rPr>
              <m:t>3</m:t>
            </m:r>
            <m:ctrlPr>
              <w:rPr>
                <w:rFonts w:ascii="Cambria Math" w:hAnsi="Cambria Math" w:cs="Times New Roman"/>
              </w:rPr>
            </m:ctrlPr>
          </m:den>
        </m:f>
        <m:d>
          <m:dPr>
            <m:begChr m:val="["/>
            <m:endChr m:val="]"/>
            <m:ctrlPr>
              <w:rPr>
                <w:rFonts w:ascii="Cambria Math" w:hAnsi="Cambria Math" w:cs="Times New Roman"/>
              </w:rPr>
            </m:ctrlPr>
          </m:dPr>
          <m:e>
            <m:sSubSup>
              <m:sSubSupPr>
                <m:ctrlPr>
                  <w:rPr>
                    <w:rFonts w:ascii="Cambria Math" w:hAnsi="Cambria Math" w:cs="Times New Roman"/>
                  </w:rPr>
                </m:ctrlPr>
              </m:sSubSupPr>
              <m:e>
                <m:r>
                  <m:rPr/>
                  <w:rPr>
                    <w:rFonts w:ascii="Cambria Math" w:hAnsi="Cambria Math" w:cs="Times New Roman"/>
                  </w:rPr>
                  <m:t>R</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CEES</m:t>
                    </m:r>
                    <m:ctrlPr>
                      <w:rPr>
                        <w:rFonts w:ascii="Cambria Math" w:hAnsi="Cambria Math" w:cs="Times New Roman"/>
                      </w:rPr>
                    </m:ctrlPr>
                  </m:e>
                </m:phant>
                <m:r>
                  <m:rPr/>
                  <w:rPr>
                    <w:rFonts w:ascii="Cambria Math" w:hAnsi="Cambria Math" w:cs="Times New Roman"/>
                  </w:rPr>
                  <m:t>,c,s</m:t>
                </m:r>
                <m:ctrlPr>
                  <w:rPr>
                    <w:rFonts w:ascii="Cambria Math" w:hAnsi="Cambria Math" w:cs="Times New Roman"/>
                  </w:rPr>
                </m:ctrlPr>
              </m:sub>
              <m:sup>
                <m:r>
                  <m:rPr/>
                  <w:rPr>
                    <w:rFonts w:ascii="Cambria Math" w:hAnsi="Cambria Math" w:cs="Times New Roman"/>
                  </w:rPr>
                  <m:t>1%</m:t>
                </m:r>
                <m:ctrlPr>
                  <w:rPr>
                    <w:rFonts w:ascii="Cambria Math" w:hAnsi="Cambria Math" w:cs="Times New Roman"/>
                  </w:rPr>
                </m:ctrlPr>
              </m:sup>
            </m:sSubSup>
            <m:r>
              <m:rPr/>
              <w:rPr>
                <w:rFonts w:ascii="Cambria Math" w:hAnsi="Cambria Math" w:cs="Times New Roman"/>
              </w:rPr>
              <m:t>(b)+</m:t>
            </m:r>
            <m:sSubSup>
              <m:sSubSupPr>
                <m:ctrlPr>
                  <w:rPr>
                    <w:rFonts w:ascii="Cambria Math" w:hAnsi="Cambria Math" w:cs="Times New Roman"/>
                  </w:rPr>
                </m:ctrlPr>
              </m:sSubSupPr>
              <m:e>
                <m:r>
                  <m:rPr/>
                  <w:rPr>
                    <w:rFonts w:ascii="Cambria Math" w:hAnsi="Cambria Math" w:cs="Times New Roman"/>
                  </w:rPr>
                  <m:t>R</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DMMP</m:t>
                    </m:r>
                    <m:ctrlPr>
                      <w:rPr>
                        <w:rFonts w:ascii="Cambria Math" w:hAnsi="Cambria Math" w:cs="Times New Roman"/>
                      </w:rPr>
                    </m:ctrlPr>
                  </m:e>
                </m:phant>
                <m:r>
                  <m:rPr/>
                  <w:rPr>
                    <w:rFonts w:ascii="Cambria Math" w:hAnsi="Cambria Math" w:cs="Times New Roman"/>
                  </w:rPr>
                  <m:t>,c,s</m:t>
                </m:r>
                <m:ctrlPr>
                  <w:rPr>
                    <w:rFonts w:ascii="Cambria Math" w:hAnsi="Cambria Math" w:cs="Times New Roman"/>
                  </w:rPr>
                </m:ctrlPr>
              </m:sub>
              <m:sup>
                <m:r>
                  <m:rPr/>
                  <w:rPr>
                    <w:rFonts w:ascii="Cambria Math" w:hAnsi="Cambria Math" w:cs="Times New Roman"/>
                  </w:rPr>
                  <m:t>1%</m:t>
                </m:r>
                <m:ctrlPr>
                  <w:rPr>
                    <w:rFonts w:ascii="Cambria Math" w:hAnsi="Cambria Math" w:cs="Times New Roman"/>
                  </w:rPr>
                </m:ctrlPr>
              </m:sup>
            </m:sSubSup>
            <m:r>
              <m:rPr/>
              <w:rPr>
                <w:rFonts w:ascii="Cambria Math" w:hAnsi="Cambria Math" w:cs="Times New Roman"/>
              </w:rPr>
              <m:t>(b)+</m:t>
            </m:r>
            <m:sSubSup>
              <m:sSubSupPr>
                <m:ctrlPr>
                  <w:rPr>
                    <w:rFonts w:ascii="Cambria Math" w:hAnsi="Cambria Math" w:cs="Times New Roman"/>
                  </w:rPr>
                </m:ctrlPr>
              </m:sSubSupPr>
              <m:e>
                <m:r>
                  <m:rPr/>
                  <w:rPr>
                    <w:rFonts w:ascii="Cambria Math" w:hAnsi="Cambria Math" w:cs="Times New Roman"/>
                  </w:rPr>
                  <m:t>R</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EtCl</m:t>
                    </m:r>
                    <m:ctrlPr>
                      <w:rPr>
                        <w:rFonts w:ascii="Cambria Math" w:hAnsi="Cambria Math" w:cs="Times New Roman"/>
                      </w:rPr>
                    </m:ctrlPr>
                  </m:e>
                </m:phant>
                <m:r>
                  <m:rPr/>
                  <w:rPr>
                    <w:rFonts w:ascii="Cambria Math" w:hAnsi="Cambria Math" w:cs="Times New Roman"/>
                  </w:rPr>
                  <m:t>,c,s</m:t>
                </m:r>
                <m:ctrlPr>
                  <w:rPr>
                    <w:rFonts w:ascii="Cambria Math" w:hAnsi="Cambria Math" w:cs="Times New Roman"/>
                  </w:rPr>
                </m:ctrlPr>
              </m:sub>
              <m:sup>
                <m:r>
                  <m:rPr/>
                  <w:rPr>
                    <w:rFonts w:ascii="Cambria Math" w:hAnsi="Cambria Math" w:cs="Times New Roman"/>
                  </w:rPr>
                  <m:t>1%</m:t>
                </m:r>
                <m:ctrlPr>
                  <w:rPr>
                    <w:rFonts w:ascii="Cambria Math" w:hAnsi="Cambria Math" w:cs="Times New Roman"/>
                  </w:rPr>
                </m:ctrlPr>
              </m:sup>
            </m:sSubSup>
            <m:r>
              <m:rPr/>
              <w:rPr>
                <w:rFonts w:ascii="Cambria Math" w:hAnsi="Cambria Math" w:cs="Times New Roman"/>
              </w:rPr>
              <m:t>(b)</m:t>
            </m:r>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(63)</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6.4.2 Material-level strict-front overlap</w:t>
      </w:r>
    </w:p>
    <w:p>
      <w:pPr>
        <w:spacing w:line="276" w:lineRule="auto"/>
        <w:ind w:firstLine="420"/>
        <w:rPr>
          <w:rFonts w:ascii="Times New Roman" w:hAnsi="Times New Roman" w:cs="Times New Roman"/>
        </w:rPr>
      </w:pPr>
      <w:r>
        <w:rPr>
          <w:rFonts w:ascii="Times New Roman" w:hAnsi="Times New Roman" w:cs="Times New Roman"/>
        </w:rPr>
        <w:t>Aggregate strict-front recovery quantifies the number of oracle-front materials discovered by a configuration but does not identify whether two configurations recovered the same materials. Material-level overlap between the representative RepMOBO-Manual and RepMOBO-Hybrid configurations was therefore evaluated separately within each matched seed.</w:t>
      </w:r>
    </w:p>
    <w:p>
      <w:pPr>
        <w:spacing w:line="276" w:lineRule="auto"/>
        <w:ind w:firstLine="420"/>
        <w:rPr>
          <w:rFonts w:ascii="Times New Roman" w:hAnsi="Times New Roman" w:cs="Times New Roman"/>
        </w:rPr>
      </w:pPr>
      <w:r>
        <w:rPr>
          <w:rFonts w:ascii="Times New Roman" w:hAnsi="Times New Roman" w:cs="Times New Roman"/>
        </w:rPr>
        <w:t xml:space="preserve">For seed </w:t>
      </w:r>
      <m:oMath>
        <m:r>
          <m:rPr/>
          <w:rPr>
            <w:rFonts w:ascii="Cambria Math" w:hAnsi="Cambria Math" w:cs="Times New Roman"/>
          </w:rPr>
          <m:t>s</m:t>
        </m:r>
      </m:oMath>
      <w:r>
        <w:rPr>
          <w:rFonts w:ascii="Times New Roman" w:hAnsi="Times New Roman" w:cs="Times New Roman"/>
        </w:rPr>
        <w:t xml:space="preserve"> and cumulative query budget </w:t>
      </w:r>
      <m:oMath>
        <m:r>
          <m:rPr/>
          <w:rPr>
            <w:rFonts w:ascii="Cambria Math" w:hAnsi="Cambria Math" w:cs="Times New Roman"/>
          </w:rPr>
          <m:t>b</m:t>
        </m:r>
      </m:oMath>
      <w:r>
        <w:rPr>
          <w:rFonts w:ascii="Times New Roman" w:hAnsi="Times New Roman" w:cs="Times New Roman"/>
        </w:rPr>
        <w:t xml:space="preserve">, let </w:t>
      </w:r>
      <m:oMath>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oMath>
      <w:r>
        <w:rPr>
          <w:rFonts w:ascii="Times New Roman" w:hAnsi="Times New Roman" w:cs="Times New Roman"/>
        </w:rPr>
        <w:t xml:space="preserve"> and </w:t>
      </w:r>
      <m:oMath>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H</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H</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P</m:t>
            </m:r>
            <m:ctrlPr>
              <w:rPr>
                <w:rFonts w:ascii="Cambria Math" w:hAnsi="Cambria Math" w:cs="Times New Roman"/>
              </w:rPr>
            </m:ctrlPr>
          </m:e>
          <m:sub>
            <m:r>
              <m:rPr/>
              <w:rPr>
                <w:rFonts w:ascii="Cambria Math" w:hAnsi="Cambria Math" w:cs="Times New Roman"/>
              </w:rPr>
              <m:t>1</m:t>
            </m:r>
            <m:ctrlPr>
              <w:rPr>
                <w:rFonts w:ascii="Cambria Math" w:hAnsi="Cambria Math" w:cs="Times New Roman"/>
              </w:rPr>
            </m:ctrlPr>
          </m:sub>
        </m:sSub>
      </m:oMath>
      <w:r>
        <w:rPr>
          <w:rFonts w:ascii="Times New Roman" w:hAnsi="Times New Roman" w:cs="Times New Roman"/>
        </w:rPr>
        <w:t xml:space="preserve"> denote the strict-front materials recovered by RepMOBO-Manual and RepMOBO-Hybrid, respectively. Their material-identity overlap was quantified using the Jaccard index,</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J</m:t>
            </m:r>
            <m:ctrlPr>
              <w:rPr>
                <w:rFonts w:ascii="Cambria Math" w:hAnsi="Cambria Math" w:cs="Times New Roman"/>
              </w:rPr>
            </m:ctrlPr>
          </m:e>
          <m:sub>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f>
          <m:fPr>
            <m:ctrlPr>
              <w:rPr>
                <w:rFonts w:ascii="Cambria Math" w:hAnsi="Cambria Math" w:cs="Times New Roman"/>
              </w:rPr>
            </m:ctrlPr>
          </m:fPr>
          <m:num>
            <m:d>
              <m:dPr>
                <m:begChr m:val="|"/>
                <m:end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H</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ctrlPr>
                  <w:rPr>
                    <w:rFonts w:ascii="Cambria Math" w:hAnsi="Cambria Math" w:cs="Times New Roman"/>
                  </w:rPr>
                </m:ctrlPr>
              </m:e>
            </m:d>
            <m:ctrlPr>
              <w:rPr>
                <w:rFonts w:ascii="Cambria Math" w:hAnsi="Cambria Math" w:cs="Times New Roman"/>
              </w:rPr>
            </m:ctrlPr>
          </m:num>
          <m:den>
            <m:d>
              <m:dPr>
                <m:begChr m:val="|"/>
                <m:end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H</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ctrlPr>
                  <w:rPr>
                    <w:rFonts w:ascii="Cambria Math" w:hAnsi="Cambria Math" w:cs="Times New Roman"/>
                  </w:rPr>
                </m:ctrlPr>
              </m:e>
            </m:d>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(64)</w:t>
      </w:r>
    </w:p>
    <w:p>
      <w:pPr>
        <w:spacing w:line="276" w:lineRule="auto"/>
        <w:ind w:firstLine="420"/>
        <w:rPr>
          <w:rFonts w:ascii="Times New Roman" w:hAnsi="Times New Roman" w:cs="Times New Roman"/>
        </w:rPr>
      </w:pPr>
      <w:r>
        <w:rPr>
          <w:rFonts w:ascii="Times New Roman" w:hAnsi="Times New Roman" w:cs="Times New Roman"/>
        </w:rPr>
        <w:t xml:space="preserve">A value of one indicates identical recovered strict-front sets, whereas a value of zero indicates that the two configurations recovered disjoint strict-front sets. The recovered materials were additionally decomposed into three mutually exclusive components: shared materials in </w:t>
      </w:r>
      <m:oMath>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H</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oMath>
      <w:r>
        <w:rPr>
          <w:rFonts w:ascii="Times New Roman" w:hAnsi="Times New Roman" w:cs="Times New Roman"/>
        </w:rPr>
        <w:t xml:space="preserve">, Manual-only materials in </w:t>
      </w:r>
      <m:oMath>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H</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oMath>
      <w:r>
        <w:rPr>
          <w:rFonts w:ascii="Times New Roman" w:hAnsi="Times New Roman" w:cs="Times New Roman"/>
        </w:rPr>
        <w:t xml:space="preserve"> and Hybrid-only materials in </w:t>
      </w:r>
      <m:oMath>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H</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M</m:t>
                </m:r>
                <m:ctrlPr>
                  <w:rPr>
                    <w:rFonts w:ascii="Cambria Math" w:hAnsi="Cambria Math" w:cs="Times New Roman"/>
                  </w:rPr>
                </m:ctrlPr>
              </m:e>
            </m:phant>
            <m:r>
              <m:rPr/>
              <w:rPr>
                <w:rFonts w:ascii="Cambria Math" w:hAnsi="Cambria Math" w:cs="Times New Roman"/>
              </w:rPr>
              <m:t>,s</m:t>
            </m:r>
            <m:ctrlPr>
              <w:rPr>
                <w:rFonts w:ascii="Cambria Math" w:hAnsi="Cambria Math" w:cs="Times New Roman"/>
              </w:rPr>
            </m:ctrlPr>
          </m:sub>
        </m:sSub>
        <m:r>
          <m:rPr/>
          <w:rPr>
            <w:rFonts w:ascii="Cambria Math" w:hAnsi="Cambria Math" w:cs="Times New Roman"/>
          </w:rPr>
          <m:t>(b).</m:t>
        </m:r>
      </m:oMath>
      <w:r>
        <w:rPr>
          <w:rFonts w:ascii="Times New Roman" w:hAnsi="Times New Roman" w:cs="Times New Roman"/>
        </w:rPr>
        <w:t xml:space="preserve"> The Jaccard index and the shared and configuration-specific recovery counts were calculated separately within each matched seed. The Jaccard index was calculated separately within each matched seed and summarized at the 10% query budget. Shared, Manual-only and Hybrid-only recovery counts were calculated separately within each matched seed and summarized at the 10%, 15% and 20% query budgets as arithmetic means ± sample s.d. Materials were not pooled across seeds before set intersections or set differences were calculated.</w:t>
      </w:r>
    </w:p>
    <w:p>
      <w:pPr>
        <w:spacing w:line="276" w:lineRule="auto"/>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 xml:space="preserve">6.4.3 Shared-space selection and dispersion diagnostics </w:t>
      </w:r>
    </w:p>
    <w:p>
      <w:pPr>
        <w:ind w:firstLine="420"/>
        <w:rPr>
          <w:rFonts w:ascii="Times New Roman" w:hAnsi="Times New Roman" w:cs="Times New Roman"/>
        </w:rPr>
      </w:pPr>
      <w:r>
        <w:rPr>
          <w:rFonts w:ascii="Times New Roman" w:hAnsi="Times New Roman" w:cs="Times New Roman"/>
        </w:rPr>
        <w:t xml:space="preserve">Cross-configuration spatial analyses were performed in the fixed 58-dimensional Hybrid-PCA85 representation defined in Section S6.1.2. Let </w:t>
      </w:r>
      <m:oMath>
        <m:sSub>
          <m:sSubPr>
            <m:ctrlPr>
              <w:rPr>
                <w:rFonts w:ascii="Cambria Math" w:hAnsi="Cambria Math" w:cs="Times New Roman"/>
              </w:rPr>
            </m:ctrlPr>
          </m:sSubPr>
          <m:e>
            <m:r>
              <m:rPr>
                <m:sty m:val="b"/>
              </m:rPr>
              <w:rPr>
                <w:rFonts w:ascii="Cambria Math" w:hAnsi="Cambria Math" w:cs="Times New Roman"/>
              </w:rPr>
              <m:t>z</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sSup>
          <m:sSupPr>
            <m:ctrlPr>
              <w:rPr>
                <w:rFonts w:ascii="Cambria Math" w:hAnsi="Cambria Math" w:cs="Times New Roman"/>
              </w:rPr>
            </m:ctrlPr>
          </m:sSupPr>
          <m:e>
            <m:r>
              <m:rPr/>
              <w:rPr>
                <w:rFonts w:ascii="Cambria Math" w:hAnsi="Cambria Math" w:cs="Times New Roman"/>
              </w:rPr>
              <m:t>R</m:t>
            </m:r>
            <m:ctrlPr>
              <w:rPr>
                <w:rFonts w:ascii="Cambria Math" w:hAnsi="Cambria Math" w:cs="Times New Roman"/>
              </w:rPr>
            </m:ctrlPr>
          </m:e>
          <m:sup>
            <m:r>
              <m:rPr/>
              <w:rPr>
                <w:rFonts w:ascii="Cambria Math" w:hAnsi="Cambria Math" w:cs="Times New Roman"/>
              </w:rPr>
              <m:t>58</m:t>
            </m:r>
            <m:ctrlPr>
              <w:rPr>
                <w:rFonts w:ascii="Cambria Math" w:hAnsi="Cambria Math" w:cs="Times New Roman"/>
              </w:rPr>
            </m:ctrlPr>
          </m:sup>
        </m:sSup>
      </m:oMath>
      <w:r>
        <w:rPr>
          <w:rFonts w:ascii="Times New Roman" w:hAnsi="Times New Roman" w:cs="Times New Roman"/>
        </w:rPr>
        <w:t xml:space="preserve"> denote the fixed post-PCA-standardized coordinate vector of material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oMath>
      <w:r>
        <w:rPr>
          <w:rFonts w:ascii="Times New Roman" w:hAnsi="Times New Roman" w:cs="Times New Roman"/>
        </w:rPr>
        <w:t>. The same coordinate matrix was used for every configuration and seed. No configuration-specific coordinate system was fitted for these comparisons, and the coordinates were not re-standardized before distance calculation.</w:t>
      </w:r>
    </w:p>
    <w:p>
      <w:pPr>
        <w:spacing w:after="120" w:line="256" w:lineRule="auto"/>
        <w:ind w:firstLine="420"/>
        <w:rPr>
          <w:rFonts w:ascii="Times New Roman" w:hAnsi="Times New Roman" w:cs="Times New Roman"/>
        </w:rPr>
      </w:pPr>
      <w:r>
        <w:rPr>
          <w:rFonts w:ascii="Times New Roman" w:hAnsi="Times New Roman" w:cs="Times New Roman"/>
        </w:rPr>
        <w:t>The shared Hybrid-PCA85 representation was used only for cross-configuration visualization and spatial diagnostics. It did not replace the BO input space assigned to an individual surrogate model or candidate-selection policy.</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6.4.3.1 Fixed shared-space coordinates and selection maps</w:t>
      </w:r>
    </w:p>
    <w:p>
      <w:pPr>
        <w:spacing w:after="120" w:line="256" w:lineRule="auto"/>
        <w:ind w:firstLine="420"/>
        <w:rPr>
          <w:rFonts w:ascii="Times New Roman" w:hAnsi="Times New Roman" w:cs="Times New Roman"/>
        </w:rPr>
      </w:pPr>
      <w:r>
        <w:rPr>
          <w:rFonts w:ascii="Times New Roman" w:hAnsi="Times New Roman" w:cs="Times New Roman"/>
        </w:rPr>
        <w:t xml:space="preserve">Two-dimensional selection maps displayed the first two coordinates of the fixed Hybrid-PCA85 shared representation, </w:t>
      </w:r>
      <m:oMath>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z</m:t>
                </m:r>
                <m:ctrlPr>
                  <w:rPr>
                    <w:rFonts w:ascii="Cambria Math" w:hAnsi="Cambria Math" w:cs="Times New Roman"/>
                  </w:rPr>
                </m:ctrlPr>
              </m:e>
              <m:sub>
                <m:r>
                  <m:rPr/>
                  <w:rPr>
                    <w:rFonts w:ascii="Cambria Math" w:hAnsi="Cambria Math" w:cs="Times New Roman"/>
                  </w:rPr>
                  <m:t>i,1</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z</m:t>
                </m:r>
                <m:ctrlPr>
                  <w:rPr>
                    <w:rFonts w:ascii="Cambria Math" w:hAnsi="Cambria Math" w:cs="Times New Roman"/>
                  </w:rPr>
                </m:ctrlPr>
              </m:e>
              <m:sub>
                <m:r>
                  <m:rPr/>
                  <w:rPr>
                    <w:rFonts w:ascii="Cambria Math" w:hAnsi="Cambria Math" w:cs="Times New Roman"/>
                  </w:rPr>
                  <m:t>i,2</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rPr>
        <w:t xml:space="preserve"> The maps distinguished the complete candidate library, the common initial design, post-initial selections, queried Top-3 materials and queried strict-front materials. The maps represented spatial coverage at a fixed cumulative query budget. Points were not connected according to acquisition order and were therefore not interpreted as continuous optimization trajectories. The first two coordinates were used only for visualization; all formal distance calculations used the complete 58-dimensional coordinate vectors.</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6.4.3.2 Round-wise new-to-history MNND</w:t>
      </w:r>
    </w:p>
    <w:p>
      <w:pPr>
        <w:spacing w:after="120" w:line="256" w:lineRule="auto"/>
        <w:ind w:firstLine="420"/>
        <w:rPr>
          <w:rFonts w:ascii="Times New Roman" w:hAnsi="Times New Roman" w:cs="Times New Roman"/>
        </w:rPr>
      </w:pPr>
      <w:r>
        <w:rPr>
          <w:rFonts w:ascii="Times New Roman" w:hAnsi="Times New Roman" w:cs="Times New Roman"/>
        </w:rPr>
        <w:t xml:space="preserve">At the beginning of acquisition round </w:t>
      </w:r>
      <m:oMath>
        <m:r>
          <m:rPr/>
          <w:rPr>
            <w:rFonts w:ascii="Cambria Math" w:hAnsi="Cambria Math" w:cs="Times New Roman"/>
          </w:rPr>
          <m:t>t</m:t>
        </m:r>
      </m:oMath>
      <w:r>
        <w:rPr>
          <w:rFonts w:ascii="Times New Roman" w:hAnsi="Times New Roman" w:cs="Times New Roman"/>
        </w:rPr>
        <w:t xml:space="preserve">, let </w:t>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oMath>
      <w:r>
        <w:rPr>
          <w:rFonts w:ascii="Times New Roman" w:hAnsi="Times New Roman" w:cs="Times New Roman"/>
        </w:rPr>
        <w:t xml:space="preserve">denote the complete queried history for configuration </w:t>
      </w:r>
      <m:oMath>
        <m:r>
          <m:rPr/>
          <w:rPr>
            <w:rFonts w:ascii="Cambria Math" w:hAnsi="Cambria Math" w:cs="Times New Roman"/>
          </w:rPr>
          <m:t>c</m:t>
        </m:r>
      </m:oMath>
      <w:r>
        <w:rPr>
          <w:rFonts w:ascii="Times New Roman" w:hAnsi="Times New Roman" w:cs="Times New Roman"/>
        </w:rPr>
        <w:t xml:space="preserve">and seed </w:t>
      </w:r>
      <m:oMath>
        <m:r>
          <m:rPr/>
          <w:rPr>
            <w:rFonts w:ascii="Cambria Math" w:hAnsi="Cambria Math" w:cs="Times New Roman"/>
          </w:rPr>
          <m:t>s</m:t>
        </m:r>
      </m:oMath>
      <w:r>
        <w:rPr>
          <w:rFonts w:ascii="Times New Roman" w:hAnsi="Times New Roman" w:cs="Times New Roman"/>
        </w:rPr>
        <w:t xml:space="preserve">, including the common initial design and all materials selected in previous rounds. Let </w:t>
      </w:r>
      <m:oMath>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oMath>
      <w:r>
        <w:rPr>
          <w:rFonts w:ascii="Times New Roman" w:hAnsi="Times New Roman" w:cs="Times New Roman"/>
        </w:rPr>
        <w:t xml:space="preserve">denote the batch selected during round </w:t>
      </w:r>
      <m:oMath>
        <m:r>
          <m:rPr/>
          <w:rPr>
            <w:rFonts w:ascii="Cambria Math" w:hAnsi="Cambria Math" w:cs="Times New Roman"/>
          </w:rPr>
          <m:t>t</m:t>
        </m:r>
      </m:oMath>
      <w:r>
        <w:rPr>
          <w:rFonts w:ascii="Times New Roman" w:hAnsi="Times New Roman" w:cs="Times New Roman"/>
        </w:rPr>
        <w:t xml:space="preserve">. For newly selected material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oMath>
      <w:r>
        <w:rPr>
          <w:rFonts w:ascii="Times New Roman" w:hAnsi="Times New Roman" w:cs="Times New Roman"/>
        </w:rPr>
        <w:t xml:space="preserve">, its nearest-neighbour distance to the query history preceding the current round was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new</m:t>
                </m:r>
                <m:ctrlPr>
                  <w:rPr>
                    <w:rFonts w:ascii="Cambria Math" w:hAnsi="Cambria Math" w:cs="Times New Roman"/>
                  </w:rPr>
                </m:ctrlPr>
              </m:e>
            </m:phant>
            <m:ctrlPr>
              <w:rPr>
                <w:rFonts w:ascii="Cambria Math" w:hAnsi="Cambria Math" w:cs="Times New Roman"/>
              </w:rPr>
            </m:ctrlPr>
          </m:sub>
        </m:sSub>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min</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d>
              <m:dPr>
                <m:begChr m:val="‖"/>
                <m:sepChr m:val="−"/>
                <m:endChr m:val="‖"/>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z</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m:sty m:val="b"/>
                      </m:rPr>
                      <w:rPr>
                        <w:rFonts w:ascii="Cambria Math" w:hAnsi="Cambria Math" w:cs="Times New Roman"/>
                      </w:rPr>
                      <m:t>z</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ctrlPr>
                  <w:rPr>
                    <w:rFonts w:ascii="Cambria Math" w:hAnsi="Cambria Math" w:cs="Times New Roman"/>
                  </w:rPr>
                </m:ctrlPr>
              </m:e>
            </m:d>
            <m:ctrlPr>
              <w:rPr>
                <w:rFonts w:ascii="Cambria Math" w:hAnsi="Cambria Math" w:cs="Times New Roman"/>
              </w:rPr>
            </m:ctrlPr>
          </m:e>
          <m:sub>
            <m:r>
              <m:rPr/>
              <w:rPr>
                <w:rFonts w:ascii="Cambria Math" w:hAnsi="Cambria Math" w:cs="Times New Roman"/>
              </w:rPr>
              <m:t>2</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(65)</w:t>
      </w:r>
    </w:p>
    <w:p>
      <w:pPr>
        <w:spacing w:after="120" w:line="256" w:lineRule="auto"/>
        <w:ind w:firstLine="420"/>
        <w:rPr>
          <w:rFonts w:ascii="Times New Roman" w:hAnsi="Times New Roman" w:cs="Times New Roman"/>
        </w:rPr>
      </w:pPr>
      <w:r>
        <w:rPr>
          <w:rFonts w:ascii="Times New Roman" w:hAnsi="Times New Roman" w:cs="Times New Roman"/>
        </w:rPr>
        <w:t xml:space="preserve">The round-wise new-to-history mean nearest-neighbour distance was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m:sty m:val="p"/>
              </m:rPr>
              <w:rPr>
                <w:rFonts w:ascii="Cambria Math" w:hAnsi="Cambria Math" w:cs="Times New Roman"/>
              </w:rPr>
              <m:t>MNND</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new</m:t>
                </m:r>
                <m:ctrlPr>
                  <w:rPr>
                    <w:rFonts w:ascii="Cambria Math" w:hAnsi="Cambria Math" w:cs="Times New Roman"/>
                  </w:rPr>
                </m:ctrlPr>
              </m:e>
            </m:phant>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⁡(t)=</m:t>
        </m:r>
        <m:f>
          <m:fPr>
            <m:ctrlPr>
              <w:rPr>
                <w:rFonts w:ascii="Cambria Math" w:hAnsi="Cambria Math" w:cs="Times New Roman"/>
              </w:rPr>
            </m:ctrlPr>
          </m:fPr>
          <m:num>
            <m:r>
              <m:rPr/>
              <w:rPr>
                <w:rFonts w:ascii="Cambria Math" w:hAnsi="Cambria Math" w:cs="Times New Roman"/>
              </w:rPr>
              <m:t>1</m:t>
            </m:r>
            <m:ctrlPr>
              <w:rPr>
                <w:rFonts w:ascii="Cambria Math" w:hAnsi="Cambria Math" w:cs="Times New Roman"/>
              </w:rPr>
            </m:ctrlPr>
          </m:num>
          <m:den>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r>
              <m:rPr/>
              <w:rPr>
                <w:rFonts w:ascii="Cambria Math" w:hAnsi="Cambria Math" w:cs="Times New Roman"/>
              </w:rPr>
              <m:t>|</m:t>
            </m:r>
            <m:ctrlPr>
              <w:rPr>
                <w:rFonts w:ascii="Cambria Math" w:hAnsi="Cambria Math" w:cs="Times New Roman"/>
              </w:rPr>
            </m:ctrlPr>
          </m:den>
        </m:f>
        <m:nary>
          <m:naryPr>
            <m:chr m:val="∑"/>
            <m:grow m:val="1"/>
            <m:limLoc m:val="subSup"/>
            <m:supHide m:val="1"/>
            <m:ctrlPr>
              <w:rPr>
                <w:rFonts w:ascii="Cambria Math" w:hAnsi="Cambria Math" w:cs="Times New Roman"/>
              </w:rPr>
            </m:ctrlPr>
          </m:naryPr>
          <m:sub>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ctrlPr>
              <w:rPr>
                <w:rFonts w:ascii="Cambria Math" w:hAnsi="Cambria Math" w:cs="Times New Roman"/>
              </w:rPr>
            </m:ctrlPr>
          </m:sub>
          <m:sup>
            <m:ctrlPr>
              <w:rPr>
                <w:rFonts w:ascii="Cambria Math" w:hAnsi="Cambria Math" w:cs="Times New Roman"/>
              </w:rPr>
            </m:ctrlPr>
          </m:sup>
          <m:e>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new</m:t>
                    </m:r>
                    <m:ctrlPr>
                      <w:rPr>
                        <w:rFonts w:ascii="Cambria Math" w:hAnsi="Cambria Math" w:cs="Times New Roman"/>
                      </w:rPr>
                    </m:ctrlPr>
                  </m:e>
                </m:phant>
                <m:ctrlPr>
                  <w:rPr>
                    <w:rFonts w:ascii="Cambria Math" w:hAnsi="Cambria Math" w:cs="Times New Roman"/>
                  </w:rPr>
                </m:ctrlPr>
              </m:sub>
            </m:sSub>
            <m:ctrlPr>
              <w:rPr>
                <w:rFonts w:ascii="Cambria Math" w:hAnsi="Cambria Math" w:cs="Times New Roman"/>
              </w:rPr>
            </m:ctrlPr>
          </m:e>
        </m:nary>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(66)</w:t>
      </w:r>
    </w:p>
    <w:p>
      <w:pPr>
        <w:spacing w:after="120" w:line="256" w:lineRule="auto"/>
        <w:ind w:firstLine="420"/>
        <w:rPr>
          <w:rFonts w:ascii="Times New Roman" w:hAnsi="Times New Roman" w:cs="Times New Roman"/>
        </w:rPr>
      </w:pPr>
      <w:r>
        <w:rPr>
          <w:rFonts w:ascii="Times New Roman" w:hAnsi="Times New Roman" w:cs="Times New Roman"/>
        </w:rPr>
        <w:t>This metric quantifies how far the newly selected materials extend beyond the region covered before the current round. It is defined from the first post-initial acquisition round onward, for which the common 100-MOF initial design constitutes the preceding query history. New-to-history MNND is not a within-batch dispersion metric. Each newly selected material was compared with the query history available before the round began, rather than with other materials selected in the same batch.</w:t>
      </w:r>
    </w:p>
    <w:p>
      <w:pPr>
        <w:rPr>
          <w:rFonts w:ascii="Times New Roman" w:hAnsi="Times New Roman" w:cs="Times New Roman"/>
          <w:b/>
          <w:bCs/>
        </w:rPr>
      </w:pPr>
      <w:r>
        <w:rPr>
          <w:rFonts w:ascii="Times New Roman" w:hAnsi="Times New Roman" w:cs="Times New Roman"/>
          <w:b/>
          <w:bCs/>
          <w:sz w:val="22"/>
        </w:rPr>
        <w:t>S</w:t>
      </w:r>
      <w:r>
        <w:rPr>
          <w:rFonts w:ascii="Times New Roman" w:hAnsi="Times New Roman" w:cs="Times New Roman"/>
          <w:b/>
          <w:bCs/>
        </w:rPr>
        <w:t>6.4.3.3 Cumulative selected-set MNND</w:t>
      </w:r>
    </w:p>
    <w:p>
      <w:pPr>
        <w:spacing w:after="120" w:line="256" w:lineRule="auto"/>
        <w:ind w:firstLine="420"/>
        <w:rPr>
          <w:rFonts w:ascii="Times New Roman" w:hAnsi="Times New Roman" w:cs="Times New Roman"/>
        </w:rPr>
      </w:pPr>
      <w:r>
        <w:rPr>
          <w:rFonts w:ascii="Times New Roman" w:hAnsi="Times New Roman" w:cs="Times New Roman"/>
        </w:rPr>
        <w:t xml:space="preserve">After completion of round </w:t>
      </w:r>
      <m:oMath>
        <m:r>
          <m:rPr/>
          <w:rPr>
            <w:rFonts w:ascii="Cambria Math" w:hAnsi="Cambria Math" w:cs="Times New Roman"/>
          </w:rPr>
          <m:t>t</m:t>
        </m:r>
      </m:oMath>
      <w:r>
        <w:rPr>
          <w:rFonts w:ascii="Times New Roman" w:hAnsi="Times New Roman" w:cs="Times New Roman"/>
        </w:rPr>
        <w:t>, the queried set was updated according to Eq. (28):</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c,s,t+1</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B</m:t>
            </m:r>
            <m:ctrlPr>
              <w:rPr>
                <w:rFonts w:ascii="Cambria Math" w:hAnsi="Cambria Math" w:cs="Times New Roman"/>
              </w:rPr>
            </m:ctrlPr>
          </m:e>
          <m:sub>
            <m:r>
              <m:rPr/>
              <w:rPr>
                <w:rFonts w:ascii="Cambria Math" w:hAnsi="Cambria Math" w:cs="Times New Roman"/>
              </w:rPr>
              <m:t>c,s,t</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(67)</w:t>
      </w:r>
    </w:p>
    <w:p>
      <w:pPr>
        <w:spacing w:after="120" w:line="256" w:lineRule="auto"/>
        <w:rPr>
          <w:rFonts w:ascii="Times New Roman" w:hAnsi="Times New Roman" w:cs="Times New Roman"/>
        </w:rPr>
      </w:pPr>
      <w:r>
        <w:rPr>
          <w:rFonts w:ascii="Times New Roman" w:hAnsi="Times New Roman" w:cs="Times New Roman"/>
        </w:rPr>
        <w:t xml:space="preserve">For each material </w:t>
      </w:r>
      <m:oMath>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c,s,t+1</m:t>
            </m:r>
            <m:ctrlPr>
              <w:rPr>
                <w:rFonts w:ascii="Cambria Math" w:hAnsi="Cambria Math" w:cs="Times New Roman"/>
              </w:rPr>
            </m:ctrlPr>
          </m:sub>
        </m:sSub>
      </m:oMath>
      <w:r>
        <w:rPr>
          <w:rFonts w:ascii="Times New Roman" w:hAnsi="Times New Roman" w:cs="Times New Roman"/>
        </w:rPr>
        <w:t xml:space="preserve">, its nearest-neighbour distance among the other queried materials was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cum</m:t>
                </m:r>
                <m:ctrlPr>
                  <w:rPr>
                    <w:rFonts w:ascii="Cambria Math" w:hAnsi="Cambria Math" w:cs="Times New Roman"/>
                  </w:rPr>
                </m:ctrlPr>
              </m:e>
            </m:phant>
            <m:ctrlPr>
              <w:rPr>
                <w:rFonts w:ascii="Cambria Math" w:hAnsi="Cambria Math" w:cs="Times New Roman"/>
              </w:rPr>
            </m:ctrlPr>
          </m:sub>
        </m:sSub>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c,s,t+1</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min</m:t>
            </m:r>
            <m:ctrlPr>
              <w:rPr>
                <w:rFonts w:ascii="Cambria Math" w:hAnsi="Cambria Math" w:cs="Times New Roman"/>
              </w:rPr>
            </m:ctrlPr>
          </m:e>
          <m:sub>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c,s,t+1</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d>
              <m:dPr>
                <m:begChr m:val="‖"/>
                <m:sepChr m:val="−"/>
                <m:endChr m:val="‖"/>
                <m:ctrlPr>
                  <w:rPr>
                    <w:rFonts w:ascii="Cambria Math" w:hAnsi="Cambria Math" w:cs="Times New Roman"/>
                  </w:rPr>
                </m:ctrlPr>
              </m:dPr>
              <m:e>
                <m:sSub>
                  <m:sSubPr>
                    <m:ctrlPr>
                      <w:rPr>
                        <w:rFonts w:ascii="Cambria Math" w:hAnsi="Cambria Math" w:cs="Times New Roman"/>
                      </w:rPr>
                    </m:ctrlPr>
                  </m:sSubPr>
                  <m:e>
                    <m:r>
                      <m:rPr>
                        <m:sty m:val="b"/>
                      </m:rPr>
                      <w:rPr>
                        <w:rFonts w:ascii="Cambria Math" w:hAnsi="Cambria Math" w:cs="Times New Roman"/>
                      </w:rPr>
                      <m:t>z</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m:sty m:val="b"/>
                      </m:rPr>
                      <w:rPr>
                        <w:rFonts w:ascii="Cambria Math" w:hAnsi="Cambria Math" w:cs="Times New Roman"/>
                      </w:rPr>
                      <m:t>z</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ctrlPr>
                  <w:rPr>
                    <w:rFonts w:ascii="Cambria Math" w:hAnsi="Cambria Math" w:cs="Times New Roman"/>
                  </w:rPr>
                </m:ctrlPr>
              </m:e>
            </m:d>
            <m:ctrlPr>
              <w:rPr>
                <w:rFonts w:ascii="Cambria Math" w:hAnsi="Cambria Math" w:cs="Times New Roman"/>
              </w:rPr>
            </m:ctrlPr>
          </m:e>
          <m:sub>
            <m:r>
              <m:rPr/>
              <w:rPr>
                <w:rFonts w:ascii="Cambria Math" w:hAnsi="Cambria Math" w:cs="Times New Roman"/>
              </w:rPr>
              <m:t>2</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(68)</w:t>
      </w:r>
    </w:p>
    <w:p>
      <w:pPr>
        <w:spacing w:after="120" w:line="256" w:lineRule="auto"/>
        <w:rPr>
          <w:rFonts w:ascii="Times New Roman" w:hAnsi="Times New Roman" w:cs="Times New Roman"/>
        </w:rPr>
      </w:pPr>
      <w:r>
        <w:rPr>
          <w:rFonts w:ascii="Times New Roman" w:hAnsi="Times New Roman" w:cs="Times New Roman"/>
        </w:rPr>
        <w:t xml:space="preserve">The cumulative selected-set mean nearest-neighbour distance was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m:sty m:val="p"/>
              </m:rPr>
              <w:rPr>
                <w:rFonts w:ascii="Cambria Math" w:hAnsi="Cambria Math" w:cs="Times New Roman"/>
              </w:rPr>
              <m:t>MNND</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cum</m:t>
                </m:r>
                <m:ctrlPr>
                  <w:rPr>
                    <w:rFonts w:ascii="Cambria Math" w:hAnsi="Cambria Math" w:cs="Times New Roman"/>
                  </w:rPr>
                </m:ctrlPr>
              </m:e>
            </m:phant>
            <m:r>
              <m:rPr/>
              <w:rPr>
                <w:rFonts w:ascii="Cambria Math" w:hAnsi="Cambria Math" w:cs="Times New Roman"/>
              </w:rPr>
              <m:t>,c,s</m:t>
            </m:r>
            <m:ctrlPr>
              <w:rPr>
                <w:rFonts w:ascii="Cambria Math" w:hAnsi="Cambria Math" w:cs="Times New Roman"/>
              </w:rPr>
            </m:ctrlPr>
          </m:sub>
        </m:sSub>
        <m:r>
          <m:rPr/>
          <w:rPr>
            <w:rFonts w:ascii="Cambria Math" w:hAnsi="Cambria Math" w:cs="Times New Roman"/>
          </w:rPr>
          <m:t>⁡(t)=</m:t>
        </m:r>
        <m:f>
          <m:fPr>
            <m:ctrlPr>
              <w:rPr>
                <w:rFonts w:ascii="Cambria Math" w:hAnsi="Cambria Math" w:cs="Times New Roman"/>
              </w:rPr>
            </m:ctrlPr>
          </m:fPr>
          <m:num>
            <m:r>
              <m:rPr/>
              <w:rPr>
                <w:rFonts w:ascii="Cambria Math" w:hAnsi="Cambria Math" w:cs="Times New Roman"/>
              </w:rPr>
              <m:t>1</m:t>
            </m:r>
            <m:ctrlPr>
              <w:rPr>
                <w:rFonts w:ascii="Cambria Math" w:hAnsi="Cambria Math" w:cs="Times New Roman"/>
              </w:rPr>
            </m:ctrlPr>
          </m:num>
          <m:den>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c,s,t+1</m:t>
                </m:r>
                <m:ctrlPr>
                  <w:rPr>
                    <w:rFonts w:ascii="Cambria Math" w:hAnsi="Cambria Math" w:cs="Times New Roman"/>
                  </w:rPr>
                </m:ctrlPr>
              </m:sub>
            </m:sSub>
            <m:r>
              <m:rPr/>
              <w:rPr>
                <w:rFonts w:ascii="Cambria Math" w:hAnsi="Cambria Math" w:cs="Times New Roman"/>
              </w:rPr>
              <m:t>|</m:t>
            </m:r>
            <m:ctrlPr>
              <w:rPr>
                <w:rFonts w:ascii="Cambria Math" w:hAnsi="Cambria Math" w:cs="Times New Roman"/>
              </w:rPr>
            </m:ctrlPr>
          </m:den>
        </m:f>
        <m:nary>
          <m:naryPr>
            <m:chr m:val="∑"/>
            <m:grow m:val="1"/>
            <m:limLoc m:val="subSup"/>
            <m:supHide m:val="1"/>
            <m:ctrlPr>
              <w:rPr>
                <w:rFonts w:ascii="Cambria Math" w:hAnsi="Cambria Math" w:cs="Times New Roman"/>
              </w:rPr>
            </m:ctrlPr>
          </m:naryPr>
          <m:sub>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c,s,t+1</m:t>
                </m:r>
                <m:ctrlPr>
                  <w:rPr>
                    <w:rFonts w:ascii="Cambria Math" w:hAnsi="Cambria Math" w:cs="Times New Roman"/>
                  </w:rPr>
                </m:ctrlPr>
              </m:sub>
            </m:sSub>
            <m:ctrlPr>
              <w:rPr>
                <w:rFonts w:ascii="Cambria Math" w:hAnsi="Cambria Math" w:cs="Times New Roman"/>
              </w:rPr>
            </m:ctrlPr>
          </m:sub>
          <m:sup>
            <m:ctrlPr>
              <w:rPr>
                <w:rFonts w:ascii="Cambria Math" w:hAnsi="Cambria Math" w:cs="Times New Roman"/>
              </w:rPr>
            </m:ctrlPr>
          </m:sup>
          <m:e>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phant>
                  <m:phantPr>
                    <m:ctrlPr>
                      <w:rPr>
                        <w:rFonts w:ascii="Cambria Math" w:hAnsi="Cambria Math" w:cs="Times New Roman"/>
                      </w:rPr>
                    </m:ctrlPr>
                  </m:phantPr>
                  <m:e>
                    <m:r>
                      <m:rPr>
                        <m:sty m:val="p"/>
                      </m:rPr>
                      <w:rPr>
                        <w:rFonts w:ascii="Cambria Math" w:hAnsi="Cambria Math" w:cs="Times New Roman"/>
                      </w:rPr>
                      <m:t>cum</m:t>
                    </m:r>
                    <m:ctrlPr>
                      <w:rPr>
                        <w:rFonts w:ascii="Cambria Math" w:hAnsi="Cambria Math" w:cs="Times New Roman"/>
                      </w:rPr>
                    </m:ctrlPr>
                  </m:e>
                </m:phant>
                <m:ctrlPr>
                  <w:rPr>
                    <w:rFonts w:ascii="Cambria Math" w:hAnsi="Cambria Math" w:cs="Times New Roman"/>
                  </w:rPr>
                </m:ctrlPr>
              </m:sub>
            </m:sSub>
            <m:ctrlPr>
              <w:rPr>
                <w:rFonts w:ascii="Cambria Math" w:hAnsi="Cambria Math" w:cs="Times New Roman"/>
              </w:rPr>
            </m:ctrlPr>
          </m:e>
        </m:nary>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m</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c,s,t+1</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(69)</w:t>
      </w:r>
    </w:p>
    <w:p>
      <w:pPr>
        <w:spacing w:after="120" w:line="256" w:lineRule="auto"/>
        <w:rPr>
          <w:rFonts w:ascii="Times New Roman" w:hAnsi="Times New Roman" w:cs="Times New Roman"/>
        </w:rPr>
      </w:pPr>
      <w:r>
        <w:rPr>
          <w:rFonts w:ascii="Times New Roman" w:hAnsi="Times New Roman" w:cs="Times New Roman"/>
        </w:rPr>
        <w:t xml:space="preserve">Whereas </w:t>
      </w:r>
      <m:oMath>
        <m:sSub>
          <m:sSubPr>
            <m:ctrlPr>
              <w:rPr>
                <w:rFonts w:ascii="Cambria Math" w:hAnsi="Cambria Math" w:cs="Times New Roman"/>
              </w:rPr>
            </m:ctrlPr>
          </m:sSubPr>
          <m:e>
            <m:r>
              <m:rPr>
                <m:sty m:val="p"/>
              </m:rPr>
              <w:rPr>
                <w:rFonts w:ascii="Cambria Math" w:hAnsi="Cambria Math" w:cs="Times New Roman"/>
              </w:rPr>
              <m:t>MNND</m:t>
            </m:r>
            <m:r>
              <m:rPr/>
              <w:rPr>
                <w:rFonts w:ascii="Cambria Math" w:hAnsi="Cambria Math" w:cs="Times New Roman"/>
              </w:rPr>
              <m:t>⁡</m:t>
            </m:r>
            <m:ctrlPr>
              <w:rPr>
                <w:rFonts w:ascii="Cambria Math" w:hAnsi="Cambria Math" w:cs="Times New Roman"/>
              </w:rPr>
            </m:ctrlPr>
          </m:e>
          <m:sub>
            <m:r>
              <m:rPr>
                <m:sty m:val="p"/>
              </m:rPr>
              <w:rPr>
                <w:rFonts w:ascii="Cambria Math" w:hAnsi="Cambria Math" w:cs="Times New Roman"/>
              </w:rPr>
              <m:t>new</m:t>
            </m:r>
            <m:ctrlPr>
              <w:rPr>
                <w:rFonts w:ascii="Cambria Math" w:hAnsi="Cambria Math" w:cs="Times New Roman"/>
              </w:rPr>
            </m:ctrlPr>
          </m:sub>
        </m:sSub>
      </m:oMath>
      <w:r>
        <w:rPr>
          <w:rFonts w:ascii="Times New Roman" w:hAnsi="Times New Roman" w:cs="Times New Roman"/>
        </w:rPr>
        <w:t xml:space="preserve">measures the novelty of the most recently selected batch relative to the preceding query history, </w:t>
      </w:r>
      <m:oMath>
        <m:sSub>
          <m:sSubPr>
            <m:ctrlPr>
              <w:rPr>
                <w:rFonts w:ascii="Cambria Math" w:hAnsi="Cambria Math" w:cs="Times New Roman"/>
              </w:rPr>
            </m:ctrlPr>
          </m:sSubPr>
          <m:e>
            <m:r>
              <m:rPr>
                <m:sty m:val="p"/>
              </m:rPr>
              <w:rPr>
                <w:rFonts w:ascii="Cambria Math" w:hAnsi="Cambria Math" w:cs="Times New Roman"/>
              </w:rPr>
              <m:t>MNND</m:t>
            </m:r>
            <m:r>
              <m:rPr/>
              <w:rPr>
                <w:rFonts w:ascii="Cambria Math" w:hAnsi="Cambria Math" w:cs="Times New Roman"/>
              </w:rPr>
              <m:t>⁡</m:t>
            </m:r>
            <m:ctrlPr>
              <w:rPr>
                <w:rFonts w:ascii="Cambria Math" w:hAnsi="Cambria Math" w:cs="Times New Roman"/>
              </w:rPr>
            </m:ctrlPr>
          </m:e>
          <m:sub>
            <m:r>
              <m:rPr>
                <m:sty m:val="p"/>
              </m:rPr>
              <w:rPr>
                <w:rFonts w:ascii="Cambria Math" w:hAnsi="Cambria Math" w:cs="Times New Roman"/>
              </w:rPr>
              <m:t>cum</m:t>
            </m:r>
            <m:ctrlPr>
              <w:rPr>
                <w:rFonts w:ascii="Cambria Math" w:hAnsi="Cambria Math" w:cs="Times New Roman"/>
              </w:rPr>
            </m:ctrlPr>
          </m:sub>
        </m:sSub>
      </m:oMath>
      <w:r>
        <w:rPr>
          <w:rFonts w:ascii="Times New Roman" w:hAnsi="Times New Roman" w:cs="Times New Roman"/>
        </w:rPr>
        <w:t>measures the overall spacing of all materials accumulated by the configuration. Both MNND metrics are undirected geometric summaries. They do not directly encode adsorption performance or Pareto membership. Differences in MNND alone were therefore not interpreted as establishing the cause of differences in oracle-set recovery.</w:t>
      </w:r>
    </w:p>
    <w:p>
      <w:pPr>
        <w:pStyle w:val="11"/>
        <w:jc w:val="center"/>
        <w:rPr>
          <w:rFonts w:cs="Times New Roman" w:eastAsiaTheme="minorEastAsia"/>
          <w:b/>
          <w:bCs w:val="0"/>
          <w:color w:val="auto"/>
        </w:rPr>
      </w:pPr>
      <w:r>
        <w:rPr>
          <w:rFonts w:cs="Times New Roman"/>
          <w:b/>
          <w:bCs w:val="0"/>
          <w:color w:val="auto"/>
        </w:rPr>
        <w:t>Supplementary Table 1</w:t>
      </w:r>
      <w:r>
        <w:rPr>
          <w:rFonts w:eastAsia="宋体" w:cs="Times New Roman"/>
          <w:b/>
          <w:bCs w:val="0"/>
          <w:color w:val="auto"/>
        </w:rPr>
        <w:t>8</w:t>
      </w:r>
      <w:r>
        <w:rPr>
          <w:rFonts w:cs="Times New Roman"/>
          <w:b/>
          <w:bCs w:val="0"/>
          <w:color w:val="auto"/>
        </w:rPr>
        <w:t xml:space="preserve"> | BO performance metrics and recovery diagnostics used in the pool-based RepMOBO benchmark</w:t>
      </w:r>
    </w:p>
    <w:tbl>
      <w:tblPr>
        <w:tblStyle w:val="21"/>
        <w:tblW w:w="8789"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35"/>
        <w:gridCol w:w="1559"/>
        <w:gridCol w:w="4395"/>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2835"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eastAsia="Times New Roman" w:cs="Times New Roman"/>
                <w:b/>
                <w:sz w:val="17"/>
                <w:lang w:eastAsia="en-US"/>
              </w:rPr>
              <w:t>Metric</w:t>
            </w:r>
          </w:p>
        </w:tc>
        <w:tc>
          <w:tcPr>
            <w:tcW w:w="1559"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eastAsia="Times New Roman" w:cs="Times New Roman"/>
                <w:b/>
                <w:sz w:val="17"/>
                <w:lang w:eastAsia="en-US"/>
              </w:rPr>
              <w:t>Symbol</w:t>
            </w:r>
          </w:p>
        </w:tc>
        <w:tc>
          <w:tcPr>
            <w:tcW w:w="4395" w:type="dxa"/>
            <w:tcBorders>
              <w:top w:val="single" w:color="auto" w:sz="8" w:space="0"/>
              <w:bottom w:val="single" w:color="auto" w:sz="4" w:space="0"/>
            </w:tcBorders>
            <w:vAlign w:val="center"/>
          </w:tcPr>
          <w:p>
            <w:pPr>
              <w:jc w:val="center"/>
              <w:rPr>
                <w:rFonts w:ascii="Times New Roman" w:hAnsi="Times New Roman" w:cs="Times New Roman"/>
                <w:b/>
                <w:bCs/>
                <w:sz w:val="20"/>
                <w:szCs w:val="20"/>
                <w:lang w:eastAsia="en-US"/>
              </w:rPr>
            </w:pPr>
            <w:r>
              <w:rPr>
                <w:rFonts w:ascii="Times New Roman" w:hAnsi="Times New Roman" w:eastAsia="Times New Roman" w:cs="Times New Roman"/>
                <w:b/>
                <w:sz w:val="17"/>
                <w:lang w:eastAsia="en-US"/>
              </w:rPr>
              <w:t>Purpose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5"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Normalized hypervolume</w:t>
            </w:r>
          </w:p>
        </w:tc>
        <w:tc>
          <w:tcPr>
            <w:tcW w:w="1559" w:type="dxa"/>
            <w:tcBorders>
              <w:top w:val="single" w:color="auto" w:sz="4" w:space="0"/>
            </w:tcBorders>
            <w:vAlign w:val="center"/>
          </w:tcPr>
          <w:p>
            <w:pPr>
              <w:jc w:val="center"/>
              <w:rPr>
                <w:rFonts w:ascii="Times New Roman" w:hAnsi="Times New Roman" w:cs="Times New Roman"/>
                <w:sz w:val="20"/>
                <w:szCs w:val="20"/>
                <w:lang w:eastAsia="en-US"/>
              </w:rPr>
            </w:pPr>
            <m:oMathPara>
              <m:oMath>
                <m:sSub>
                  <m:sSubPr>
                    <m:ctrlPr>
                      <w:rPr>
                        <w:rFonts w:ascii="Cambria Math" w:hAnsi="Cambria Math" w:eastAsia="Times New Roman" w:cs="Times New Roman"/>
                        <w:sz w:val="17"/>
                        <w:lang w:eastAsia="en-US"/>
                      </w:rPr>
                    </m:ctrlPr>
                  </m:sSubPr>
                  <m:e>
                    <m:r>
                      <m:rPr>
                        <m:nor/>
                        <m:sty m:val="p"/>
                      </m:rPr>
                      <w:rPr>
                        <w:rFonts w:ascii="Times New Roman" w:hAnsi="Times New Roman" w:eastAsia="Times New Roman" w:cs="Times New Roman"/>
                        <w:sz w:val="17"/>
                        <w:lang w:eastAsia="en-US"/>
                      </w:rPr>
                      <m:t>HV</m:t>
                    </m:r>
                    <m:ctrlPr>
                      <w:rPr>
                        <w:rFonts w:ascii="Cambria Math" w:hAnsi="Cambria Math" w:eastAsia="Times New Roman" w:cs="Times New Roman"/>
                        <w:sz w:val="17"/>
                        <w:lang w:eastAsia="en-US"/>
                      </w:rPr>
                    </m:ctrlPr>
                  </m:e>
                  <m:sub>
                    <m:r>
                      <m:rPr>
                        <m:nor/>
                        <m:sty m:val="p"/>
                      </m:rPr>
                      <w:rPr>
                        <w:rFonts w:ascii="Times New Roman" w:hAnsi="Times New Roman" w:eastAsia="Times New Roman" w:cs="Times New Roman"/>
                        <w:sz w:val="17"/>
                        <w:lang w:eastAsia="en-US"/>
                      </w:rPr>
                      <m:t>norm</m:t>
                    </m:r>
                    <m:ctrlPr>
                      <w:rPr>
                        <w:rFonts w:ascii="Cambria Math" w:hAnsi="Cambria Math" w:eastAsia="Times New Roman" w:cs="Times New Roman"/>
                        <w:sz w:val="17"/>
                        <w:lang w:eastAsia="en-US"/>
                      </w:rPr>
                    </m:ctrlPr>
                  </m:sub>
                </m:sSub>
                <m:r>
                  <m:rPr/>
                  <w:rPr>
                    <w:rFonts w:ascii="Cambria Math" w:hAnsi="Cambria Math" w:eastAsia="Times New Roman" w:cs="Times New Roman"/>
                    <w:sz w:val="17"/>
                    <w:lang w:eastAsia="en-US"/>
                  </w:rPr>
                  <m:t>(</m:t>
                </m:r>
                <m:sSub>
                  <m:sSubPr>
                    <m:ctrlPr>
                      <w:rPr>
                        <w:rFonts w:ascii="Cambria Math" w:hAnsi="Cambria Math" w:eastAsia="Times New Roman" w:cs="Times New Roman"/>
                        <w:sz w:val="17"/>
                        <w:lang w:eastAsia="en-US"/>
                      </w:rPr>
                    </m:ctrlPr>
                  </m:sSubPr>
                  <m:e>
                    <m:r>
                      <m:rPr/>
                      <w:rPr>
                        <w:rFonts w:ascii="Cambria Math" w:hAnsi="Cambria Math" w:eastAsia="Times New Roman" w:cs="Times New Roman"/>
                        <w:sz w:val="17"/>
                        <w:lang w:eastAsia="en-US"/>
                      </w:rPr>
                      <m:t>Q</m:t>
                    </m:r>
                    <m:ctrlPr>
                      <w:rPr>
                        <w:rFonts w:ascii="Cambria Math" w:hAnsi="Cambria Math" w:eastAsia="Times New Roman" w:cs="Times New Roman"/>
                        <w:sz w:val="17"/>
                        <w:lang w:eastAsia="en-US"/>
                      </w:rPr>
                    </m:ctrlPr>
                  </m:e>
                  <m:sub>
                    <m:r>
                      <m:rPr/>
                      <w:rPr>
                        <w:rFonts w:ascii="Cambria Math" w:hAnsi="Cambria Math" w:eastAsia="Times New Roman" w:cs="Times New Roman"/>
                        <w:sz w:val="17"/>
                        <w:lang w:eastAsia="en-US"/>
                      </w:rPr>
                      <m:t>t</m:t>
                    </m:r>
                    <m:ctrlPr>
                      <w:rPr>
                        <w:rFonts w:ascii="Cambria Math" w:hAnsi="Cambria Math" w:eastAsia="Times New Roman" w:cs="Times New Roman"/>
                        <w:sz w:val="17"/>
                        <w:lang w:eastAsia="en-US"/>
                      </w:rPr>
                    </m:ctrlPr>
                  </m:sub>
                </m:sSub>
                <m:r>
                  <m:rPr/>
                  <w:rPr>
                    <w:rFonts w:ascii="Cambria Math" w:hAnsi="Cambria Math" w:eastAsia="Times New Roman" w:cs="Times New Roman"/>
                    <w:sz w:val="17"/>
                    <w:lang w:eastAsia="en-US"/>
                  </w:rPr>
                  <m:t>)</m:t>
                </m:r>
              </m:oMath>
            </m:oMathPara>
          </w:p>
        </w:tc>
        <w:tc>
          <w:tcPr>
            <w:tcW w:w="4395" w:type="dxa"/>
            <w:tcBorders>
              <w:top w:val="single" w:color="auto" w:sz="4" w:space="0"/>
            </w:tcBorders>
            <w:vAlign w:val="center"/>
          </w:tcPr>
          <w:p>
            <w:pPr>
              <w:jc w:val="center"/>
              <w:rPr>
                <w:rFonts w:ascii="Times New Roman" w:hAnsi="Times New Roman" w:cs="Times New Roman"/>
                <w:sz w:val="20"/>
                <w:szCs w:val="20"/>
                <w:lang w:eastAsia="en-US"/>
              </w:rPr>
            </w:pPr>
            <w:r>
              <w:rPr>
                <w:rFonts w:ascii="Times New Roman" w:hAnsi="Times New Roman" w:eastAsia="Times New Roman" w:cs="Times New Roman"/>
                <w:sz w:val="20"/>
                <w:szCs w:val="20"/>
                <w:lang w:eastAsia="en-US"/>
              </w:rPr>
              <w:t>Global multi-objective coverage</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Strict Pareto-front recovery</w:t>
            </w:r>
          </w:p>
        </w:tc>
        <w:tc>
          <w:tcPr>
            <w:tcW w:w="1559" w:type="dxa"/>
            <w:vAlign w:val="center"/>
          </w:tcPr>
          <w:p>
            <w:pPr>
              <w:jc w:val="center"/>
              <w:rPr>
                <w:rFonts w:ascii="Times New Roman" w:hAnsi="Times New Roman" w:cs="Times New Roman"/>
                <w:sz w:val="20"/>
                <w:szCs w:val="20"/>
                <w:lang w:eastAsia="en-US"/>
              </w:rPr>
            </w:pPr>
            <m:oMathPara>
              <m:oMath>
                <m:sSub>
                  <m:sSubPr>
                    <m:ctrlPr>
                      <w:rPr>
                        <w:rFonts w:ascii="Cambria Math" w:hAnsi="Cambria Math" w:cs="Times New Roman"/>
                        <w:sz w:val="20"/>
                        <w:szCs w:val="20"/>
                        <w:lang w:eastAsia="en-US"/>
                      </w:rPr>
                    </m:ctrlPr>
                  </m:sSubPr>
                  <m:e>
                    <m:r>
                      <m:rPr/>
                      <w:rPr>
                        <w:rFonts w:ascii="Cambria Math" w:hAnsi="Cambria Math" w:cs="Times New Roman"/>
                        <w:sz w:val="20"/>
                        <w:szCs w:val="20"/>
                        <w:lang w:eastAsia="en-US"/>
                      </w:rPr>
                      <m:t>R</m:t>
                    </m:r>
                    <m:ctrlPr>
                      <w:rPr>
                        <w:rFonts w:ascii="Cambria Math" w:hAnsi="Cambria Math" w:cs="Times New Roman"/>
                        <w:sz w:val="20"/>
                        <w:szCs w:val="20"/>
                        <w:lang w:eastAsia="en-US"/>
                      </w:rPr>
                    </m:ctrlPr>
                  </m:e>
                  <m:sub>
                    <m:phant>
                      <m:phantPr>
                        <m:ctrlPr>
                          <w:rPr>
                            <w:rFonts w:ascii="Cambria Math" w:hAnsi="Cambria Math" w:cs="Times New Roman"/>
                            <w:sz w:val="20"/>
                            <w:szCs w:val="20"/>
                            <w:lang w:eastAsia="en-US"/>
                          </w:rPr>
                        </m:ctrlPr>
                      </m:phantPr>
                      <m:e>
                        <m:r>
                          <m:rPr>
                            <m:sty m:val="p"/>
                          </m:rPr>
                          <w:rPr>
                            <w:rFonts w:ascii="Cambria Math" w:hAnsi="Cambria Math" w:cs="Times New Roman"/>
                            <w:sz w:val="20"/>
                            <w:szCs w:val="20"/>
                            <w:lang w:eastAsia="en-US"/>
                          </w:rPr>
                          <m:t>PF</m:t>
                        </m:r>
                        <m:ctrlPr>
                          <w:rPr>
                            <w:rFonts w:ascii="Cambria Math" w:hAnsi="Cambria Math" w:cs="Times New Roman"/>
                            <w:sz w:val="20"/>
                            <w:szCs w:val="20"/>
                            <w:lang w:eastAsia="en-US"/>
                          </w:rPr>
                        </m:ctrlPr>
                      </m:e>
                    </m:phant>
                    <m:ctrlPr>
                      <w:rPr>
                        <w:rFonts w:ascii="Cambria Math" w:hAnsi="Cambria Math" w:cs="Times New Roman"/>
                        <w:sz w:val="20"/>
                        <w:szCs w:val="20"/>
                        <w:lang w:eastAsia="en-US"/>
                      </w:rPr>
                    </m:ctrlPr>
                  </m:sub>
                </m:sSub>
              </m:oMath>
            </m:oMathPara>
          </w:p>
        </w:tc>
        <w:tc>
          <w:tcPr>
            <w:tcW w:w="439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Recovery of the 15 strict-front MOFs</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Top-3 Pareto-layer capture</w:t>
            </w:r>
          </w:p>
        </w:tc>
        <w:tc>
          <w:tcPr>
            <w:tcW w:w="1559" w:type="dxa"/>
            <w:vAlign w:val="center"/>
          </w:tcPr>
          <w:p>
            <w:pPr>
              <w:jc w:val="center"/>
              <w:rPr>
                <w:rFonts w:ascii="Times New Roman" w:hAnsi="Times New Roman" w:cs="Times New Roman"/>
                <w:sz w:val="20"/>
                <w:szCs w:val="20"/>
                <w:lang w:eastAsia="en-US"/>
              </w:rPr>
            </w:pPr>
            <m:oMathPara>
              <m:oMath>
                <m:sSub>
                  <m:sSubPr>
                    <m:ctrlPr>
                      <w:rPr>
                        <w:rFonts w:ascii="Cambria Math" w:hAnsi="Cambria Math" w:cs="Times New Roman"/>
                        <w:sz w:val="20"/>
                        <w:szCs w:val="20"/>
                        <w:lang w:eastAsia="en-US"/>
                      </w:rPr>
                    </m:ctrlPr>
                  </m:sSubPr>
                  <m:e>
                    <m:r>
                      <m:rPr/>
                      <w:rPr>
                        <w:rFonts w:ascii="Cambria Math" w:hAnsi="Cambria Math" w:cs="Times New Roman"/>
                        <w:sz w:val="20"/>
                        <w:szCs w:val="20"/>
                        <w:lang w:eastAsia="en-US"/>
                      </w:rPr>
                      <m:t>R</m:t>
                    </m:r>
                    <m:ctrlPr>
                      <w:rPr>
                        <w:rFonts w:ascii="Cambria Math" w:hAnsi="Cambria Math" w:cs="Times New Roman"/>
                        <w:sz w:val="20"/>
                        <w:szCs w:val="20"/>
                        <w:lang w:eastAsia="en-US"/>
                      </w:rPr>
                    </m:ctrlPr>
                  </m:e>
                  <m:sub>
                    <m:phant>
                      <m:phantPr>
                        <m:ctrlPr>
                          <w:rPr>
                            <w:rFonts w:ascii="Cambria Math" w:hAnsi="Cambria Math" w:cs="Times New Roman"/>
                            <w:sz w:val="20"/>
                            <w:szCs w:val="20"/>
                            <w:lang w:eastAsia="en-US"/>
                          </w:rPr>
                        </m:ctrlPr>
                      </m:phantPr>
                      <m:e>
                        <m:r>
                          <m:rPr>
                            <m:sty m:val="p"/>
                          </m:rPr>
                          <w:rPr>
                            <w:rFonts w:ascii="Cambria Math" w:hAnsi="Cambria Math" w:cs="Times New Roman"/>
                            <w:sz w:val="20"/>
                            <w:szCs w:val="20"/>
                            <w:lang w:eastAsia="en-US"/>
                          </w:rPr>
                          <m:t>Top3</m:t>
                        </m:r>
                        <m:ctrlPr>
                          <w:rPr>
                            <w:rFonts w:ascii="Cambria Math" w:hAnsi="Cambria Math" w:cs="Times New Roman"/>
                            <w:sz w:val="20"/>
                            <w:szCs w:val="20"/>
                            <w:lang w:eastAsia="en-US"/>
                          </w:rPr>
                        </m:ctrlPr>
                      </m:e>
                    </m:phant>
                    <m:ctrlPr>
                      <w:rPr>
                        <w:rFonts w:ascii="Cambria Math" w:hAnsi="Cambria Math" w:cs="Times New Roman"/>
                        <w:sz w:val="20"/>
                        <w:szCs w:val="20"/>
                        <w:lang w:eastAsia="en-US"/>
                      </w:rPr>
                    </m:ctrlPr>
                  </m:sub>
                </m:sSub>
              </m:oMath>
            </m:oMathPara>
          </w:p>
        </w:tc>
        <w:tc>
          <w:tcPr>
            <w:tcW w:w="439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Recovery of the 113 Top-3-layer MOFs</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Top-1% recovery</w:t>
            </w:r>
          </w:p>
        </w:tc>
        <w:tc>
          <w:tcPr>
            <w:tcW w:w="1559" w:type="dxa"/>
            <w:vAlign w:val="center"/>
          </w:tcPr>
          <w:p>
            <w:pPr>
              <w:jc w:val="center"/>
              <w:rPr>
                <w:rFonts w:ascii="Times New Roman" w:hAnsi="Times New Roman" w:cs="Times New Roman"/>
                <w:sz w:val="20"/>
                <w:szCs w:val="20"/>
                <w:lang w:eastAsia="en-US"/>
              </w:rPr>
            </w:pPr>
            <m:oMathPara>
              <m:oMath>
                <m:sSubSup>
                  <m:sSubSupPr>
                    <m:ctrlPr>
                      <w:rPr>
                        <w:rFonts w:ascii="Cambria Math" w:hAnsi="Cambria Math" w:cs="Times New Roman"/>
                        <w:sz w:val="20"/>
                        <w:szCs w:val="20"/>
                        <w:lang w:eastAsia="en-US"/>
                      </w:rPr>
                    </m:ctrlPr>
                  </m:sSubSupPr>
                  <m:e>
                    <m:r>
                      <m:rPr/>
                      <w:rPr>
                        <w:rFonts w:ascii="Cambria Math" w:hAnsi="Cambria Math" w:cs="Times New Roman"/>
                        <w:sz w:val="20"/>
                        <w:szCs w:val="20"/>
                        <w:lang w:eastAsia="en-US"/>
                      </w:rPr>
                      <m:t>R</m:t>
                    </m:r>
                    <m:ctrlPr>
                      <w:rPr>
                        <w:rFonts w:ascii="Cambria Math" w:hAnsi="Cambria Math" w:cs="Times New Roman"/>
                        <w:sz w:val="20"/>
                        <w:szCs w:val="20"/>
                        <w:lang w:eastAsia="en-US"/>
                      </w:rPr>
                    </m:ctrlPr>
                  </m:e>
                  <m:sub>
                    <m:r>
                      <m:rPr/>
                      <w:rPr>
                        <w:rFonts w:ascii="Cambria Math" w:hAnsi="Cambria Math" w:cs="Times New Roman"/>
                        <w:sz w:val="20"/>
                        <w:szCs w:val="20"/>
                        <w:lang w:eastAsia="en-US"/>
                      </w:rPr>
                      <m:t>k</m:t>
                    </m:r>
                    <m:ctrlPr>
                      <w:rPr>
                        <w:rFonts w:ascii="Cambria Math" w:hAnsi="Cambria Math" w:cs="Times New Roman"/>
                        <w:sz w:val="20"/>
                        <w:szCs w:val="20"/>
                        <w:lang w:eastAsia="en-US"/>
                      </w:rPr>
                    </m:ctrlPr>
                  </m:sub>
                  <m:sup>
                    <m:r>
                      <m:rPr/>
                      <w:rPr>
                        <w:rFonts w:ascii="Cambria Math" w:hAnsi="Cambria Math" w:cs="Times New Roman"/>
                        <w:sz w:val="20"/>
                        <w:szCs w:val="20"/>
                        <w:lang w:eastAsia="en-US"/>
                      </w:rPr>
                      <m:t>1%</m:t>
                    </m:r>
                    <m:ctrlPr>
                      <w:rPr>
                        <w:rFonts w:ascii="Cambria Math" w:hAnsi="Cambria Math" w:cs="Times New Roman"/>
                        <w:sz w:val="20"/>
                        <w:szCs w:val="20"/>
                        <w:lang w:eastAsia="en-US"/>
                      </w:rPr>
                    </m:ctrlPr>
                  </m:sup>
                </m:sSubSup>
              </m:oMath>
            </m:oMathPara>
          </w:p>
        </w:tc>
        <w:tc>
          <w:tcPr>
            <w:tcW w:w="439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Target-specific uptake recovery</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Jaccard overlap</w:t>
            </w:r>
          </w:p>
        </w:tc>
        <w:tc>
          <w:tcPr>
            <w:tcW w:w="1559" w:type="dxa"/>
            <w:vAlign w:val="center"/>
          </w:tcPr>
          <w:p>
            <w:pPr>
              <w:jc w:val="center"/>
              <w:rPr>
                <w:rFonts w:ascii="Times New Roman" w:hAnsi="Times New Roman" w:cs="Times New Roman"/>
                <w:sz w:val="20"/>
                <w:szCs w:val="20"/>
                <w:lang w:eastAsia="en-US"/>
              </w:rPr>
            </w:pPr>
            <m:oMathPara>
              <m:oMath>
                <m:sSub>
                  <m:sSubPr>
                    <m:ctrlPr>
                      <w:rPr>
                        <w:rFonts w:ascii="Cambria Math" w:hAnsi="Cambria Math" w:cs="Times New Roman"/>
                        <w:sz w:val="20"/>
                        <w:szCs w:val="20"/>
                        <w:lang w:eastAsia="en-US"/>
                      </w:rPr>
                    </m:ctrlPr>
                  </m:sSubPr>
                  <m:e>
                    <m:r>
                      <m:rPr/>
                      <w:rPr>
                        <w:rFonts w:ascii="Cambria Math" w:hAnsi="Cambria Math" w:cs="Times New Roman"/>
                        <w:sz w:val="20"/>
                        <w:szCs w:val="20"/>
                        <w:lang w:eastAsia="en-US"/>
                      </w:rPr>
                      <m:t>J</m:t>
                    </m:r>
                    <m:ctrlPr>
                      <w:rPr>
                        <w:rFonts w:ascii="Cambria Math" w:hAnsi="Cambria Math" w:cs="Times New Roman"/>
                        <w:sz w:val="20"/>
                        <w:szCs w:val="20"/>
                        <w:lang w:eastAsia="en-US"/>
                      </w:rPr>
                    </m:ctrlPr>
                  </m:e>
                  <m:sub>
                    <m:r>
                      <m:rPr/>
                      <w:rPr>
                        <w:rFonts w:ascii="Cambria Math" w:hAnsi="Cambria Math" w:cs="Times New Roman"/>
                        <w:sz w:val="20"/>
                        <w:szCs w:val="20"/>
                        <w:lang w:eastAsia="en-US"/>
                      </w:rPr>
                      <m:t>s</m:t>
                    </m:r>
                    <m:ctrlPr>
                      <w:rPr>
                        <w:rFonts w:ascii="Cambria Math" w:hAnsi="Cambria Math" w:cs="Times New Roman"/>
                        <w:sz w:val="20"/>
                        <w:szCs w:val="20"/>
                        <w:lang w:eastAsia="en-US"/>
                      </w:rPr>
                    </m:ctrlPr>
                  </m:sub>
                </m:sSub>
                <m:r>
                  <m:rPr/>
                  <w:rPr>
                    <w:rFonts w:ascii="Cambria Math" w:hAnsi="Cambria Math" w:cs="Times New Roman"/>
                    <w:sz w:val="20"/>
                    <w:szCs w:val="20"/>
                    <w:lang w:eastAsia="en-US"/>
                  </w:rPr>
                  <m:t>(b)</m:t>
                </m:r>
              </m:oMath>
            </m:oMathPara>
          </w:p>
        </w:tc>
        <w:tc>
          <w:tcPr>
            <w:tcW w:w="439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Overlap of the recovered strict-front material sets</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Recovery decomposition</w:t>
            </w:r>
          </w:p>
        </w:tc>
        <w:tc>
          <w:tcPr>
            <w:tcW w:w="1559" w:type="dxa"/>
            <w:vAlign w:val="center"/>
          </w:tcPr>
          <w:p>
            <w:pPr>
              <w:jc w:val="center"/>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Shared / Manual-only / Hybrid-only</w:t>
            </w:r>
          </w:p>
        </w:tc>
        <w:tc>
          <w:tcPr>
            <w:tcW w:w="439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Configuration-specific strict-front recovery</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New-to-history MNND</w:t>
            </w:r>
          </w:p>
        </w:tc>
        <w:tc>
          <w:tcPr>
            <w:tcW w:w="1559" w:type="dxa"/>
            <w:vAlign w:val="center"/>
          </w:tcPr>
          <w:p>
            <w:pPr>
              <w:jc w:val="center"/>
              <w:rPr>
                <w:rFonts w:ascii="Times New Roman" w:hAnsi="Times New Roman" w:eastAsia="Times New Roman" w:cs="Times New Roman"/>
                <w:sz w:val="20"/>
                <w:szCs w:val="20"/>
                <w:lang w:eastAsia="en-US"/>
              </w:rPr>
            </w:pPr>
            <m:oMathPara>
              <m:oMath>
                <m:sSub>
                  <m:sSubPr>
                    <m:ctrlPr>
                      <w:rPr>
                        <w:rFonts w:ascii="Cambria Math" w:hAnsi="Cambria Math" w:eastAsia="Times New Roman" w:cs="Times New Roman"/>
                        <w:sz w:val="20"/>
                        <w:szCs w:val="20"/>
                        <w:lang w:eastAsia="en-US"/>
                      </w:rPr>
                    </m:ctrlPr>
                  </m:sSubPr>
                  <m:e>
                    <m:r>
                      <m:rPr>
                        <m:sty m:val="p"/>
                      </m:rPr>
                      <w:rPr>
                        <w:rFonts w:ascii="Cambria Math" w:hAnsi="Cambria Math" w:eastAsia="Times New Roman" w:cs="Times New Roman"/>
                        <w:sz w:val="20"/>
                        <w:szCs w:val="20"/>
                        <w:lang w:eastAsia="en-US"/>
                      </w:rPr>
                      <m:t>MNND</m:t>
                    </m:r>
                    <m:ctrlPr>
                      <w:rPr>
                        <w:rFonts w:ascii="Cambria Math" w:hAnsi="Cambria Math" w:eastAsia="Times New Roman" w:cs="Times New Roman"/>
                        <w:sz w:val="20"/>
                        <w:szCs w:val="20"/>
                        <w:lang w:eastAsia="en-US"/>
                      </w:rPr>
                    </m:ctrlPr>
                  </m:e>
                  <m:sub>
                    <m:phant>
                      <m:phantPr>
                        <m:ctrlPr>
                          <w:rPr>
                            <w:rFonts w:ascii="Cambria Math" w:hAnsi="Cambria Math" w:eastAsia="Times New Roman" w:cs="Times New Roman"/>
                            <w:sz w:val="20"/>
                            <w:szCs w:val="20"/>
                            <w:lang w:eastAsia="en-US"/>
                          </w:rPr>
                        </m:ctrlPr>
                      </m:phantPr>
                      <m:e>
                        <m:r>
                          <m:rPr>
                            <m:sty m:val="p"/>
                          </m:rPr>
                          <w:rPr>
                            <w:rFonts w:ascii="Cambria Math" w:hAnsi="Cambria Math" w:eastAsia="Times New Roman" w:cs="Times New Roman"/>
                            <w:sz w:val="20"/>
                            <w:szCs w:val="20"/>
                            <w:lang w:eastAsia="en-US"/>
                          </w:rPr>
                          <m:t>new</m:t>
                        </m:r>
                        <m:ctrlPr>
                          <w:rPr>
                            <w:rFonts w:ascii="Cambria Math" w:hAnsi="Cambria Math" w:eastAsia="Times New Roman" w:cs="Times New Roman"/>
                            <w:sz w:val="20"/>
                            <w:szCs w:val="20"/>
                            <w:lang w:eastAsia="en-US"/>
                          </w:rPr>
                        </m:ctrlPr>
                      </m:e>
                    </m:phant>
                    <m:ctrlPr>
                      <w:rPr>
                        <w:rFonts w:ascii="Cambria Math" w:hAnsi="Cambria Math" w:eastAsia="Times New Roman" w:cs="Times New Roman"/>
                        <w:sz w:val="20"/>
                        <w:szCs w:val="20"/>
                        <w:lang w:eastAsia="en-US"/>
                      </w:rPr>
                    </m:ctrlPr>
                  </m:sub>
                </m:sSub>
              </m:oMath>
            </m:oMathPara>
          </w:p>
        </w:tc>
        <w:tc>
          <w:tcPr>
            <w:tcW w:w="4395" w:type="dxa"/>
            <w:vAlign w:val="center"/>
          </w:tcPr>
          <w:p>
            <w:pPr>
              <w:jc w:val="center"/>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Novelty relative to prior queried materials</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5" w:type="dxa"/>
            <w:vAlign w:val="center"/>
          </w:tcPr>
          <w:p>
            <w:pPr>
              <w:jc w:val="center"/>
              <w:rPr>
                <w:rFonts w:ascii="Times New Roman" w:hAnsi="Times New Roman" w:cs="Times New Roman"/>
                <w:sz w:val="20"/>
                <w:szCs w:val="20"/>
                <w:lang w:eastAsia="en-US"/>
              </w:rPr>
            </w:pPr>
            <w:r>
              <w:rPr>
                <w:rFonts w:ascii="Times New Roman" w:hAnsi="Times New Roman" w:cs="Times New Roman"/>
                <w:sz w:val="20"/>
                <w:szCs w:val="20"/>
                <w:lang w:eastAsia="en-US"/>
              </w:rPr>
              <w:t>Cumulative MNND</w:t>
            </w:r>
          </w:p>
        </w:tc>
        <w:tc>
          <w:tcPr>
            <w:tcW w:w="1559" w:type="dxa"/>
            <w:vAlign w:val="center"/>
          </w:tcPr>
          <w:p>
            <w:pPr>
              <w:jc w:val="center"/>
              <w:rPr>
                <w:rFonts w:ascii="Times New Roman" w:hAnsi="Times New Roman" w:eastAsia="Times New Roman" w:cs="Times New Roman"/>
                <w:sz w:val="20"/>
                <w:szCs w:val="20"/>
                <w:lang w:eastAsia="en-US"/>
              </w:rPr>
            </w:pPr>
            <m:oMathPara>
              <m:oMath>
                <m:sSub>
                  <m:sSubPr>
                    <m:ctrlPr>
                      <w:rPr>
                        <w:rFonts w:ascii="Cambria Math" w:hAnsi="Cambria Math" w:eastAsia="Times New Roman" w:cs="Times New Roman"/>
                        <w:sz w:val="20"/>
                        <w:szCs w:val="20"/>
                        <w:lang w:eastAsia="en-US"/>
                      </w:rPr>
                    </m:ctrlPr>
                  </m:sSubPr>
                  <m:e>
                    <m:r>
                      <m:rPr>
                        <m:sty m:val="p"/>
                      </m:rPr>
                      <w:rPr>
                        <w:rFonts w:ascii="Cambria Math" w:hAnsi="Cambria Math" w:eastAsia="Times New Roman" w:cs="Times New Roman"/>
                        <w:sz w:val="20"/>
                        <w:szCs w:val="20"/>
                        <w:lang w:eastAsia="en-US"/>
                      </w:rPr>
                      <m:t>MNND</m:t>
                    </m:r>
                    <m:ctrlPr>
                      <w:rPr>
                        <w:rFonts w:ascii="Cambria Math" w:hAnsi="Cambria Math" w:eastAsia="Times New Roman" w:cs="Times New Roman"/>
                        <w:sz w:val="20"/>
                        <w:szCs w:val="20"/>
                        <w:lang w:eastAsia="en-US"/>
                      </w:rPr>
                    </m:ctrlPr>
                  </m:e>
                  <m:sub>
                    <m:phant>
                      <m:phantPr>
                        <m:ctrlPr>
                          <w:rPr>
                            <w:rFonts w:ascii="Cambria Math" w:hAnsi="Cambria Math" w:eastAsia="Times New Roman" w:cs="Times New Roman"/>
                            <w:sz w:val="20"/>
                            <w:szCs w:val="20"/>
                            <w:lang w:eastAsia="en-US"/>
                          </w:rPr>
                        </m:ctrlPr>
                      </m:phantPr>
                      <m:e>
                        <m:r>
                          <m:rPr>
                            <m:sty m:val="p"/>
                          </m:rPr>
                          <w:rPr>
                            <w:rFonts w:ascii="Cambria Math" w:hAnsi="Cambria Math" w:eastAsia="Times New Roman" w:cs="Times New Roman"/>
                            <w:sz w:val="20"/>
                            <w:szCs w:val="20"/>
                            <w:lang w:eastAsia="en-US"/>
                          </w:rPr>
                          <m:t>c</m:t>
                        </m:r>
                        <m:r>
                          <m:rPr/>
                          <w:rPr>
                            <w:rFonts w:ascii="Cambria Math" w:hAnsi="Cambria Math" w:cs="Times New Roman"/>
                            <w:sz w:val="20"/>
                            <w:szCs w:val="20"/>
                            <w:lang w:eastAsia="en-US"/>
                          </w:rPr>
                          <m:t>um</m:t>
                        </m:r>
                        <m:ctrlPr>
                          <w:rPr>
                            <w:rFonts w:ascii="Cambria Math" w:hAnsi="Cambria Math" w:eastAsia="Times New Roman" w:cs="Times New Roman"/>
                            <w:sz w:val="20"/>
                            <w:szCs w:val="20"/>
                            <w:lang w:eastAsia="en-US"/>
                          </w:rPr>
                        </m:ctrlPr>
                      </m:e>
                    </m:phant>
                    <m:ctrlPr>
                      <w:rPr>
                        <w:rFonts w:ascii="Cambria Math" w:hAnsi="Cambria Math" w:eastAsia="Times New Roman" w:cs="Times New Roman"/>
                        <w:sz w:val="20"/>
                        <w:szCs w:val="20"/>
                        <w:lang w:eastAsia="en-US"/>
                      </w:rPr>
                    </m:ctrlPr>
                  </m:sub>
                </m:sSub>
              </m:oMath>
            </m:oMathPara>
          </w:p>
        </w:tc>
        <w:tc>
          <w:tcPr>
            <w:tcW w:w="4395" w:type="dxa"/>
            <w:vAlign w:val="center"/>
          </w:tcPr>
          <w:p>
            <w:pPr>
              <w:jc w:val="center"/>
              <w:rPr>
                <w:rFonts w:ascii="Times New Roman" w:hAnsi="Times New Roman" w:eastAsia="Times New Roman" w:cs="Times New Roman"/>
                <w:sz w:val="20"/>
                <w:szCs w:val="20"/>
                <w:lang w:eastAsia="en-US"/>
              </w:rPr>
            </w:pPr>
            <w:r>
              <w:rPr>
                <w:rFonts w:ascii="Times New Roman" w:hAnsi="Times New Roman" w:eastAsia="Times New Roman" w:cs="Times New Roman"/>
                <w:sz w:val="20"/>
                <w:szCs w:val="20"/>
                <w:lang w:eastAsia="en-US"/>
              </w:rPr>
              <w:t>Dispersion of the cumulative queried set</w:t>
            </w:r>
          </w:p>
        </w:tc>
      </w:tr>
    </w:tbl>
    <w:p>
      <w:pPr>
        <w:pStyle w:val="13"/>
        <w:spacing w:before="80" w:after="80" w:line="276" w:lineRule="auto"/>
        <w:rPr>
          <w:rFonts w:ascii="Times New Roman" w:hAnsi="Times New Roman" w:cs="Times New Roman"/>
          <w:b/>
        </w:rPr>
      </w:pPr>
      <w:r>
        <w:rPr>
          <w:rFonts w:ascii="Times New Roman" w:hAnsi="Times New Roman" w:cs="Times New Roman"/>
          <w:bCs/>
        </w:rPr>
        <w:t>Performance and recovery metrics were calculated from true GCMC oracle responses and fixed full-library oracle sets. Both MNND metrics were calculated in the fixed 58-dimensional Hybrid-PCA85 shared space.</w:t>
      </w:r>
    </w:p>
    <w:p>
      <w:pPr>
        <w:widowControl/>
        <w:jc w:val="left"/>
        <w:rPr>
          <w:rFonts w:ascii="Times New Roman" w:hAnsi="Times New Roman" w:cs="Times New Roman"/>
        </w:rPr>
      </w:pPr>
      <w:r>
        <w:rPr>
          <w:rFonts w:ascii="Times New Roman" w:hAnsi="Times New Roman" w:cs="Times New Roman"/>
        </w:rPr>
        <w:br w:type="page"/>
      </w:r>
    </w:p>
    <w:p>
      <w:pPr>
        <w:pStyle w:val="2"/>
        <w:spacing w:before="0" w:after="0"/>
        <w:rPr>
          <w:rFonts w:ascii="Times New Roman" w:hAnsi="Times New Roman" w:cs="Times New Roman"/>
          <w:color w:val="auto"/>
          <w:sz w:val="28"/>
          <w:szCs w:val="28"/>
        </w:rPr>
      </w:pPr>
      <w:r>
        <w:rPr>
          <w:rFonts w:ascii="Times New Roman" w:hAnsi="Times New Roman" w:cs="Times New Roman"/>
          <w:b/>
          <w:bCs/>
          <w:color w:val="auto"/>
          <w:sz w:val="28"/>
          <w:szCs w:val="28"/>
        </w:rPr>
        <w:t>Supplementary Note 7 — Factorial configuration benchmark and representation-dependent Pareto discovery</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S7.1 Factorial configuration design and complete benchmark results</w:t>
      </w:r>
    </w:p>
    <w:p>
      <w:pPr>
        <w:ind w:firstLine="420"/>
        <w:rPr>
          <w:rFonts w:ascii="Times New Roman" w:hAnsi="Times New Roman" w:cs="Times New Roman"/>
        </w:rPr>
      </w:pPr>
      <w:r>
        <w:rPr>
          <w:rFonts w:ascii="Times New Roman" w:hAnsi="Times New Roman" w:cs="Times New Roman"/>
        </w:rPr>
        <w:t>The configuration screen evaluated three methodological factors: BO input space, model-guided selection rule and Gaussian-process length-scale parameterization. Five input spaces (Manual, P80, P85, P90 and P95) were crossed with two selection rules (qEHVI and posterior-mean composite Greedy selection) and two ARD states (on and off), giving 5 × 2 × 2 = 20 model-guided configurations. Random sampling was retained as a separate unguided reference and was not included in the factorial design summarized in Supplementary Table 19 because it did not fit a surrogate, use a model-guided selection rule or possess an ARD state.</w:t>
      </w:r>
    </w:p>
    <w:p>
      <w:pPr>
        <w:pStyle w:val="11"/>
        <w:jc w:val="center"/>
        <w:rPr>
          <w:rFonts w:cs="Times New Roman"/>
          <w:b/>
          <w:bCs w:val="0"/>
          <w:color w:val="auto"/>
        </w:rPr>
      </w:pPr>
      <w:r>
        <w:rPr>
          <w:rFonts w:cs="Times New Roman"/>
          <w:b/>
          <w:bCs w:val="0"/>
          <w:color w:val="auto"/>
        </w:rPr>
        <w:t xml:space="preserve">Supplementary Table </w:t>
      </w:r>
      <w:r>
        <w:rPr>
          <w:rFonts w:cs="Times New Roman" w:eastAsiaTheme="minorEastAsia"/>
          <w:b/>
          <w:bCs w:val="0"/>
          <w:color w:val="auto"/>
        </w:rPr>
        <w:t>19</w:t>
      </w:r>
      <w:r>
        <w:rPr>
          <w:rFonts w:cs="Times New Roman"/>
          <w:b/>
          <w:bCs w:val="0"/>
          <w:color w:val="auto"/>
        </w:rPr>
        <w:t xml:space="preserve"> | Full factorial design of the 20 model-guided MOBO configurations</w:t>
      </w:r>
    </w:p>
    <w:tbl>
      <w:tblPr>
        <w:tblStyle w:val="20"/>
        <w:tblW w:w="8699" w:type="dxa"/>
        <w:jc w:val="center"/>
        <w:tblLayout w:type="fixed"/>
        <w:tblCellMar>
          <w:top w:w="0" w:type="dxa"/>
          <w:left w:w="108" w:type="dxa"/>
          <w:bottom w:w="0" w:type="dxa"/>
          <w:right w:w="108" w:type="dxa"/>
        </w:tblCellMar>
      </w:tblPr>
      <w:tblGrid>
        <w:gridCol w:w="1499"/>
        <w:gridCol w:w="1560"/>
        <w:gridCol w:w="1164"/>
        <w:gridCol w:w="1404"/>
        <w:gridCol w:w="660"/>
        <w:gridCol w:w="2412"/>
      </w:tblGrid>
      <w:tr>
        <w:tblPrEx>
          <w:tblCellMar>
            <w:top w:w="0" w:type="dxa"/>
            <w:left w:w="108" w:type="dxa"/>
            <w:bottom w:w="0" w:type="dxa"/>
            <w:right w:w="108" w:type="dxa"/>
          </w:tblCellMar>
        </w:tblPrEx>
        <w:trPr>
          <w:cantSplit/>
          <w:jc w:val="center"/>
        </w:trPr>
        <w:tc>
          <w:tcPr>
            <w:tcW w:w="1499" w:type="dxa"/>
            <w:tcBorders>
              <w:top w:val="single" w:color="000000" w:sz="8" w:space="0"/>
              <w:left w:val="nil"/>
              <w:bottom w:val="single" w:color="000000" w:sz="4" w:space="0"/>
              <w:right w:val="nil"/>
            </w:tcBorders>
            <w:vAlign w:val="center"/>
          </w:tcPr>
          <w:p>
            <w:pPr>
              <w:rPr>
                <w:rFonts w:ascii="Times New Roman" w:hAnsi="Times New Roman" w:cs="Times New Roman"/>
                <w:sz w:val="20"/>
                <w:szCs w:val="20"/>
              </w:rPr>
            </w:pPr>
            <w:r>
              <w:rPr>
                <w:rFonts w:ascii="Times New Roman" w:hAnsi="Times New Roman" w:cs="Times New Roman"/>
                <w:b/>
                <w:sz w:val="20"/>
                <w:szCs w:val="20"/>
              </w:rPr>
              <w:t>Configuration</w:t>
            </w:r>
          </w:p>
        </w:tc>
        <w:tc>
          <w:tcPr>
            <w:tcW w:w="1560" w:type="dxa"/>
            <w:tcBorders>
              <w:top w:val="single" w:color="000000" w:sz="8" w:space="0"/>
              <w:left w:val="nil"/>
              <w:bottom w:val="single" w:color="000000" w:sz="4" w:space="0"/>
              <w:right w:val="nil"/>
            </w:tcBorders>
            <w:vAlign w:val="center"/>
          </w:tcPr>
          <w:p>
            <w:pPr>
              <w:rPr>
                <w:rFonts w:ascii="Times New Roman" w:hAnsi="Times New Roman" w:cs="Times New Roman"/>
                <w:sz w:val="20"/>
                <w:szCs w:val="20"/>
              </w:rPr>
            </w:pPr>
            <w:r>
              <w:rPr>
                <w:rFonts w:ascii="Times New Roman" w:hAnsi="Times New Roman" w:cs="Times New Roman"/>
                <w:b/>
                <w:sz w:val="20"/>
                <w:szCs w:val="20"/>
              </w:rPr>
              <w:t>Representation</w:t>
            </w:r>
          </w:p>
        </w:tc>
        <w:tc>
          <w:tcPr>
            <w:tcW w:w="1164" w:type="dxa"/>
            <w:tcBorders>
              <w:top w:val="single" w:color="000000" w:sz="8" w:space="0"/>
              <w:left w:val="nil"/>
              <w:bottom w:val="single" w:color="000000" w:sz="4" w:space="0"/>
              <w:right w:val="nil"/>
            </w:tcBorders>
            <w:vAlign w:val="center"/>
          </w:tcPr>
          <w:p>
            <w:pPr>
              <w:rPr>
                <w:rFonts w:ascii="Times New Roman" w:hAnsi="Times New Roman" w:cs="Times New Roman"/>
                <w:sz w:val="20"/>
                <w:szCs w:val="20"/>
              </w:rPr>
            </w:pPr>
            <w:r>
              <w:rPr>
                <w:rFonts w:ascii="Times New Roman" w:hAnsi="Times New Roman" w:cs="Times New Roman"/>
                <w:b/>
                <w:sz w:val="20"/>
                <w:szCs w:val="20"/>
              </w:rPr>
              <w:t>Dimension</w:t>
            </w:r>
          </w:p>
        </w:tc>
        <w:tc>
          <w:tcPr>
            <w:tcW w:w="1404" w:type="dxa"/>
            <w:tcBorders>
              <w:top w:val="single" w:color="000000" w:sz="8" w:space="0"/>
              <w:left w:val="nil"/>
              <w:bottom w:val="single" w:color="000000" w:sz="4" w:space="0"/>
              <w:right w:val="nil"/>
            </w:tcBorders>
            <w:vAlign w:val="center"/>
          </w:tcPr>
          <w:p>
            <w:pPr>
              <w:rPr>
                <w:rFonts w:ascii="Times New Roman" w:hAnsi="Times New Roman" w:cs="Times New Roman"/>
                <w:sz w:val="20"/>
                <w:szCs w:val="20"/>
              </w:rPr>
            </w:pPr>
            <w:r>
              <w:rPr>
                <w:rFonts w:ascii="Times New Roman" w:hAnsi="Times New Roman" w:cs="Times New Roman"/>
                <w:b/>
                <w:sz w:val="20"/>
                <w:szCs w:val="20"/>
              </w:rPr>
              <w:t>Selection rule</w:t>
            </w:r>
          </w:p>
        </w:tc>
        <w:tc>
          <w:tcPr>
            <w:tcW w:w="660" w:type="dxa"/>
            <w:tcBorders>
              <w:top w:val="single" w:color="000000" w:sz="8" w:space="0"/>
              <w:left w:val="nil"/>
              <w:bottom w:val="single" w:color="000000" w:sz="4" w:space="0"/>
              <w:right w:val="nil"/>
            </w:tcBorders>
            <w:vAlign w:val="center"/>
          </w:tcPr>
          <w:p>
            <w:pPr>
              <w:rPr>
                <w:rFonts w:ascii="Times New Roman" w:hAnsi="Times New Roman" w:cs="Times New Roman"/>
                <w:sz w:val="20"/>
                <w:szCs w:val="20"/>
              </w:rPr>
            </w:pPr>
            <w:r>
              <w:rPr>
                <w:rFonts w:ascii="Times New Roman" w:hAnsi="Times New Roman" w:cs="Times New Roman"/>
                <w:b/>
                <w:sz w:val="20"/>
                <w:szCs w:val="20"/>
              </w:rPr>
              <w:t>ARD</w:t>
            </w:r>
          </w:p>
        </w:tc>
        <w:tc>
          <w:tcPr>
            <w:tcW w:w="2412" w:type="dxa"/>
            <w:tcBorders>
              <w:top w:val="single" w:color="000000" w:sz="8" w:space="0"/>
              <w:left w:val="nil"/>
              <w:bottom w:val="single" w:color="000000" w:sz="4" w:space="0"/>
              <w:right w:val="nil"/>
            </w:tcBorders>
          </w:tcPr>
          <w:p>
            <w:pPr>
              <w:rPr>
                <w:rFonts w:ascii="Times New Roman" w:hAnsi="Times New Roman" w:cs="Times New Roman"/>
                <w:b/>
                <w:sz w:val="20"/>
                <w:szCs w:val="20"/>
              </w:rPr>
            </w:pPr>
            <w:r>
              <w:rPr>
                <w:rFonts w:ascii="Times New Roman" w:hAnsi="Times New Roman" w:cs="Times New Roman"/>
                <w:b/>
                <w:sz w:val="20"/>
                <w:szCs w:val="20"/>
              </w:rPr>
              <w:t>Display label</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C01</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Manual</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14</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qEHVI-Manual (ARD on)</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C02</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Manual</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14</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qEHVI-Manual (ARD off)</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C03</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Hybrid-PCA80</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41</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qEHVI-P80 (ARD on)</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C04</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Hybrid-PCA80</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41</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qEHVI-P80 (ARD off)</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C05</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Hybrid-PCA85</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58</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qEHVI-P85 (ARD on)</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C06</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Hybrid-PCA85</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58</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qEHVI-P85 (ARD off)</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C07</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Hybrid-PCA90</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86</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qEHVI-P90 (ARD on)</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C08</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Hybrid-PCA90</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86</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qEHVI-P90 (ARD off)</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C09</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Hybrid-PCA95</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145</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qEHVI-P95 (ARD on)</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C10</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Hybrid-PCA95</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145</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qEHVI</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qEHVI-P95 (ARD off)</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C11</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Manual</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14</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Greedy-Manual (ARD on)</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C12</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Manual</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14</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Greedy-Manual (ARD off)</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C13</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Hybrid-PCA80</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41</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Greedy-P80 (ARD on)</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C14</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Hybrid-PCA80</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41</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Greedy-P80 (ARD off)</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C15</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Hybrid-PCA85</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58</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Greedy-P85 (ARD on)</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C16</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Hybrid-PCA85</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58</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Greedy-P85 (ARD off)</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C17</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Hybrid-PCA90</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86</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Greedy-P90 (ARD on)</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C18</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Hybrid-PCA90</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86</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Greedy-P90 (ARD off)</w:t>
            </w:r>
          </w:p>
        </w:tc>
      </w:tr>
      <w:tr>
        <w:tblPrEx>
          <w:tblCellMar>
            <w:top w:w="0" w:type="dxa"/>
            <w:left w:w="108" w:type="dxa"/>
            <w:bottom w:w="0" w:type="dxa"/>
            <w:right w:w="108" w:type="dxa"/>
          </w:tblCellMar>
        </w:tblPrEx>
        <w:trPr>
          <w:cantSplit/>
          <w:jc w:val="center"/>
        </w:trPr>
        <w:tc>
          <w:tcPr>
            <w:tcW w:w="1499"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C19</w:t>
            </w:r>
          </w:p>
        </w:tc>
        <w:tc>
          <w:tcPr>
            <w:tcW w:w="15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Hybrid-PCA95</w:t>
            </w:r>
          </w:p>
        </w:tc>
        <w:tc>
          <w:tcPr>
            <w:tcW w:w="116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145</w:t>
            </w:r>
          </w:p>
        </w:tc>
        <w:tc>
          <w:tcPr>
            <w:tcW w:w="1404"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nil"/>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on</w:t>
            </w:r>
          </w:p>
        </w:tc>
        <w:tc>
          <w:tcPr>
            <w:tcW w:w="2412"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Greedy-P95 (ARD on)</w:t>
            </w:r>
          </w:p>
        </w:tc>
      </w:tr>
      <w:tr>
        <w:tblPrEx>
          <w:tblCellMar>
            <w:top w:w="0" w:type="dxa"/>
            <w:left w:w="108" w:type="dxa"/>
            <w:bottom w:w="0" w:type="dxa"/>
            <w:right w:w="108" w:type="dxa"/>
          </w:tblCellMar>
        </w:tblPrEx>
        <w:trPr>
          <w:cantSplit/>
          <w:jc w:val="center"/>
        </w:trPr>
        <w:tc>
          <w:tcPr>
            <w:tcW w:w="1499" w:type="dxa"/>
            <w:tcBorders>
              <w:top w:val="nil"/>
              <w:left w:val="nil"/>
              <w:bottom w:val="single" w:color="000000" w:sz="8" w:space="0"/>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C20</w:t>
            </w:r>
          </w:p>
        </w:tc>
        <w:tc>
          <w:tcPr>
            <w:tcW w:w="1560" w:type="dxa"/>
            <w:tcBorders>
              <w:top w:val="nil"/>
              <w:left w:val="nil"/>
              <w:bottom w:val="single" w:color="000000" w:sz="8" w:space="0"/>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Hybrid-PCA95</w:t>
            </w:r>
          </w:p>
        </w:tc>
        <w:tc>
          <w:tcPr>
            <w:tcW w:w="1164" w:type="dxa"/>
            <w:tcBorders>
              <w:top w:val="nil"/>
              <w:left w:val="nil"/>
              <w:bottom w:val="single" w:color="000000" w:sz="8" w:space="0"/>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145</w:t>
            </w:r>
          </w:p>
        </w:tc>
        <w:tc>
          <w:tcPr>
            <w:tcW w:w="1404" w:type="dxa"/>
            <w:tcBorders>
              <w:top w:val="nil"/>
              <w:left w:val="nil"/>
              <w:bottom w:val="single" w:color="000000" w:sz="8" w:space="0"/>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Greedy</w:t>
            </w:r>
          </w:p>
        </w:tc>
        <w:tc>
          <w:tcPr>
            <w:tcW w:w="660" w:type="dxa"/>
            <w:tcBorders>
              <w:top w:val="nil"/>
              <w:left w:val="nil"/>
              <w:bottom w:val="single" w:color="000000" w:sz="8" w:space="0"/>
              <w:right w:val="nil"/>
            </w:tcBorders>
            <w:vAlign w:val="center"/>
          </w:tcPr>
          <w:p>
            <w:pPr>
              <w:rPr>
                <w:rFonts w:ascii="Times New Roman" w:hAnsi="Times New Roman" w:cs="Times New Roman"/>
                <w:sz w:val="20"/>
                <w:szCs w:val="20"/>
              </w:rPr>
            </w:pPr>
            <w:r>
              <w:rPr>
                <w:rFonts w:ascii="Times New Roman" w:hAnsi="Times New Roman" w:cs="Times New Roman"/>
                <w:sz w:val="20"/>
                <w:szCs w:val="20"/>
              </w:rPr>
              <w:t>off</w:t>
            </w:r>
          </w:p>
        </w:tc>
        <w:tc>
          <w:tcPr>
            <w:tcW w:w="2412" w:type="dxa"/>
            <w:tcBorders>
              <w:top w:val="nil"/>
              <w:left w:val="nil"/>
              <w:bottom w:val="single" w:color="000000" w:sz="8" w:space="0"/>
              <w:right w:val="nil"/>
            </w:tcBorders>
          </w:tcPr>
          <w:p>
            <w:pPr>
              <w:rPr>
                <w:rFonts w:ascii="Times New Roman" w:hAnsi="Times New Roman" w:cs="Times New Roman"/>
                <w:sz w:val="20"/>
                <w:szCs w:val="20"/>
              </w:rPr>
            </w:pPr>
            <w:r>
              <w:rPr>
                <w:rFonts w:ascii="Times New Roman" w:hAnsi="Times New Roman" w:cs="Times New Roman"/>
                <w:sz w:val="20"/>
                <w:szCs w:val="20"/>
              </w:rPr>
              <w:t>Greedy-P95 (ARD off)</w:t>
            </w:r>
          </w:p>
        </w:tc>
      </w:tr>
    </w:tbl>
    <w:p>
      <w:pPr>
        <w:pStyle w:val="11"/>
        <w:ind w:firstLine="420"/>
        <w:rPr>
          <w:rFonts w:cs="Times New Roman"/>
          <w:color w:val="auto"/>
          <w:sz w:val="21"/>
          <w:szCs w:val="21"/>
        </w:rPr>
      </w:pPr>
      <w:r>
        <w:rPr>
          <w:rFonts w:cs="Times New Roman"/>
          <w:color w:val="auto"/>
          <w:sz w:val="21"/>
          <w:szCs w:val="21"/>
        </w:rPr>
        <w:t>The complete factorial screen was evaluated at the 10% query budget, denoted 753, corresponding to 753 cumulative queried MOFs, including the common 100-MOF initial design. Supplementary Table 2</w:t>
      </w:r>
      <w:r>
        <w:rPr>
          <w:rFonts w:eastAsia="宋体" w:cs="Times New Roman"/>
          <w:color w:val="auto"/>
          <w:sz w:val="21"/>
          <w:szCs w:val="21"/>
        </w:rPr>
        <w:t>0</w:t>
      </w:r>
      <w:r>
        <w:rPr>
          <w:rFonts w:cs="Times New Roman"/>
          <w:color w:val="auto"/>
          <w:sz w:val="21"/>
          <w:szCs w:val="21"/>
        </w:rPr>
        <w:t xml:space="preserve"> reports normalized hypervolume, strict Pareto-front recovery and Top-3 Pareto-layer capture for all 20 model-guided configurations. Supplementary Table 2</w:t>
      </w:r>
      <w:r>
        <w:rPr>
          <w:rFonts w:eastAsia="宋体" w:cs="Times New Roman"/>
          <w:color w:val="auto"/>
          <w:sz w:val="21"/>
          <w:szCs w:val="21"/>
        </w:rPr>
        <w:t>1</w:t>
      </w:r>
      <w:r>
        <w:rPr>
          <w:rFonts w:cs="Times New Roman"/>
          <w:color w:val="auto"/>
          <w:sz w:val="21"/>
          <w:szCs w:val="21"/>
        </w:rPr>
        <w:t xml:space="preserve"> reports the corresponding CEES-, DMMP- and EtCl-specific Top-1% recovery values and their unweighted mean. </w:t>
      </w:r>
    </w:p>
    <w:p>
      <w:pPr>
        <w:pStyle w:val="11"/>
        <w:jc w:val="center"/>
        <w:rPr>
          <w:rFonts w:cs="Times New Roman"/>
          <w:b/>
          <w:bCs w:val="0"/>
          <w:color w:val="auto"/>
        </w:rPr>
      </w:pPr>
    </w:p>
    <w:p>
      <w:pPr>
        <w:pStyle w:val="11"/>
        <w:jc w:val="center"/>
        <w:rPr>
          <w:rFonts w:cs="Times New Roman"/>
          <w:b/>
          <w:bCs w:val="0"/>
          <w:color w:val="auto"/>
        </w:rPr>
      </w:pPr>
      <w:r>
        <w:rPr>
          <w:rFonts w:cs="Times New Roman"/>
          <w:b/>
          <w:bCs w:val="0"/>
          <w:color w:val="auto"/>
        </w:rPr>
        <w:t xml:space="preserve">Supplementary Table </w:t>
      </w:r>
      <w:r>
        <w:rPr>
          <w:rFonts w:cs="Times New Roman" w:eastAsiaTheme="minorEastAsia"/>
          <w:b/>
          <w:bCs w:val="0"/>
          <w:color w:val="auto"/>
        </w:rPr>
        <w:t>20</w:t>
      </w:r>
      <w:r>
        <w:rPr>
          <w:rFonts w:cs="Times New Roman"/>
          <w:b/>
          <w:bCs w:val="0"/>
          <w:color w:val="auto"/>
        </w:rPr>
        <w:t xml:space="preserve"> | Multi-objective BO performance of the 20 model-guided configurations at the 10% query budget.</w:t>
      </w:r>
    </w:p>
    <w:tbl>
      <w:tblPr>
        <w:tblStyle w:val="20"/>
        <w:tblW w:w="8345" w:type="dxa"/>
        <w:jc w:val="center"/>
        <w:tblLayout w:type="fixed"/>
        <w:tblCellMar>
          <w:top w:w="0" w:type="dxa"/>
          <w:left w:w="108" w:type="dxa"/>
          <w:bottom w:w="0" w:type="dxa"/>
          <w:right w:w="108" w:type="dxa"/>
        </w:tblCellMar>
      </w:tblPr>
      <w:tblGrid>
        <w:gridCol w:w="2575"/>
        <w:gridCol w:w="2008"/>
        <w:gridCol w:w="2060"/>
        <w:gridCol w:w="1702"/>
      </w:tblGrid>
      <w:tr>
        <w:tblPrEx>
          <w:tblCellMar>
            <w:top w:w="0" w:type="dxa"/>
            <w:left w:w="108" w:type="dxa"/>
            <w:bottom w:w="0" w:type="dxa"/>
            <w:right w:w="108" w:type="dxa"/>
          </w:tblCellMar>
        </w:tblPrEx>
        <w:trPr>
          <w:cantSplit/>
          <w:jc w:val="center"/>
        </w:trPr>
        <w:tc>
          <w:tcPr>
            <w:tcW w:w="2575" w:type="dxa"/>
            <w:tcBorders>
              <w:top w:val="single" w:color="000000" w:sz="8" w:space="0"/>
              <w:left w:val="nil"/>
              <w:bottom w:val="single" w:color="000000" w:sz="4" w:space="0"/>
              <w:right w:val="nil"/>
            </w:tcBorders>
            <w:vAlign w:val="center"/>
          </w:tcPr>
          <w:p>
            <w:pPr>
              <w:jc w:val="center"/>
              <w:rPr>
                <w:rFonts w:ascii="Times New Roman" w:hAnsi="Times New Roman" w:cs="Times New Roman"/>
                <w:sz w:val="20"/>
                <w:szCs w:val="20"/>
              </w:rPr>
            </w:pPr>
            <w:r>
              <w:rPr>
                <w:rFonts w:ascii="Times New Roman" w:hAnsi="Times New Roman" w:cs="Times New Roman"/>
                <w:b/>
                <w:sz w:val="20"/>
                <w:szCs w:val="20"/>
              </w:rPr>
              <w:t>Display label</w:t>
            </w:r>
          </w:p>
        </w:tc>
        <w:tc>
          <w:tcPr>
            <w:tcW w:w="2008" w:type="dxa"/>
            <w:tcBorders>
              <w:top w:val="single" w:color="000000" w:sz="8" w:space="0"/>
              <w:left w:val="nil"/>
              <w:bottom w:val="single" w:color="000000" w:sz="4" w:space="0"/>
              <w:right w:val="nil"/>
            </w:tcBorders>
            <w:vAlign w:val="center"/>
          </w:tcPr>
          <w:p>
            <w:pPr>
              <w:jc w:val="center"/>
              <w:rPr>
                <w:rFonts w:ascii="Times New Roman" w:hAnsi="Times New Roman" w:cs="Times New Roman"/>
                <w:sz w:val="20"/>
                <w:szCs w:val="20"/>
              </w:rPr>
            </w:pPr>
            <w:r>
              <w:rPr>
                <w:rFonts w:ascii="Times New Roman" w:hAnsi="Times New Roman" w:cs="Times New Roman"/>
                <w:b/>
                <w:sz w:val="20"/>
                <w:szCs w:val="20"/>
              </w:rPr>
              <w:t>Normalized HV</w:t>
            </w:r>
          </w:p>
        </w:tc>
        <w:tc>
          <w:tcPr>
            <w:tcW w:w="2060" w:type="dxa"/>
            <w:tcBorders>
              <w:top w:val="single" w:color="000000" w:sz="8" w:space="0"/>
              <w:left w:val="nil"/>
              <w:bottom w:val="single" w:color="000000" w:sz="4" w:space="0"/>
              <w:right w:val="nil"/>
            </w:tcBorders>
            <w:vAlign w:val="center"/>
          </w:tcPr>
          <w:p>
            <w:pPr>
              <w:jc w:val="center"/>
              <w:rPr>
                <w:rFonts w:ascii="Times New Roman" w:hAnsi="Times New Roman" w:cs="Times New Roman"/>
                <w:sz w:val="20"/>
                <w:szCs w:val="20"/>
              </w:rPr>
            </w:pPr>
            <w:r>
              <w:rPr>
                <w:rFonts w:ascii="Times New Roman" w:hAnsi="Times New Roman" w:cs="Times New Roman"/>
                <w:b/>
                <w:sz w:val="20"/>
                <w:szCs w:val="20"/>
              </w:rPr>
              <w:t>Strict-front recovery</w:t>
            </w:r>
          </w:p>
        </w:tc>
        <w:tc>
          <w:tcPr>
            <w:tcW w:w="1702" w:type="dxa"/>
            <w:tcBorders>
              <w:top w:val="single" w:color="000000" w:sz="8" w:space="0"/>
              <w:left w:val="nil"/>
              <w:bottom w:val="single" w:color="000000" w:sz="4" w:space="0"/>
              <w:right w:val="nil"/>
            </w:tcBorders>
            <w:vAlign w:val="center"/>
          </w:tcPr>
          <w:p>
            <w:pPr>
              <w:jc w:val="center"/>
              <w:rPr>
                <w:rFonts w:ascii="Times New Roman" w:hAnsi="Times New Roman" w:cs="Times New Roman"/>
                <w:b/>
                <w:sz w:val="20"/>
                <w:szCs w:val="20"/>
              </w:rPr>
            </w:pPr>
            <w:r>
              <w:rPr>
                <w:rFonts w:ascii="Times New Roman" w:hAnsi="Times New Roman" w:cs="Times New Roman"/>
                <w:b/>
                <w:sz w:val="20"/>
                <w:szCs w:val="20"/>
              </w:rPr>
              <w:t>Top-3 recovery</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qEHVI-Manual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0.997 ± 0.001</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0.400 ± 0.094</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0.545 ± 0.073</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qEHVI-Manual (ARD off)</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0.933 ± 0.123</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0.387 ± 0.110</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0.446 ± 0.022</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qEHVI-P80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0.642 ± 0.048</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0.360 ± 0.219</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0.446 ± 0.054</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qEHVI-P80 (ARD off)</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0.993 ± 0.012</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0.493 ± 0.076</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0.465 ± 0.058</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qEHVI-P85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0.712 ± 0.159</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0.333 ± 0.067</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0.416 ± 0.065</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qEHVI-P85 (ARD off)</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0.994 ± 0.012</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0.587 ± 0.056</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0.559 ± 0.026</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qEHVI-P90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0.871 ± 0.150</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0.253 ± 0.056</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0.312 ± 0.028</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qEHVI-P90 (ARD off)</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0.909 ± 0.171</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0.507 ± 0.138</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0.496 ± 0.082</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qEHVI-P95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0.595 ± 0.011</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0.093 ± 0.037</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0.262 ± 0.030</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qEHVI-P95 (ARD off)</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0.600 ± 0.006</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0.133 ± 0.047</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0.294 ± 0.016</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Greedy-Manual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0.992 ± 0.012</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0.453 ± 0.152</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0.496 ± 0.112</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Greedy-Manual (ARD off)</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0.768 ± 0.122</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0.307 ± 0.121</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0.361 ± 0.084</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Greedy-P80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0.600 ± 0.089</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0.147 ± 0.128</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0.264 ± 0.059</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Greedy-P80 (ARD off)</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0.756 ± 0.140</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0.320 ± 0.119</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0.428 ± 0.057</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Greedy-P85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0.681 ± 0.164</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0.267 ± 0.105</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0.347 ± 0.093</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Greedy-P85 (ARD off)</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0.719 ± 0.006</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0.387 ± 0.119</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0.469 ± 0.060</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Greedy-P90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0.709 ± 0.003</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0.307 ± 0.101</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0.338 ± 0.041</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Greedy-P90 (ARD off)</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0.875 ± 0.145</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0.360 ± 0.138</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0.434 ± 0.087</w:t>
            </w:r>
          </w:p>
        </w:tc>
      </w:tr>
      <w:tr>
        <w:tblPrEx>
          <w:tblCellMar>
            <w:top w:w="0" w:type="dxa"/>
            <w:left w:w="108" w:type="dxa"/>
            <w:bottom w:w="0" w:type="dxa"/>
            <w:right w:w="108" w:type="dxa"/>
          </w:tblCellMar>
        </w:tblPrEx>
        <w:trPr>
          <w:cantSplit/>
          <w:jc w:val="center"/>
        </w:trPr>
        <w:tc>
          <w:tcPr>
            <w:tcW w:w="2575"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Greedy-P95 (ARD on)</w:t>
            </w:r>
          </w:p>
        </w:tc>
        <w:tc>
          <w:tcPr>
            <w:tcW w:w="2008"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0.595 ± 0.010</w:t>
            </w:r>
          </w:p>
        </w:tc>
        <w:tc>
          <w:tcPr>
            <w:tcW w:w="20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0.080 ± 0.056</w:t>
            </w:r>
          </w:p>
        </w:tc>
        <w:tc>
          <w:tcPr>
            <w:tcW w:w="170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0.262 ± 0.030</w:t>
            </w:r>
          </w:p>
        </w:tc>
      </w:tr>
      <w:tr>
        <w:tblPrEx>
          <w:tblCellMar>
            <w:top w:w="0" w:type="dxa"/>
            <w:left w:w="108" w:type="dxa"/>
            <w:bottom w:w="0" w:type="dxa"/>
            <w:right w:w="108" w:type="dxa"/>
          </w:tblCellMar>
        </w:tblPrEx>
        <w:trPr>
          <w:cantSplit/>
          <w:jc w:val="center"/>
        </w:trPr>
        <w:tc>
          <w:tcPr>
            <w:tcW w:w="2575" w:type="dxa"/>
            <w:tcBorders>
              <w:top w:val="nil"/>
              <w:left w:val="nil"/>
              <w:bottom w:val="single" w:color="000000" w:sz="8" w:space="0"/>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Greedy-P95 (ARD off)</w:t>
            </w:r>
          </w:p>
        </w:tc>
        <w:tc>
          <w:tcPr>
            <w:tcW w:w="2008" w:type="dxa"/>
            <w:tcBorders>
              <w:top w:val="nil"/>
              <w:left w:val="nil"/>
              <w:bottom w:val="single" w:color="000000" w:sz="8" w:space="0"/>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0.600 ± 0.006</w:t>
            </w:r>
          </w:p>
        </w:tc>
        <w:tc>
          <w:tcPr>
            <w:tcW w:w="2060" w:type="dxa"/>
            <w:tcBorders>
              <w:top w:val="nil"/>
              <w:left w:val="nil"/>
              <w:bottom w:val="single" w:color="000000" w:sz="8" w:space="0"/>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0.147 ± 0.030</w:t>
            </w:r>
          </w:p>
        </w:tc>
        <w:tc>
          <w:tcPr>
            <w:tcW w:w="1702" w:type="dxa"/>
            <w:tcBorders>
              <w:top w:val="nil"/>
              <w:left w:val="nil"/>
              <w:bottom w:val="single" w:color="000000" w:sz="8" w:space="0"/>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0.292 ± 0.018</w:t>
            </w:r>
          </w:p>
        </w:tc>
      </w:tr>
    </w:tbl>
    <w:p>
      <w:pPr>
        <w:pStyle w:val="11"/>
        <w:jc w:val="center"/>
        <w:rPr>
          <w:rFonts w:cs="Times New Roman"/>
          <w:b/>
          <w:bCs w:val="0"/>
          <w:color w:val="auto"/>
        </w:rPr>
      </w:pPr>
      <w:r>
        <w:rPr>
          <w:rFonts w:cs="Times New Roman"/>
          <w:b/>
          <w:bCs w:val="0"/>
          <w:color w:val="auto"/>
        </w:rPr>
        <w:t xml:space="preserve">Supplementary Table </w:t>
      </w:r>
      <w:r>
        <w:rPr>
          <w:rFonts w:cs="Times New Roman" w:eastAsiaTheme="minorEastAsia"/>
          <w:b/>
          <w:bCs w:val="0"/>
          <w:color w:val="auto"/>
        </w:rPr>
        <w:t>21</w:t>
      </w:r>
      <w:r>
        <w:rPr>
          <w:rFonts w:cs="Times New Roman"/>
          <w:b/>
          <w:bCs w:val="0"/>
          <w:color w:val="auto"/>
        </w:rPr>
        <w:t xml:space="preserve"> | Target-specific Top-1% recovery of the 20 model-guided configurations at the 10% query budget.</w:t>
      </w:r>
    </w:p>
    <w:tbl>
      <w:tblPr>
        <w:tblStyle w:val="20"/>
        <w:tblW w:w="8727" w:type="dxa"/>
        <w:jc w:val="center"/>
        <w:tblLayout w:type="fixed"/>
        <w:tblCellMar>
          <w:top w:w="0" w:type="dxa"/>
          <w:left w:w="108" w:type="dxa"/>
          <w:bottom w:w="0" w:type="dxa"/>
          <w:right w:w="108" w:type="dxa"/>
        </w:tblCellMar>
      </w:tblPr>
      <w:tblGrid>
        <w:gridCol w:w="2415"/>
        <w:gridCol w:w="1560"/>
        <w:gridCol w:w="1644"/>
        <w:gridCol w:w="1656"/>
        <w:gridCol w:w="1452"/>
      </w:tblGrid>
      <w:tr>
        <w:tblPrEx>
          <w:tblCellMar>
            <w:top w:w="0" w:type="dxa"/>
            <w:left w:w="108" w:type="dxa"/>
            <w:bottom w:w="0" w:type="dxa"/>
            <w:right w:w="108" w:type="dxa"/>
          </w:tblCellMar>
        </w:tblPrEx>
        <w:trPr>
          <w:cantSplit/>
          <w:jc w:val="center"/>
        </w:trPr>
        <w:tc>
          <w:tcPr>
            <w:tcW w:w="2415" w:type="dxa"/>
            <w:tcBorders>
              <w:top w:val="single" w:color="000000" w:sz="8" w:space="0"/>
              <w:left w:val="nil"/>
              <w:bottom w:val="single" w:color="000000" w:sz="4" w:space="0"/>
              <w:right w:val="nil"/>
            </w:tcBorders>
            <w:vAlign w:val="center"/>
          </w:tcPr>
          <w:p>
            <w:pPr>
              <w:jc w:val="center"/>
              <w:rPr>
                <w:rFonts w:ascii="Times New Roman" w:hAnsi="Times New Roman" w:cs="Times New Roman"/>
                <w:sz w:val="20"/>
                <w:szCs w:val="20"/>
              </w:rPr>
            </w:pPr>
            <w:r>
              <w:rPr>
                <w:rFonts w:ascii="Times New Roman" w:hAnsi="Times New Roman" w:cs="Times New Roman"/>
                <w:b/>
                <w:sz w:val="20"/>
                <w:szCs w:val="20"/>
              </w:rPr>
              <w:t>Display label</w:t>
            </w:r>
          </w:p>
        </w:tc>
        <w:tc>
          <w:tcPr>
            <w:tcW w:w="1560" w:type="dxa"/>
            <w:tcBorders>
              <w:top w:val="single" w:color="000000" w:sz="8" w:space="0"/>
              <w:left w:val="nil"/>
              <w:bottom w:val="single" w:color="000000" w:sz="4" w:space="0"/>
              <w:right w:val="nil"/>
            </w:tcBorders>
            <w:vAlign w:val="center"/>
          </w:tcPr>
          <w:p>
            <w:pPr>
              <w:rPr>
                <w:rFonts w:ascii="Times New Roman" w:hAnsi="Times New Roman" w:cs="Times New Roman"/>
                <w:sz w:val="20"/>
                <w:szCs w:val="20"/>
              </w:rPr>
            </w:pPr>
            <w:r>
              <w:rPr>
                <w:rFonts w:ascii="Times New Roman" w:hAnsi="Times New Roman" w:cs="Times New Roman"/>
                <w:b/>
                <w:sz w:val="20"/>
                <w:szCs w:val="20"/>
              </w:rPr>
              <w:t>CEES Top-1%</w:t>
            </w:r>
          </w:p>
        </w:tc>
        <w:tc>
          <w:tcPr>
            <w:tcW w:w="1644" w:type="dxa"/>
            <w:tcBorders>
              <w:top w:val="single" w:color="000000" w:sz="8" w:space="0"/>
              <w:left w:val="nil"/>
              <w:bottom w:val="single" w:color="000000" w:sz="4" w:space="0"/>
              <w:right w:val="nil"/>
            </w:tcBorders>
            <w:vAlign w:val="center"/>
          </w:tcPr>
          <w:p>
            <w:pPr>
              <w:rPr>
                <w:rFonts w:ascii="Times New Roman" w:hAnsi="Times New Roman" w:cs="Times New Roman"/>
                <w:sz w:val="20"/>
                <w:szCs w:val="20"/>
              </w:rPr>
            </w:pPr>
            <w:r>
              <w:rPr>
                <w:rFonts w:ascii="Times New Roman" w:hAnsi="Times New Roman" w:cs="Times New Roman"/>
                <w:b/>
                <w:bCs/>
                <w:sz w:val="20"/>
                <w:szCs w:val="20"/>
              </w:rPr>
              <w:t>DMMP Top-1%</w:t>
            </w:r>
          </w:p>
        </w:tc>
        <w:tc>
          <w:tcPr>
            <w:tcW w:w="1656" w:type="dxa"/>
            <w:tcBorders>
              <w:top w:val="single" w:color="000000" w:sz="8" w:space="0"/>
              <w:left w:val="nil"/>
              <w:bottom w:val="single" w:color="000000" w:sz="4" w:space="0"/>
              <w:right w:val="nil"/>
            </w:tcBorders>
          </w:tcPr>
          <w:p>
            <w:pPr>
              <w:rPr>
                <w:rFonts w:ascii="Times New Roman" w:hAnsi="Times New Roman" w:cs="Times New Roman"/>
                <w:b/>
                <w:sz w:val="20"/>
                <w:szCs w:val="20"/>
              </w:rPr>
            </w:pPr>
            <w:r>
              <w:rPr>
                <w:rFonts w:ascii="Times New Roman" w:hAnsi="Times New Roman" w:cs="Times New Roman"/>
                <w:b/>
                <w:sz w:val="20"/>
                <w:szCs w:val="20"/>
              </w:rPr>
              <w:t>EtCl Top-1%</w:t>
            </w:r>
          </w:p>
        </w:tc>
        <w:tc>
          <w:tcPr>
            <w:tcW w:w="1452" w:type="dxa"/>
            <w:tcBorders>
              <w:top w:val="single" w:color="000000" w:sz="8" w:space="0"/>
              <w:left w:val="nil"/>
              <w:bottom w:val="single" w:color="000000" w:sz="4" w:space="0"/>
              <w:right w:val="nil"/>
            </w:tcBorders>
          </w:tcPr>
          <w:p>
            <w:pPr>
              <w:rPr>
                <w:rFonts w:ascii="Times New Roman" w:hAnsi="Times New Roman" w:cs="Times New Roman"/>
                <w:b/>
                <w:sz w:val="20"/>
                <w:szCs w:val="20"/>
              </w:rPr>
            </w:pPr>
            <w:r>
              <w:rPr>
                <w:rFonts w:ascii="Times New Roman" w:hAnsi="Times New Roman" w:cs="Times New Roman"/>
                <w:b/>
                <w:sz w:val="20"/>
                <w:szCs w:val="20"/>
              </w:rPr>
              <w:t>Mean Top-1%</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qEHVI-Manual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0.437 ± 0.077</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0.868 ± 0.067</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0.324 ± 0.092</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0.543 ± 0.067</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qEHVI-Manual (ARD off)</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0.321 ± 0.040</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0.797 ± 0.018</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0.345 ± 0.049</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0.488 ± 0.028</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qEHVI-P80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0.463 ± 0.084</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0.587 ± 0.080</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0.305 ± 0.067</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0.452 ± 0.045</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qEHVI-P80 (ARD off)</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0.337 ± 0.078</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0.634 ± 0.040</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0.482 ± 0.094</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0.484 ± 0.035</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qEHVI-P85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0.442 ± 0.116</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0.555 ± 0.061</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0.353 ± 0.126</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0.450 ± 0.061</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qEHVI-P85 (ARD off)</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0.500 ± 0.044</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0.663 ± 0.058</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0.503 ± 0.040</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0.555 ± 0.028</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qEHVI-P90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0.442 ± 0.059</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0.184 ± 0.034</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0.105 ± 0.028</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0.244 ± 0.015</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qEHVI-P90 (ARD off)</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0.539 ± 0.067</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0.639 ± 0.115</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0.368 ± 0.151</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0.516 ± 0.101</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qEHVI-P95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0.318 ± 0.034</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0.118 ± 0.029</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0.095 ± 0.025</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0.177 ± 0.025</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qEHVI-P95 (ARD off)</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0.361 ± 0.022</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0.139 ± 0.045</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0.105 ± 0.009</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0.202 ± 0.014</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Greedy-Manual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0.426 ± 0.237</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0.771 ± 0.066</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0.176 ± 0.040</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0.458 ± 0.088</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Greedy-Manual (ARD off)</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0.295 ± 0.146</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0.668 ± 0.039</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0.213 ± 0.047</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0.392 ± 0.032</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Greedy-P80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0.237 ± 0.113</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0.411 ± 0.143</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0.182 ± 0.039</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0.276 ± 0.072</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Greedy-P80 (ARD off)</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0.350 ± 0.075</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0.566 ± 0.042</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0.371 ± 0.083</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0.429 ± 0.051</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Greedy-P85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0.329 ± 0.131</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0.471 ± 0.138</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0.279 ± 0.126</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0.360 ± 0.088</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Greedy-P85 (ARD off)</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0.503 ± 0.079</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0.566 ± 0.047</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0.313 ± 0.081</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0.461 ± 0.049</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Greedy-P90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0.479 ± 0.077</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0.221 ± 0.067</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0.113 ± 0.033</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0.271 ± 0.034</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Greedy-P90 (ARD off)</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0.392 ± 0.096</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0.645 ± 0.100</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0.345 ± 0.085</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0.461 ± 0.075</w:t>
            </w:r>
          </w:p>
        </w:tc>
      </w:tr>
      <w:tr>
        <w:tblPrEx>
          <w:tblCellMar>
            <w:top w:w="0" w:type="dxa"/>
            <w:left w:w="108" w:type="dxa"/>
            <w:bottom w:w="0" w:type="dxa"/>
            <w:right w:w="108" w:type="dxa"/>
          </w:tblCellMar>
        </w:tblPrEx>
        <w:trPr>
          <w:cantSplit/>
          <w:jc w:val="center"/>
        </w:trPr>
        <w:tc>
          <w:tcPr>
            <w:tcW w:w="2415"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Greedy-P95 (ARD on)</w:t>
            </w:r>
          </w:p>
        </w:tc>
        <w:tc>
          <w:tcPr>
            <w:tcW w:w="1560"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0.318 ± 0.037</w:t>
            </w:r>
          </w:p>
        </w:tc>
        <w:tc>
          <w:tcPr>
            <w:tcW w:w="1644"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0.124 ± 0.034</w:t>
            </w:r>
          </w:p>
        </w:tc>
        <w:tc>
          <w:tcPr>
            <w:tcW w:w="1656"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0.097 ± 0.029</w:t>
            </w:r>
          </w:p>
        </w:tc>
        <w:tc>
          <w:tcPr>
            <w:tcW w:w="145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0.180 ± 0.029</w:t>
            </w:r>
          </w:p>
        </w:tc>
      </w:tr>
      <w:tr>
        <w:tblPrEx>
          <w:tblCellMar>
            <w:top w:w="0" w:type="dxa"/>
            <w:left w:w="108" w:type="dxa"/>
            <w:bottom w:w="0" w:type="dxa"/>
            <w:right w:w="108" w:type="dxa"/>
          </w:tblCellMar>
        </w:tblPrEx>
        <w:trPr>
          <w:cantSplit/>
          <w:jc w:val="center"/>
        </w:trPr>
        <w:tc>
          <w:tcPr>
            <w:tcW w:w="2415" w:type="dxa"/>
            <w:tcBorders>
              <w:top w:val="nil"/>
              <w:left w:val="nil"/>
              <w:bottom w:val="single" w:color="000000" w:sz="8" w:space="0"/>
              <w:right w:val="nil"/>
            </w:tcBorders>
          </w:tcPr>
          <w:p>
            <w:pPr>
              <w:rPr>
                <w:rFonts w:ascii="Times New Roman" w:hAnsi="Times New Roman" w:cs="Times New Roman"/>
                <w:sz w:val="20"/>
                <w:szCs w:val="20"/>
              </w:rPr>
            </w:pPr>
            <w:r>
              <w:rPr>
                <w:rFonts w:ascii="Times New Roman" w:hAnsi="Times New Roman" w:cs="Times New Roman"/>
                <w:sz w:val="20"/>
                <w:szCs w:val="20"/>
              </w:rPr>
              <w:t>Greedy-P95 (ARD off)</w:t>
            </w:r>
          </w:p>
        </w:tc>
        <w:tc>
          <w:tcPr>
            <w:tcW w:w="1560" w:type="dxa"/>
            <w:tcBorders>
              <w:top w:val="nil"/>
              <w:left w:val="nil"/>
              <w:bottom w:val="single" w:color="000000" w:sz="8" w:space="0"/>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0.353 ± 0.020</w:t>
            </w:r>
          </w:p>
        </w:tc>
        <w:tc>
          <w:tcPr>
            <w:tcW w:w="1644" w:type="dxa"/>
            <w:tcBorders>
              <w:top w:val="nil"/>
              <w:left w:val="nil"/>
              <w:bottom w:val="single" w:color="000000" w:sz="8" w:space="0"/>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0.139 ± 0.034</w:t>
            </w:r>
          </w:p>
        </w:tc>
        <w:tc>
          <w:tcPr>
            <w:tcW w:w="1656" w:type="dxa"/>
            <w:tcBorders>
              <w:top w:val="nil"/>
              <w:left w:val="nil"/>
              <w:bottom w:val="single" w:color="000000" w:sz="8" w:space="0"/>
              <w:right w:val="nil"/>
            </w:tcBorders>
            <w:vAlign w:val="center"/>
          </w:tcPr>
          <w:p>
            <w:pPr>
              <w:jc w:val="center"/>
              <w:rPr>
                <w:rFonts w:ascii="Times New Roman" w:hAnsi="Times New Roman" w:cs="Times New Roman"/>
                <w:sz w:val="20"/>
                <w:szCs w:val="20"/>
              </w:rPr>
            </w:pPr>
            <w:r>
              <w:rPr>
                <w:rFonts w:ascii="Times New Roman" w:hAnsi="Times New Roman" w:eastAsia="Times New Roman" w:cs="Times New Roman"/>
                <w:sz w:val="20"/>
                <w:szCs w:val="20"/>
              </w:rPr>
              <w:t>0.105 ± 0.009</w:t>
            </w:r>
          </w:p>
        </w:tc>
        <w:tc>
          <w:tcPr>
            <w:tcW w:w="1452" w:type="dxa"/>
            <w:tcBorders>
              <w:top w:val="nil"/>
              <w:left w:val="nil"/>
              <w:bottom w:val="single" w:color="000000" w:sz="8" w:space="0"/>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0.199 ± 0.016</w:t>
            </w:r>
          </w:p>
        </w:tc>
      </w:tr>
    </w:tbl>
    <w:p>
      <w:pPr>
        <w:ind w:firstLine="420"/>
        <w:rPr>
          <w:rFonts w:ascii="Times New Roman" w:hAnsi="Times New Roman" w:cs="Times New Roman"/>
        </w:rPr>
      </w:pPr>
      <w:r>
        <w:rPr>
          <w:rFonts w:ascii="Times New Roman" w:hAnsi="Times New Roman" w:cs="Times New Roman"/>
        </w:rPr>
        <w:t>The complete configuration screen was evaluated at the 10% cumulative query budget, corresponding to 753 evaluated MOFs including the common 100-MOF initial design. Strict-front recovery varied substantially across configurations even when normalized hypervolume was close to one. The highest mean strict-front recovery was obtained by qEHVI-P85 (ARD off; 0.587 ± 0.056), followed by qEHVI-P90 (ARD off; 0.507 ± 0.138) and qEHVI-P80 (ARD off; 0.493 ± 0.076). The strongest Manual-space configurations were Greedy-Manual (ARD on; 0.453 ± 0.152) and qEHVI-Manual (ARD on; 0.400 ± 0.094).</w:t>
      </w:r>
    </w:p>
    <w:p>
      <w:pPr>
        <w:ind w:firstLine="420"/>
        <w:rPr>
          <w:rFonts w:ascii="Times New Roman" w:hAnsi="Times New Roman" w:cs="Times New Roman"/>
        </w:rPr>
      </w:pPr>
      <w:r>
        <w:rPr>
          <w:rFonts w:ascii="Times New Roman" w:hAnsi="Times New Roman" w:cs="Times New Roman"/>
        </w:rPr>
        <w:t>Normalized hypervolume and material-level recovery were not interchangeable. qEHVI-Manual (ARD on) and qEHVI-P85 (ARD off) nearly saturated the full-library hypervolume at the 10% budget, with values of 0.997 ± 0.001 and 0.994 ± 0.012, respectively, but recovered different fractions of the 15-member strict oracle Pareto set: 0.400 ± 0.094 and 0.587 ± 0.056. Target-specific recovery further showed that qEHVI-Manual (ARD on) was strongly enriched toward DMMP, whereas qEHVI-P85 (ARD off) produced a more balanced recovery profile across CEES, DMMP and EtCl.</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drawing>
          <wp:inline distT="0" distB="0" distL="114300" distR="114300">
            <wp:extent cx="5728335" cy="5692140"/>
            <wp:effectExtent l="0" t="0" r="1905" b="7620"/>
            <wp:docPr id="2" name="图片 2" descr="ED_Figure1_full_21config_trajec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D_Figure1_full_21config_trajectories"/>
                    <pic:cNvPicPr>
                      <a:picLocks noChangeAspect="1"/>
                    </pic:cNvPicPr>
                  </pic:nvPicPr>
                  <pic:blipFill>
                    <a:blip r:embed="rId6"/>
                    <a:stretch>
                      <a:fillRect/>
                    </a:stretch>
                  </pic:blipFill>
                  <pic:spPr>
                    <a:xfrm>
                      <a:off x="0" y="0"/>
                      <a:ext cx="5728335" cy="5692140"/>
                    </a:xfrm>
                    <a:prstGeom prst="rect">
                      <a:avLst/>
                    </a:prstGeom>
                  </pic:spPr>
                </pic:pic>
              </a:graphicData>
            </a:graphic>
          </wp:inline>
        </w:drawing>
      </w:r>
    </w:p>
    <w:p>
      <w:pPr>
        <w:pStyle w:val="11"/>
        <w:rPr>
          <w:rFonts w:cs="Times New Roman"/>
          <w:b/>
          <w:bCs w:val="0"/>
          <w:color w:val="auto"/>
        </w:rPr>
      </w:pPr>
      <w:r>
        <w:rPr>
          <w:rFonts w:cs="Times New Roman"/>
          <w:b/>
          <w:bCs w:val="0"/>
          <w:color w:val="auto"/>
        </w:rPr>
        <w:t xml:space="preserve">Supplementary Figure </w:t>
      </w:r>
      <w:r>
        <w:rPr>
          <w:rFonts w:eastAsia="宋体" w:cs="Times New Roman"/>
          <w:b/>
          <w:bCs w:val="0"/>
          <w:color w:val="auto"/>
        </w:rPr>
        <w:t>2</w:t>
      </w:r>
      <w:r>
        <w:rPr>
          <w:rFonts w:cs="Times New Roman"/>
          <w:b/>
          <w:bCs w:val="0"/>
          <w:color w:val="auto"/>
        </w:rPr>
        <w:t xml:space="preserve"> | Budget-dependent BO performance across the full factorial configuration set. </w:t>
      </w:r>
      <w:r>
        <w:rPr>
          <w:rFonts w:cs="Times New Roman"/>
          <w:color w:val="auto"/>
        </w:rPr>
        <w:t>Rows correspond to the Manual, P80, P85, P90 and P95 input spaces, and columns show normalized hypervolume, strict-front recovery, Top-3 Pareto-layer capture and mean Top-1% recovery. Solid and dashed curves distinguish ARD on and off for qEHVI and Greedy selection, and Random sampling is shown as the grey reference. Curves represent five-seed means from the common 100-MOF initial design to the 20% cumulative query budget.</w:t>
      </w:r>
    </w:p>
    <w:p>
      <w:pPr>
        <w:jc w:val="center"/>
        <w:rPr>
          <w:rFonts w:ascii="Times New Roman" w:hAnsi="Times New Roman" w:cs="Times New Roman"/>
        </w:rPr>
      </w:pPr>
      <w:r>
        <w:rPr>
          <w:rFonts w:ascii="Times New Roman" w:hAnsi="Times New Roman" w:cs="Times New Roman"/>
        </w:rPr>
        <w:drawing>
          <wp:inline distT="0" distB="0" distL="114300" distR="114300">
            <wp:extent cx="3018790" cy="2030095"/>
            <wp:effectExtent l="0" t="0" r="13970" b="12065"/>
            <wp:docPr id="3" name="图片 3" descr="Figure4c_top3_layer_captur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4c_top3_layer_capture-01"/>
                    <pic:cNvPicPr>
                      <a:picLocks noChangeAspect="1"/>
                    </pic:cNvPicPr>
                  </pic:nvPicPr>
                  <pic:blipFill>
                    <a:blip r:embed="rId7"/>
                    <a:stretch>
                      <a:fillRect/>
                    </a:stretch>
                  </pic:blipFill>
                  <pic:spPr>
                    <a:xfrm>
                      <a:off x="0" y="0"/>
                      <a:ext cx="3018790" cy="2030095"/>
                    </a:xfrm>
                    <a:prstGeom prst="rect">
                      <a:avLst/>
                    </a:prstGeom>
                  </pic:spPr>
                </pic:pic>
              </a:graphicData>
            </a:graphic>
          </wp:inline>
        </w:drawing>
      </w:r>
    </w:p>
    <w:p>
      <w:pPr>
        <w:pStyle w:val="11"/>
        <w:rPr>
          <w:rFonts w:cs="Times New Roman" w:eastAsiaTheme="minorEastAsia"/>
          <w:color w:val="auto"/>
        </w:rPr>
      </w:pPr>
      <w:r>
        <w:rPr>
          <w:rFonts w:cs="Times New Roman"/>
          <w:b/>
          <w:bCs w:val="0"/>
          <w:color w:val="auto"/>
        </w:rPr>
        <w:t xml:space="preserve">Supplementary Figure </w:t>
      </w:r>
      <w:r>
        <w:rPr>
          <w:rFonts w:eastAsia="宋体" w:cs="Times New Roman"/>
          <w:b/>
          <w:bCs w:val="0"/>
          <w:color w:val="auto"/>
        </w:rPr>
        <w:t>3</w:t>
      </w:r>
      <w:r>
        <w:rPr>
          <w:rFonts w:cs="Times New Roman"/>
          <w:b/>
          <w:bCs w:val="0"/>
          <w:color w:val="auto"/>
        </w:rPr>
        <w:t xml:space="preserve"> | Matched factor contrasts in Top-3 Pareto-layer capture at the 10% query budget. </w:t>
      </w:r>
      <w:r>
        <w:rPr>
          <w:rFonts w:cs="Times New Roman"/>
          <w:color w:val="auto"/>
        </w:rPr>
        <w:t>Rows denote the Manual descriptor space and the P80–P95 hybrid latent spaces. ARD effects were calculated as capture under ARD off minus capture under ARD on within Greedy and qEHVI, whereas policy effects were calculated as capture under qEHVI minus capture under Greedy under each ARD setting. Cells report differences between the corresponding five-seed means. Positive values favour the first condition and negative values favour the second. P80–P95 retain 80–95% cumulative explained variance.</w:t>
      </w:r>
    </w:p>
    <w:p>
      <w:pPr>
        <w:rPr>
          <w:rFonts w:ascii="Times New Roman" w:hAnsi="Times New Roman" w:cs="Times New Roman"/>
        </w:rPr>
      </w:pPr>
    </w:p>
    <w:p>
      <w:pPr>
        <w:pStyle w:val="11"/>
        <w:jc w:val="center"/>
        <w:rPr>
          <w:rFonts w:cs="Times New Roman" w:eastAsiaTheme="minorEastAsia"/>
          <w:b/>
          <w:bCs w:val="0"/>
          <w:color w:val="auto"/>
        </w:rPr>
      </w:pPr>
      <w:r>
        <w:rPr>
          <w:rFonts w:cs="Times New Roman"/>
          <w:b/>
          <w:bCs w:val="0"/>
          <w:color w:val="auto"/>
        </w:rPr>
        <w:t xml:space="preserve">Supplementary Table </w:t>
      </w:r>
      <w:r>
        <w:rPr>
          <w:rFonts w:cs="Times New Roman" w:eastAsiaTheme="minorEastAsia"/>
          <w:b/>
          <w:bCs w:val="0"/>
          <w:color w:val="auto"/>
        </w:rPr>
        <w:t>22</w:t>
      </w:r>
      <w:r>
        <w:rPr>
          <w:rFonts w:cs="Times New Roman"/>
          <w:b/>
          <w:bCs w:val="0"/>
          <w:color w:val="auto"/>
        </w:rPr>
        <w:t xml:space="preserve"> | Five-seed cumulative runtime summary for the 20 model-guided RepMOBO configurations at the 10% cumulative query budget.</w:t>
      </w:r>
    </w:p>
    <w:tbl>
      <w:tblPr>
        <w:tblStyle w:val="20"/>
        <w:tblW w:w="8789" w:type="dxa"/>
        <w:jc w:val="center"/>
        <w:tblLayout w:type="fixed"/>
        <w:tblCellMar>
          <w:top w:w="0" w:type="dxa"/>
          <w:left w:w="108" w:type="dxa"/>
          <w:bottom w:w="0" w:type="dxa"/>
          <w:right w:w="108" w:type="dxa"/>
        </w:tblCellMar>
      </w:tblPr>
      <w:tblGrid>
        <w:gridCol w:w="2471"/>
        <w:gridCol w:w="1551"/>
        <w:gridCol w:w="1932"/>
        <w:gridCol w:w="1463"/>
        <w:gridCol w:w="1372"/>
      </w:tblGrid>
      <w:tr>
        <w:tblPrEx>
          <w:tblCellMar>
            <w:top w:w="0" w:type="dxa"/>
            <w:left w:w="108" w:type="dxa"/>
            <w:bottom w:w="0" w:type="dxa"/>
            <w:right w:w="108" w:type="dxa"/>
          </w:tblCellMar>
        </w:tblPrEx>
        <w:trPr>
          <w:cantSplit/>
          <w:jc w:val="center"/>
        </w:trPr>
        <w:tc>
          <w:tcPr>
            <w:tcW w:w="2471" w:type="dxa"/>
            <w:tcBorders>
              <w:top w:val="single" w:color="000000" w:sz="8" w:space="0"/>
              <w:left w:val="nil"/>
              <w:bottom w:val="single" w:color="000000" w:sz="4" w:space="0"/>
              <w:right w:val="nil"/>
            </w:tcBorders>
            <w:vAlign w:val="center"/>
          </w:tcPr>
          <w:p>
            <w:pPr>
              <w:jc w:val="center"/>
              <w:rPr>
                <w:rFonts w:ascii="Times New Roman" w:hAnsi="Times New Roman" w:cs="Times New Roman"/>
                <w:sz w:val="20"/>
                <w:szCs w:val="20"/>
              </w:rPr>
            </w:pPr>
            <w:r>
              <w:rPr>
                <w:rFonts w:ascii="Times New Roman" w:hAnsi="Times New Roman" w:cs="Times New Roman"/>
                <w:b/>
                <w:sz w:val="20"/>
                <w:szCs w:val="20"/>
              </w:rPr>
              <w:t>Display label</w:t>
            </w:r>
          </w:p>
        </w:tc>
        <w:tc>
          <w:tcPr>
            <w:tcW w:w="1551" w:type="dxa"/>
            <w:tcBorders>
              <w:top w:val="single" w:color="000000" w:sz="8" w:space="0"/>
              <w:left w:val="nil"/>
              <w:bottom w:val="single" w:color="000000" w:sz="4" w:space="0"/>
              <w:right w:val="nil"/>
            </w:tcBorders>
            <w:vAlign w:val="center"/>
          </w:tcPr>
          <w:p>
            <w:pPr>
              <w:jc w:val="center"/>
              <w:rPr>
                <w:rFonts w:ascii="Times New Roman" w:hAnsi="Times New Roman" w:cs="Times New Roman"/>
                <w:sz w:val="20"/>
                <w:szCs w:val="20"/>
              </w:rPr>
            </w:pPr>
            <w:r>
              <w:rPr>
                <w:rFonts w:ascii="Times New Roman" w:hAnsi="Times New Roman" w:cs="Times New Roman"/>
                <w:b/>
                <w:sz w:val="20"/>
                <w:szCs w:val="20"/>
              </w:rPr>
              <w:t>GP Fit time (h)</w:t>
            </w:r>
          </w:p>
        </w:tc>
        <w:tc>
          <w:tcPr>
            <w:tcW w:w="1932" w:type="dxa"/>
            <w:tcBorders>
              <w:top w:val="single" w:color="000000" w:sz="8" w:space="0"/>
              <w:left w:val="nil"/>
              <w:bottom w:val="single" w:color="000000" w:sz="4" w:space="0"/>
              <w:right w:val="nil"/>
            </w:tcBorders>
            <w:vAlign w:val="center"/>
          </w:tcPr>
          <w:p>
            <w:pPr>
              <w:jc w:val="center"/>
              <w:rPr>
                <w:rFonts w:ascii="Times New Roman" w:hAnsi="Times New Roman" w:cs="Times New Roman"/>
                <w:sz w:val="20"/>
                <w:szCs w:val="20"/>
              </w:rPr>
            </w:pPr>
            <w:r>
              <w:rPr>
                <w:rFonts w:ascii="Times New Roman" w:hAnsi="Times New Roman" w:cs="Times New Roman"/>
                <w:b/>
                <w:bCs/>
                <w:sz w:val="20"/>
                <w:szCs w:val="20"/>
              </w:rPr>
              <w:t>Acquisition time (h)</w:t>
            </w:r>
          </w:p>
        </w:tc>
        <w:tc>
          <w:tcPr>
            <w:tcW w:w="1463" w:type="dxa"/>
            <w:tcBorders>
              <w:top w:val="single" w:color="000000" w:sz="8" w:space="0"/>
              <w:left w:val="nil"/>
              <w:bottom w:val="single" w:color="000000" w:sz="4" w:space="0"/>
              <w:right w:val="nil"/>
            </w:tcBorders>
            <w:vAlign w:val="center"/>
          </w:tcPr>
          <w:p>
            <w:pPr>
              <w:jc w:val="center"/>
              <w:rPr>
                <w:rFonts w:ascii="Times New Roman" w:hAnsi="Times New Roman" w:cs="Times New Roman"/>
                <w:b/>
                <w:sz w:val="20"/>
                <w:szCs w:val="20"/>
              </w:rPr>
            </w:pPr>
            <w:r>
              <w:rPr>
                <w:rFonts w:ascii="Times New Roman" w:hAnsi="Times New Roman" w:cs="Times New Roman"/>
                <w:b/>
                <w:sz w:val="20"/>
                <w:szCs w:val="20"/>
              </w:rPr>
              <w:t>Wall time (h)</w:t>
            </w:r>
          </w:p>
        </w:tc>
        <w:tc>
          <w:tcPr>
            <w:tcW w:w="1372" w:type="dxa"/>
            <w:tcBorders>
              <w:top w:val="single" w:color="000000" w:sz="8" w:space="0"/>
              <w:left w:val="nil"/>
              <w:bottom w:val="single" w:color="000000" w:sz="4" w:space="0"/>
              <w:right w:val="nil"/>
            </w:tcBorders>
            <w:vAlign w:val="center"/>
          </w:tcPr>
          <w:p>
            <w:pPr>
              <w:jc w:val="center"/>
              <w:rPr>
                <w:rFonts w:ascii="Times New Roman" w:hAnsi="Times New Roman" w:cs="Times New Roman"/>
                <w:b/>
                <w:sz w:val="20"/>
                <w:szCs w:val="20"/>
              </w:rPr>
            </w:pPr>
            <w:r>
              <w:rPr>
                <w:rFonts w:ascii="Times New Roman" w:hAnsi="Times New Roman" w:cs="Times New Roman"/>
                <w:b/>
                <w:sz w:val="20"/>
                <w:szCs w:val="20"/>
              </w:rPr>
              <w:t>Time per post-initial query (s)</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Manual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0.578 ± 0.131</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0.241 ± 0.031</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0.894 ± 0.141</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4.93</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Manual (ARD off)</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0.031 ± 0.001</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0.192 ± 0.036</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0.298 ± 0.035</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1.64</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P80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1.156 ± 0.041</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0.430 ± 0.115</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1.663 ± 0.142</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9.17</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P80 (ARD off)</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0.047 ± 0.001</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0.228 ± 0.084</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0.351 ± 0.084</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1.93</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P85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1.553 ± 0.380</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0.433 ± 0.122</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2.062 ± 0.302</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11.37</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P85 (ARD off)</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0.056 ± 0.004</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0.330 ± 0.199</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0.462 ± 0.197</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eastAsia="Times New Roman" w:cs="Times New Roman"/>
                <w:sz w:val="20"/>
                <w:szCs w:val="20"/>
              </w:rPr>
              <w:t>2.55</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P90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0.092 ± 0.030</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0.732 ± 0.471</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0.900 ± 0.457</w:t>
            </w:r>
          </w:p>
        </w:tc>
        <w:tc>
          <w:tcPr>
            <w:tcW w:w="1372" w:type="dxa"/>
            <w:tcBorders>
              <w:top w:val="nil"/>
              <w:left w:val="nil"/>
              <w:bottom w:val="nil"/>
              <w:right w:val="nil"/>
            </w:tcBorders>
          </w:tcPr>
          <w:p>
            <w:pPr>
              <w:jc w:val="center"/>
              <w:rPr>
                <w:rFonts w:ascii="Times New Roman" w:hAnsi="Times New Roman" w:eastAsia="Times New Roman" w:cs="Times New Roman"/>
                <w:sz w:val="20"/>
                <w:szCs w:val="20"/>
              </w:rPr>
            </w:pPr>
            <w:r>
              <w:rPr>
                <w:rFonts w:ascii="Times New Roman" w:hAnsi="Times New Roman" w:cs="Times New Roman"/>
                <w:sz w:val="20"/>
                <w:szCs w:val="20"/>
              </w:rPr>
              <w:t>4.96</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P90 (ARD off)</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0.074 ± 0.005</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0.290 ± 0.055</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0.439 ± 0.053</w:t>
            </w:r>
          </w:p>
        </w:tc>
        <w:tc>
          <w:tcPr>
            <w:tcW w:w="1372" w:type="dxa"/>
            <w:tcBorders>
              <w:top w:val="nil"/>
              <w:left w:val="nil"/>
              <w:bottom w:val="nil"/>
              <w:right w:val="nil"/>
            </w:tcBorders>
          </w:tcPr>
          <w:p>
            <w:pPr>
              <w:jc w:val="center"/>
              <w:rPr>
                <w:rFonts w:ascii="Times New Roman" w:hAnsi="Times New Roman" w:eastAsia="Times New Roman" w:cs="Times New Roman"/>
                <w:sz w:val="20"/>
                <w:szCs w:val="20"/>
              </w:rPr>
            </w:pPr>
            <w:r>
              <w:rPr>
                <w:rFonts w:ascii="Times New Roman" w:hAnsi="Times New Roman" w:cs="Times New Roman"/>
                <w:sz w:val="20"/>
                <w:szCs w:val="20"/>
              </w:rPr>
              <w:t>2.42</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P95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0.072 ± 0.002</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0.753 ± 0.419</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0.898 ± 0.417</w:t>
            </w:r>
          </w:p>
        </w:tc>
        <w:tc>
          <w:tcPr>
            <w:tcW w:w="1372" w:type="dxa"/>
            <w:tcBorders>
              <w:top w:val="nil"/>
              <w:left w:val="nil"/>
              <w:bottom w:val="nil"/>
              <w:right w:val="nil"/>
            </w:tcBorders>
          </w:tcPr>
          <w:p>
            <w:pPr>
              <w:jc w:val="center"/>
              <w:rPr>
                <w:rFonts w:ascii="Times New Roman" w:hAnsi="Times New Roman" w:eastAsia="Times New Roman" w:cs="Times New Roman"/>
                <w:sz w:val="20"/>
                <w:szCs w:val="20"/>
              </w:rPr>
            </w:pPr>
            <w:r>
              <w:rPr>
                <w:rFonts w:ascii="Times New Roman" w:hAnsi="Times New Roman" w:cs="Times New Roman"/>
                <w:sz w:val="20"/>
                <w:szCs w:val="20"/>
              </w:rPr>
              <w:t>4.95</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qEHVI</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P95 (ARD off)</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0.072 ± 0.006</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0.736 ± 0.361</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0.883 ± 0.365</w:t>
            </w:r>
          </w:p>
        </w:tc>
        <w:tc>
          <w:tcPr>
            <w:tcW w:w="1372" w:type="dxa"/>
            <w:tcBorders>
              <w:top w:val="nil"/>
              <w:left w:val="nil"/>
              <w:bottom w:val="nil"/>
              <w:right w:val="nil"/>
            </w:tcBorders>
          </w:tcPr>
          <w:p>
            <w:pPr>
              <w:jc w:val="center"/>
              <w:rPr>
                <w:rFonts w:ascii="Times New Roman" w:hAnsi="Times New Roman" w:eastAsia="Times New Roman" w:cs="Times New Roman"/>
                <w:sz w:val="20"/>
                <w:szCs w:val="20"/>
              </w:rPr>
            </w:pPr>
            <w:r>
              <w:rPr>
                <w:rFonts w:ascii="Times New Roman" w:hAnsi="Times New Roman" w:cs="Times New Roman"/>
                <w:sz w:val="20"/>
                <w:szCs w:val="20"/>
              </w:rPr>
              <w:t>4.87</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Manual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0.544 ± 0.142</w:t>
            </w:r>
          </w:p>
        </w:tc>
        <w:tc>
          <w:tcPr>
            <w:tcW w:w="1932"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0.623 ± 0.147</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3.43</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Manual (ARD off)</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0.035 ± 0.002</w:t>
            </w:r>
          </w:p>
        </w:tc>
        <w:tc>
          <w:tcPr>
            <w:tcW w:w="1932" w:type="dxa"/>
            <w:tcBorders>
              <w:top w:val="nil"/>
              <w:left w:val="nil"/>
              <w:bottom w:val="nil"/>
              <w:right w:val="nil"/>
            </w:tcBorders>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0.112 ± 0.004</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0.62</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P80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1.372 ± 0.141</w:t>
            </w:r>
          </w:p>
        </w:tc>
        <w:tc>
          <w:tcPr>
            <w:tcW w:w="1932" w:type="dxa"/>
            <w:tcBorders>
              <w:top w:val="nil"/>
              <w:left w:val="nil"/>
              <w:bottom w:val="nil"/>
              <w:right w:val="nil"/>
            </w:tcBorders>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1.450 ± 0.141</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7.99</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P80 (ARD off)</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0.064 ± 0.007</w:t>
            </w:r>
          </w:p>
        </w:tc>
        <w:tc>
          <w:tcPr>
            <w:tcW w:w="1932" w:type="dxa"/>
            <w:tcBorders>
              <w:top w:val="nil"/>
              <w:left w:val="nil"/>
              <w:bottom w:val="nil"/>
              <w:right w:val="nil"/>
            </w:tcBorders>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0.142 ± 0.008</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0.78</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P85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1.325 ± 0.169</w:t>
            </w:r>
          </w:p>
        </w:tc>
        <w:tc>
          <w:tcPr>
            <w:tcW w:w="1932" w:type="dxa"/>
            <w:tcBorders>
              <w:top w:val="nil"/>
              <w:left w:val="nil"/>
              <w:bottom w:val="nil"/>
              <w:right w:val="nil"/>
            </w:tcBorders>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1.402 ± 0.168</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7.73</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P85 (ARD off)</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0.064 ± 0.010</w:t>
            </w:r>
          </w:p>
        </w:tc>
        <w:tc>
          <w:tcPr>
            <w:tcW w:w="1932" w:type="dxa"/>
            <w:tcBorders>
              <w:top w:val="nil"/>
              <w:left w:val="nil"/>
              <w:bottom w:val="nil"/>
              <w:right w:val="nil"/>
            </w:tcBorders>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0.140 ± 0.010</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0.77</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P90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0.123 ± 0.048</w:t>
            </w:r>
          </w:p>
        </w:tc>
        <w:tc>
          <w:tcPr>
            <w:tcW w:w="1932" w:type="dxa"/>
            <w:tcBorders>
              <w:top w:val="nil"/>
              <w:left w:val="nil"/>
              <w:bottom w:val="nil"/>
              <w:right w:val="nil"/>
            </w:tcBorders>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0.200 ± 0.048</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1.10</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P90 (ARD off)</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0.092 ± 0.012</w:t>
            </w:r>
          </w:p>
        </w:tc>
        <w:tc>
          <w:tcPr>
            <w:tcW w:w="1932" w:type="dxa"/>
            <w:tcBorders>
              <w:top w:val="nil"/>
              <w:left w:val="nil"/>
              <w:bottom w:val="nil"/>
              <w:right w:val="nil"/>
            </w:tcBorders>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0.170 ± 0.012</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0.94</w:t>
            </w:r>
          </w:p>
        </w:tc>
      </w:tr>
      <w:tr>
        <w:tblPrEx>
          <w:tblCellMar>
            <w:top w:w="0" w:type="dxa"/>
            <w:left w:w="108" w:type="dxa"/>
            <w:bottom w:w="0" w:type="dxa"/>
            <w:right w:w="108" w:type="dxa"/>
          </w:tblCellMar>
        </w:tblPrEx>
        <w:trPr>
          <w:cantSplit/>
          <w:jc w:val="center"/>
        </w:trPr>
        <w:tc>
          <w:tcPr>
            <w:tcW w:w="2471" w:type="dxa"/>
            <w:tcBorders>
              <w:top w:val="nil"/>
              <w:left w:val="nil"/>
              <w:bottom w:val="nil"/>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P95 (ARD on)</w:t>
            </w:r>
          </w:p>
        </w:tc>
        <w:tc>
          <w:tcPr>
            <w:tcW w:w="1551"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0.085 ± 0.007</w:t>
            </w:r>
          </w:p>
        </w:tc>
        <w:tc>
          <w:tcPr>
            <w:tcW w:w="1932" w:type="dxa"/>
            <w:tcBorders>
              <w:top w:val="nil"/>
              <w:left w:val="nil"/>
              <w:bottom w:val="nil"/>
              <w:right w:val="nil"/>
            </w:tcBorders>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nil"/>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0.158 ± 0.008</w:t>
            </w:r>
          </w:p>
        </w:tc>
        <w:tc>
          <w:tcPr>
            <w:tcW w:w="1372" w:type="dxa"/>
            <w:tcBorders>
              <w:top w:val="nil"/>
              <w:left w:val="nil"/>
              <w:bottom w:val="nil"/>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0.87</w:t>
            </w:r>
          </w:p>
        </w:tc>
      </w:tr>
      <w:tr>
        <w:tblPrEx>
          <w:tblCellMar>
            <w:top w:w="0" w:type="dxa"/>
            <w:left w:w="108" w:type="dxa"/>
            <w:bottom w:w="0" w:type="dxa"/>
            <w:right w:w="108" w:type="dxa"/>
          </w:tblCellMar>
        </w:tblPrEx>
        <w:trPr>
          <w:cantSplit/>
          <w:jc w:val="center"/>
        </w:trPr>
        <w:tc>
          <w:tcPr>
            <w:tcW w:w="2471" w:type="dxa"/>
            <w:tcBorders>
              <w:top w:val="nil"/>
              <w:left w:val="nil"/>
              <w:bottom w:val="single" w:color="000000" w:sz="8" w:space="0"/>
              <w:right w:val="nil"/>
            </w:tcBorders>
          </w:tcPr>
          <w:p>
            <w:pPr>
              <w:rPr>
                <w:rFonts w:ascii="Times New Roman" w:hAnsi="Times New Roman" w:cs="Times New Roman"/>
                <w:sz w:val="20"/>
                <w:szCs w:val="20"/>
              </w:rPr>
            </w:pPr>
            <w:r>
              <w:rPr>
                <w:rFonts w:ascii="Times New Roman" w:hAnsi="Times New Roman" w:cs="Times New Roman"/>
                <w:sz w:val="20"/>
                <w:szCs w:val="20"/>
              </w:rPr>
              <w:t>Greedy</w:t>
            </w:r>
            <w:r>
              <w:rPr>
                <w:rFonts w:ascii="Times New Roman" w:hAnsi="Times New Roman" w:eastAsia="等线" w:cs="Times New Roman"/>
                <w:iCs/>
                <w:snapToGrid w:val="0"/>
                <w:sz w:val="24"/>
                <w:szCs w:val="24"/>
                <w:lang w:bidi="en-US"/>
              </w:rPr>
              <w:t>–</w:t>
            </w:r>
            <w:r>
              <w:rPr>
                <w:rFonts w:ascii="Times New Roman" w:hAnsi="Times New Roman" w:cs="Times New Roman"/>
                <w:sz w:val="20"/>
                <w:szCs w:val="20"/>
              </w:rPr>
              <w:t>P95 (ARD off)</w:t>
            </w:r>
          </w:p>
        </w:tc>
        <w:tc>
          <w:tcPr>
            <w:tcW w:w="1551" w:type="dxa"/>
            <w:tcBorders>
              <w:top w:val="nil"/>
              <w:left w:val="nil"/>
              <w:bottom w:val="single" w:color="000000" w:sz="8" w:space="0"/>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0.067 ± 0.002</w:t>
            </w:r>
          </w:p>
        </w:tc>
        <w:tc>
          <w:tcPr>
            <w:tcW w:w="1932" w:type="dxa"/>
            <w:tcBorders>
              <w:top w:val="nil"/>
              <w:left w:val="nil"/>
              <w:bottom w:val="single" w:color="000000" w:sz="8" w:space="0"/>
              <w:right w:val="nil"/>
            </w:tcBorders>
          </w:tcPr>
          <w:p>
            <w:pPr>
              <w:jc w:val="center"/>
              <w:rPr>
                <w:rFonts w:ascii="Times New Roman" w:hAnsi="Times New Roman" w:cs="Times New Roman"/>
                <w:sz w:val="20"/>
                <w:szCs w:val="20"/>
              </w:rPr>
            </w:pPr>
            <w:r>
              <w:rPr>
                <w:rFonts w:ascii="Times New Roman" w:hAnsi="Times New Roman" w:cs="Times New Roman"/>
                <w:sz w:val="20"/>
                <w:szCs w:val="20"/>
              </w:rPr>
              <w:t>0.000 ± 0.000</w:t>
            </w:r>
          </w:p>
        </w:tc>
        <w:tc>
          <w:tcPr>
            <w:tcW w:w="1463" w:type="dxa"/>
            <w:tcBorders>
              <w:top w:val="nil"/>
              <w:left w:val="nil"/>
              <w:bottom w:val="single" w:color="000000" w:sz="8" w:space="0"/>
              <w:right w:val="nil"/>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0.143 ± 0.004</w:t>
            </w:r>
          </w:p>
        </w:tc>
        <w:tc>
          <w:tcPr>
            <w:tcW w:w="1372" w:type="dxa"/>
            <w:tcBorders>
              <w:top w:val="nil"/>
              <w:left w:val="nil"/>
              <w:bottom w:val="single" w:color="000000" w:sz="8" w:space="0"/>
              <w:right w:val="nil"/>
            </w:tcBorders>
            <w:vAlign w:val="center"/>
          </w:tcPr>
          <w:p>
            <w:pPr>
              <w:jc w:val="center"/>
              <w:rPr>
                <w:rFonts w:ascii="Times New Roman" w:hAnsi="Times New Roman" w:eastAsia="Times New Roman" w:cs="Times New Roman"/>
                <w:sz w:val="20"/>
                <w:szCs w:val="20"/>
              </w:rPr>
            </w:pPr>
            <w:r>
              <w:rPr>
                <w:rFonts w:ascii="Times New Roman" w:hAnsi="Times New Roman" w:cs="Times New Roman"/>
                <w:sz w:val="20"/>
                <w:szCs w:val="20"/>
              </w:rPr>
              <w:t>0.79</w:t>
            </w:r>
          </w:p>
        </w:tc>
      </w:tr>
    </w:tbl>
    <w:p>
      <w:pPr>
        <w:rPr>
          <w:rFonts w:ascii="Times New Roman" w:hAnsi="Times New Roman" w:cs="Times New Roman"/>
        </w:rPr>
      </w:pPr>
      <w:r>
        <w:rPr>
          <w:rFonts w:ascii="Times New Roman" w:hAnsi="Times New Roman" w:cs="Times New Roman"/>
        </w:rPr>
        <w:t>Values are reported as arithmetic means ± sample standard deviations across five seeds. Cumulative times were recorded after 753 MOFs had been evaluated, including the common 100-MOF initial design. GP fit time is the cumulative time spent fitting or refitting the Gaussian-process surrogates. Acquisition time is the separately recorded time for qEHVI acquisition evaluation; zero values for Greedy indicate that no separate acquisition-stage timing was recorded and should not be interpreted as zero candidate-selection cost. Wall time is the total elapsed task time, including model fitting, candidate selection, metric evaluation and data handling. Time per post-initial query was calculated by dividing cumulative wall time by the 653 MOFs queried after the initial design. The values provide a descriptive summary of computational cost rather than a hardware-normalized speed comparison.</w:t>
      </w:r>
    </w:p>
    <w:p>
      <w:pPr>
        <w:rPr>
          <w:rFonts w:ascii="Times New Roman" w:hAnsi="Times New Roman" w:cs="Times New Roman"/>
        </w:rPr>
      </w:pP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S7.2 Strict-front recovery fingerprints and representative-configuration selection</w:t>
      </w:r>
    </w:p>
    <w:p>
      <w:pPr>
        <w:ind w:firstLine="420"/>
        <w:rPr>
          <w:rFonts w:ascii="Times New Roman" w:hAnsi="Times New Roman" w:cs="Times New Roman"/>
        </w:rPr>
      </w:pPr>
      <w:r>
        <w:rPr>
          <w:rFonts w:ascii="Times New Roman" w:hAnsi="Times New Roman" w:cs="Times New Roman"/>
        </w:rPr>
        <w:t xml:space="preserve">For material-resolved comparison of recovery patterns across configurations, the 15 members of the strict oracle Pareto set were indexed as SF1–SF15, with their corresponding MOF identifiers listed in Supplementary Table 24. For configuration </w:t>
      </w:r>
      <m:oMath>
        <m:r>
          <m:rPr/>
          <w:rPr>
            <w:rFonts w:ascii="Cambria Math" w:hAnsi="Cambria Math" w:cs="Times New Roman"/>
          </w:rPr>
          <m:t>c</m:t>
        </m:r>
      </m:oMath>
      <w:r>
        <w:rPr>
          <w:rFonts w:ascii="Times New Roman" w:hAnsi="Times New Roman" w:cs="Times New Roman"/>
        </w:rPr>
        <w:t xml:space="preserve">and strict-front member </w:t>
      </w:r>
      <m:oMath>
        <m:sSub>
          <m:sSubPr>
            <m:ctrlPr>
              <w:rPr>
                <w:rFonts w:ascii="Cambria Math" w:hAnsi="Cambria Math" w:cs="Times New Roman"/>
              </w:rPr>
            </m:ctrlPr>
          </m:sSubPr>
          <m:e>
            <m:r>
              <m:rPr>
                <m:sty m:val="p"/>
              </m:rPr>
              <w:rPr>
                <w:rFonts w:ascii="Cambria Math" w:hAnsi="Cambria Math" w:cs="Times New Roman"/>
              </w:rPr>
              <m:t>SF</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oMath>
      <w:r>
        <w:rPr>
          <w:rFonts w:ascii="Times New Roman" w:hAnsi="Times New Roman" w:cs="Times New Roman"/>
        </w:rPr>
        <w:t xml:space="preserve">, </w:t>
      </w:r>
      <m:oMath>
        <m:sSub>
          <m:sSubPr>
            <m:ctrlPr>
              <w:rPr>
                <w:rFonts w:ascii="Cambria Math" w:hAnsi="Cambria Math" w:cs="Times New Roman"/>
              </w:rPr>
            </m:ctrlPr>
          </m:sSubPr>
          <m:e>
            <m:r>
              <m:rPr/>
              <w:rPr>
                <w:rFonts w:ascii="Cambria Math" w:hAnsi="Cambria Math" w:cs="Times New Roman"/>
              </w:rPr>
              <m:t>ℎ</m:t>
            </m:r>
            <m:ctrlPr>
              <w:rPr>
                <w:rFonts w:ascii="Cambria Math" w:hAnsi="Cambria Math" w:cs="Times New Roman"/>
              </w:rPr>
            </m:ctrlPr>
          </m:e>
          <m:sub>
            <m:r>
              <m:rPr/>
              <w:rPr>
                <w:rFonts w:ascii="Cambria Math" w:hAnsi="Cambria Math" w:cs="Times New Roman"/>
              </w:rPr>
              <m:t>c,j</m:t>
            </m:r>
            <m:ctrlPr>
              <w:rPr>
                <w:rFonts w:ascii="Cambria Math" w:hAnsi="Cambria Math" w:cs="Times New Roman"/>
              </w:rPr>
            </m:ctrlPr>
          </m:sub>
        </m:sSub>
      </m:oMath>
      <w:r>
        <w:rPr>
          <w:rFonts w:ascii="Times New Roman" w:hAnsi="Times New Roman" w:cs="Times New Roman"/>
        </w:rPr>
        <w:t xml:space="preserve">denotes the number of the five matched seeds in which </w:t>
      </w:r>
      <m:oMath>
        <m:sSub>
          <m:sSubPr>
            <m:ctrlPr>
              <w:rPr>
                <w:rFonts w:ascii="Cambria Math" w:hAnsi="Cambria Math" w:cs="Times New Roman"/>
              </w:rPr>
            </m:ctrlPr>
          </m:sSubPr>
          <m:e>
            <m:r>
              <m:rPr>
                <m:sty m:val="p"/>
              </m:rPr>
              <w:rPr>
                <w:rFonts w:ascii="Cambria Math" w:hAnsi="Cambria Math" w:cs="Times New Roman"/>
              </w:rPr>
              <m:t>SF</m:t>
            </m:r>
            <m:ctrlPr>
              <w:rPr>
                <w:rFonts w:ascii="Cambria Math" w:hAnsi="Cambria Math" w:cs="Times New Roman"/>
              </w:rPr>
            </m:ctrlPr>
          </m:e>
          <m:sub>
            <m:r>
              <m:rPr/>
              <w:rPr>
                <w:rFonts w:ascii="Cambria Math" w:hAnsi="Cambria Math" w:cs="Times New Roman"/>
              </w:rPr>
              <m:t>j</m:t>
            </m:r>
            <m:ctrlPr>
              <w:rPr>
                <w:rFonts w:ascii="Cambria Math" w:hAnsi="Cambria Math" w:cs="Times New Roman"/>
              </w:rPr>
            </m:ctrlPr>
          </m:sub>
        </m:sSub>
      </m:oMath>
      <w:r>
        <w:rPr>
          <w:rFonts w:ascii="Times New Roman" w:hAnsi="Times New Roman" w:cs="Times New Roman"/>
        </w:rPr>
        <w:t xml:space="preserve"> had been queried by the 10% cumulative query budget, corresponding to 753 evaluated MOFs. The corresponding recovery frequency was defined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r>
              <m:rPr/>
              <w:rPr>
                <w:rFonts w:ascii="Cambria Math" w:hAnsi="Cambria Math" w:cs="Times New Roman"/>
              </w:rPr>
              <m:t>c,j</m:t>
            </m:r>
            <m:ctrlPr>
              <w:rPr>
                <w:rFonts w:ascii="Cambria Math" w:hAnsi="Cambria Math" w:cs="Times New Roman"/>
              </w:rPr>
            </m:ctrlPr>
          </m:sub>
        </m:sSub>
        <m:r>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w:rPr>
                    <w:rFonts w:ascii="Cambria Math" w:hAnsi="Cambria Math" w:cs="Times New Roman"/>
                  </w:rPr>
                  <m:t>ℎ</m:t>
                </m:r>
                <m:ctrlPr>
                  <w:rPr>
                    <w:rFonts w:ascii="Cambria Math" w:hAnsi="Cambria Math" w:cs="Times New Roman"/>
                  </w:rPr>
                </m:ctrlPr>
              </m:e>
              <m:sub>
                <m:r>
                  <m:rPr/>
                  <w:rPr>
                    <w:rFonts w:ascii="Cambria Math" w:hAnsi="Cambria Math" w:cs="Times New Roman"/>
                  </w:rPr>
                  <m:t>c,j</m:t>
                </m:r>
                <m:ctrlPr>
                  <w:rPr>
                    <w:rFonts w:ascii="Cambria Math" w:hAnsi="Cambria Math" w:cs="Times New Roman"/>
                  </w:rPr>
                </m:ctrlPr>
              </m:sub>
            </m:sSub>
            <m:ctrlPr>
              <w:rPr>
                <w:rFonts w:ascii="Cambria Math" w:hAnsi="Cambria Math" w:cs="Times New Roman"/>
              </w:rPr>
            </m:ctrlPr>
          </m:num>
          <m:den>
            <m:r>
              <m:rPr/>
              <w:rPr>
                <w:rFonts w:ascii="Cambria Math" w:hAnsi="Cambria Math" w:cs="Times New Roman"/>
              </w:rPr>
              <m:t>5</m:t>
            </m:r>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(70)</w:t>
      </w:r>
    </w:p>
    <w:p>
      <w:pPr>
        <w:rPr>
          <w:rFonts w:ascii="Times New Roman" w:hAnsi="Times New Roman" w:cs="Times New Roman"/>
        </w:rPr>
      </w:pPr>
      <w:r>
        <w:rPr>
          <w:rFonts w:ascii="Times New Roman" w:hAnsi="Times New Roman" w:cs="Times New Roman"/>
        </w:rPr>
        <w:t xml:space="preserve">Accordingly, </w:t>
      </w:r>
      <m:oMath>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r>
              <m:rPr/>
              <w:rPr>
                <w:rFonts w:ascii="Cambria Math" w:hAnsi="Cambria Math" w:cs="Times New Roman"/>
              </w:rPr>
              <m:t>c,j</m:t>
            </m:r>
            <m:ctrlPr>
              <w:rPr>
                <w:rFonts w:ascii="Cambria Math" w:hAnsi="Cambria Math" w:cs="Times New Roman"/>
              </w:rPr>
            </m:ctrlPr>
          </m:sub>
        </m:sSub>
        <m:r>
          <m:rPr/>
          <w:rPr>
            <w:rFonts w:ascii="Cambria Math" w:hAnsi="Cambria Math" w:cs="Times New Roman"/>
          </w:rPr>
          <m:t>∈</m:t>
        </m:r>
        <m:d>
          <m:dPr>
            <m:begChr m:val="{"/>
            <m:sepChr m:val=","/>
            <m:endChr m:val="}"/>
            <m:ctrlPr>
              <w:rPr>
                <w:rFonts w:ascii="Cambria Math" w:hAnsi="Cambria Math" w:cs="Times New Roman"/>
              </w:rPr>
            </m:ctrlPr>
          </m:dPr>
          <m:e>
            <m:r>
              <m:rPr/>
              <w:rPr>
                <w:rFonts w:ascii="Cambria Math" w:hAnsi="Cambria Math" w:cs="Times New Roman"/>
              </w:rPr>
              <m:t>0</m:t>
            </m:r>
            <m:ctrlPr>
              <w:rPr>
                <w:rFonts w:ascii="Cambria Math" w:hAnsi="Cambria Math" w:cs="Times New Roman"/>
              </w:rPr>
            </m:ctrlPr>
          </m:e>
          <m:e>
            <m:r>
              <m:rPr/>
              <w:rPr>
                <w:rFonts w:ascii="Cambria Math" w:hAnsi="Cambria Math" w:cs="Times New Roman"/>
              </w:rPr>
              <m:t>0.2</m:t>
            </m:r>
            <m:ctrlPr>
              <w:rPr>
                <w:rFonts w:ascii="Cambria Math" w:hAnsi="Cambria Math" w:cs="Times New Roman"/>
              </w:rPr>
            </m:ctrlPr>
          </m:e>
          <m:e>
            <m:r>
              <m:rPr/>
              <w:rPr>
                <w:rFonts w:ascii="Cambria Math" w:hAnsi="Cambria Math" w:cs="Times New Roman"/>
              </w:rPr>
              <m:t>0.4</m:t>
            </m:r>
            <m:ctrlPr>
              <w:rPr>
                <w:rFonts w:ascii="Cambria Math" w:hAnsi="Cambria Math" w:cs="Times New Roman"/>
              </w:rPr>
            </m:ctrlPr>
          </m:e>
          <m:e>
            <m:r>
              <m:rPr/>
              <w:rPr>
                <w:rFonts w:ascii="Cambria Math" w:hAnsi="Cambria Math" w:cs="Times New Roman"/>
              </w:rPr>
              <m:t>0.6</m:t>
            </m:r>
            <m:ctrlPr>
              <w:rPr>
                <w:rFonts w:ascii="Cambria Math" w:hAnsi="Cambria Math" w:cs="Times New Roman"/>
              </w:rPr>
            </m:ctrlPr>
          </m:e>
          <m:e>
            <m:r>
              <m:rPr/>
              <w:rPr>
                <w:rFonts w:ascii="Cambria Math" w:hAnsi="Cambria Math" w:cs="Times New Roman"/>
              </w:rPr>
              <m:t>0.8</m:t>
            </m:r>
            <m:ctrlPr>
              <w:rPr>
                <w:rFonts w:ascii="Cambria Math" w:hAnsi="Cambria Math" w:cs="Times New Roman"/>
              </w:rPr>
            </m:ctrlPr>
          </m:e>
          <m:e>
            <m:r>
              <m:rPr/>
              <w:rPr>
                <w:rFonts w:ascii="Cambria Math" w:hAnsi="Cambria Math" w:cs="Times New Roman"/>
              </w:rPr>
              <m:t>1.0</m:t>
            </m:r>
            <m:ctrlPr>
              <w:rPr>
                <w:rFonts w:ascii="Cambria Math" w:hAnsi="Cambria Math" w:cs="Times New Roman"/>
              </w:rPr>
            </m:ctrlPr>
          </m:e>
        </m:d>
      </m:oMath>
      <w:r>
        <w:rPr>
          <w:rFonts w:ascii="Times New Roman" w:hAnsi="Times New Roman" w:cs="Times New Roman"/>
        </w:rPr>
        <w:t xml:space="preserve">, corresponding to recovery in zero to five seeds. The 15 recovery frequencies were combined into the configuration-specific fingerprint </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m:sty m:val="bi"/>
              </m:rPr>
              <w:rPr>
                <w:rFonts w:ascii="Cambria Math" w:hAnsi="Cambria Math" w:cs="Times New Roman"/>
              </w:rPr>
              <m:t>f</m:t>
            </m:r>
            <m:ctrlPr>
              <w:rPr>
                <w:rFonts w:ascii="Cambria Math" w:hAnsi="Cambria Math" w:cs="Times New Roman"/>
              </w:rPr>
            </m:ctrlPr>
          </m:e>
          <m:sub>
            <m:r>
              <m:rPr/>
              <w:rPr>
                <w:rFonts w:ascii="Cambria Math" w:hAnsi="Cambria Math" w:cs="Times New Roman"/>
              </w:rPr>
              <m:t>c</m:t>
            </m:r>
            <m:ctrlPr>
              <w:rPr>
                <w:rFonts w:ascii="Cambria Math" w:hAnsi="Cambria Math" w:cs="Times New Roman"/>
              </w:rPr>
            </m:ctrlPr>
          </m:sub>
        </m:sSub>
        <m:r>
          <m:rPr/>
          <w:rPr>
            <w:rFonts w:ascii="Cambria Math" w:hAnsi="Cambria Math" w:cs="Times New Roman"/>
          </w:rPr>
          <m:t>=</m:t>
        </m:r>
        <m:d>
          <m:dPr>
            <m:sepChr m:val=","/>
            <m:ctrlPr>
              <w:rPr>
                <w:rFonts w:ascii="Cambria Math" w:hAnsi="Cambria Math" w:cs="Times New Roman"/>
              </w:rPr>
            </m:ctrlPr>
          </m:dPr>
          <m:e>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r>
                  <m:rPr/>
                  <w:rPr>
                    <w:rFonts w:ascii="Cambria Math" w:hAnsi="Cambria Math" w:cs="Times New Roman"/>
                  </w:rPr>
                  <m:t>c,1</m:t>
                </m:r>
                <m:ctrlPr>
                  <w:rPr>
                    <w:rFonts w:ascii="Cambria Math" w:hAnsi="Cambria Math" w:cs="Times New Roman"/>
                  </w:rPr>
                </m:ctrlPr>
              </m:sub>
            </m:sSub>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r>
                  <m:rPr/>
                  <w:rPr>
                    <w:rFonts w:ascii="Cambria Math" w:hAnsi="Cambria Math" w:cs="Times New Roman"/>
                  </w:rPr>
                  <m:t>c,2</m:t>
                </m:r>
                <m:ctrlPr>
                  <w:rPr>
                    <w:rFonts w:ascii="Cambria Math" w:hAnsi="Cambria Math" w:cs="Times New Roman"/>
                  </w:rPr>
                </m:ctrlPr>
              </m:sub>
            </m:sSub>
            <m:ctrlPr>
              <w:rPr>
                <w:rFonts w:ascii="Cambria Math" w:hAnsi="Cambria Math" w:cs="Times New Roman"/>
              </w:rPr>
            </m:ctrlPr>
          </m:e>
          <m:e>
            <m:r>
              <m:rPr/>
              <w:rPr>
                <w:rFonts w:ascii="Cambria Math" w:hAnsi="Cambria Math" w:cs="Times New Roman"/>
              </w:rPr>
              <m:t>…</m:t>
            </m:r>
            <m:ctrlPr>
              <w:rPr>
                <w:rFonts w:ascii="Cambria Math" w:hAnsi="Cambria Math" w:cs="Times New Roman"/>
              </w:rPr>
            </m:ctrlPr>
          </m:e>
          <m:e>
            <m:sSub>
              <m:sSubPr>
                <m:ctrlPr>
                  <w:rPr>
                    <w:rFonts w:ascii="Cambria Math" w:hAnsi="Cambria Math" w:cs="Times New Roman"/>
                  </w:rPr>
                </m:ctrlPr>
              </m:sSubPr>
              <m:e>
                <m:r>
                  <m:rPr/>
                  <w:rPr>
                    <w:rFonts w:ascii="Cambria Math" w:hAnsi="Cambria Math" w:cs="Times New Roman"/>
                  </w:rPr>
                  <m:t>f</m:t>
                </m:r>
                <m:ctrlPr>
                  <w:rPr>
                    <w:rFonts w:ascii="Cambria Math" w:hAnsi="Cambria Math" w:cs="Times New Roman"/>
                  </w:rPr>
                </m:ctrlPr>
              </m:e>
              <m:sub>
                <m:r>
                  <m:rPr/>
                  <w:rPr>
                    <w:rFonts w:ascii="Cambria Math" w:hAnsi="Cambria Math" w:cs="Times New Roman"/>
                  </w:rPr>
                  <m:t>c,15</m:t>
                </m:r>
                <m:ctrlPr>
                  <w:rPr>
                    <w:rFonts w:ascii="Cambria Math" w:hAnsi="Cambria Math" w:cs="Times New Roman"/>
                  </w:rPr>
                </m:ctrlPr>
              </m:sub>
            </m:sSub>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(71)</w:t>
      </w:r>
    </w:p>
    <w:p>
      <w:pPr>
        <w:rPr>
          <w:rFonts w:ascii="Times New Roman" w:hAnsi="Times New Roman" w:cs="Times New Roman"/>
        </w:rPr>
      </w:pPr>
      <w:r>
        <w:rPr>
          <w:rFonts w:ascii="Times New Roman" w:hAnsi="Times New Roman" w:cs="Times New Roman"/>
        </w:rPr>
        <w:t>which describes both the identities of the strict-front materials recovered by configuration c and the consistency of their recovery across the five seeds. Similarity between the recovery fingerprints of configurations ccc and c′c'c′ was quantified using the weighted Jaccard index</w:t>
      </w:r>
      <w:r>
        <w:rPr>
          <w:rFonts w:ascii="Times New Roman" w:hAnsi="Times New Roman" w:cs="Times New Roman"/>
        </w:rPr>
        <w:fldChar w:fldCharType="begin"/>
      </w:r>
      <w:r>
        <w:rPr>
          <w:rFonts w:ascii="Times New Roman" w:hAnsi="Times New Roman" w:cs="Times New Roman"/>
        </w:rPr>
        <w:instrText xml:space="preserve"> ADDIN ZOTERO_ITEM CSL_CITATION {"citationID":"XrZ54PwL","properties":{"unsorted":false,"formattedCitation":"\\super 18\\nosupersub{}","plainCitation":"18","noteIndex":0},"citationItems":[{"id":11528,"uris":["http://zotero.org/users/10807631/items/VINK3JPF"],"itemData":{"id":11528,"type":"paper-conference","abstract":"We propose a new Consistent Weighted Sampling method, where the probability of drawing identical samples for a pair of inputs is equal to their Jaccard similarity. Our method takes deterministic constant time per non-zero weight, improving on the best previous approach which takes expected constant time. The samples can be used as Weighted Minhash for efﬁcient retrieval and compression (sketching) under Jaccard or L1 metric. A method is presented for using simple data statistics to reduce the running time of hash computation by two orders of magnitude. We compare our method with the random projection method and show that it has better characteristics for retrieval under L1. We present a novel method of mapping hashes to short bit-strings, apply it to Weighted Minhash, and achieve more accurate distance estimates from sketches than existing methods, as long as the inputs are sufﬁciently distinct. We show how to choose the optimal number of bits per hash for sketching, and demonstrate experimental results which agree with the theoretical analysis.","container-title":"2010 IEEE International Conference on Data Mining","DOI":"10.1109/ICDM.2010.80","event-title":"2010 IEEE 10th International Conference on Data Mining (ICDM)","ISBN":"978-1-4244-9131-5","language":"en","page":"246-255","publisher":"IEEE","publisher-place":"Sydney, Australia","source":"DOI.org (Crossref)","title":"Improved consistent sampling, weighted minhash and L1 sketching","URL":"http://ieeexplore.ieee.org/document/5693978/","author":[{"family":"Ioffe","given":"Sergey"}],"accessed":{"date-parts":[["2026",9,4]]},"issued":{"date-parts":[["2010",12]]}}}],"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kern w:val="0"/>
          <w:vertAlign w:val="superscript"/>
        </w:rPr>
        <w:t>18</w:t>
      </w:r>
      <w:r>
        <w:rPr>
          <w:rFonts w:ascii="Times New Roman" w:hAnsi="Times New Roman" w:cs="Times New Roman"/>
        </w:rPr>
        <w:fldChar w:fldCharType="end"/>
      </w:r>
      <w:r>
        <w:rPr>
          <w:rFonts w:ascii="Times New Roman" w:hAnsi="Times New Roman" w:cs="Times New Roman"/>
        </w:rPr>
        <w:t>,</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J</m:t>
            </m:r>
            <m:ctrlPr>
              <w:rPr>
                <w:rFonts w:ascii="Cambria Math" w:hAnsi="Cambria Math" w:cs="Times New Roman"/>
              </w:rPr>
            </m:ctrlPr>
          </m:e>
          <m:sub>
            <m:box>
              <m:boxPr>
                <m:ctrlPr>
                  <w:rPr>
                    <w:rFonts w:ascii="Cambria Math" w:hAnsi="Cambria Math" w:cs="Times New Roman"/>
                  </w:rPr>
                </m:ctrlPr>
              </m:boxPr>
              <m:e>
                <m:r>
                  <m:rPr>
                    <m:sty m:val="p"/>
                  </m:rPr>
                  <w:rPr>
                    <w:rFonts w:ascii="Cambria Math" w:hAnsi="Cambria Math" w:cs="Times New Roman"/>
                  </w:rPr>
                  <m:t>w</m:t>
                </m:r>
                <m:ctrlPr>
                  <w:rPr>
                    <w:rFonts w:ascii="Cambria Math" w:hAnsi="Cambria Math" w:cs="Times New Roman"/>
                  </w:rPr>
                </m:ctrlPr>
              </m:e>
            </m:box>
            <m:ctrlPr>
              <w:rPr>
                <w:rFonts w:ascii="Cambria Math" w:hAnsi="Cambria Math" w:cs="Times New Roman"/>
              </w:rPr>
            </m:ctrlPr>
          </m:sub>
        </m:sSub>
        <m:d>
          <m:dPr>
            <m:sepChr m:val=","/>
            <m:ctrlPr>
              <w:rPr>
                <w:rFonts w:ascii="Cambria Math" w:hAnsi="Cambria Math" w:cs="Times New Roman"/>
              </w:rPr>
            </m:ctrlPr>
          </m:dPr>
          <m:e>
            <m:r>
              <m:rPr/>
              <w:rPr>
                <w:rFonts w:ascii="Cambria Math" w:hAnsi="Cambria Math" w:cs="Times New Roman"/>
              </w:rPr>
              <m:t>c</m:t>
            </m:r>
            <m:ctrlPr>
              <w:rPr>
                <w:rFonts w:ascii="Cambria Math" w:hAnsi="Cambria Math" w:cs="Times New Roman"/>
              </w:rPr>
            </m:ctrlPr>
          </m:e>
          <m:e>
            <m:sSup>
              <m:sSupPr>
                <m:ctrlPr>
                  <w:rPr>
                    <w:rFonts w:ascii="Cambria Math" w:hAnsi="Cambria Math" w:cs="Times New Roman"/>
                  </w:rPr>
                </m:ctrlPr>
              </m:sSupPr>
              <m:e>
                <m:r>
                  <m:rPr/>
                  <w:rPr>
                    <w:rFonts w:ascii="Cambria Math" w:hAnsi="Cambria Math" w:cs="Times New Roman"/>
                  </w:rPr>
                  <m:t>c</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e>
        </m:d>
        <m:r>
          <m:rPr/>
          <w:rPr>
            <w:rFonts w:ascii="Cambria Math" w:hAnsi="Cambria Math" w:cs="Times New Roman"/>
          </w:rPr>
          <m:t>=</m:t>
        </m:r>
        <m:f>
          <m:fPr>
            <m:ctrlPr>
              <w:rPr>
                <w:rFonts w:ascii="Cambria Math" w:hAnsi="Cambria Math" w:cs="Times New Roman"/>
              </w:rPr>
            </m:ctrlPr>
          </m:fPr>
          <m:num>
            <m:nary>
              <m:naryPr>
                <m:chr m:val="∑"/>
                <m:grow m:val="1"/>
                <m:limLoc m:val="undOvr"/>
                <m:ctrlPr>
                  <w:rPr>
                    <w:rFonts w:ascii="Cambria Math" w:hAnsi="Cambria Math" w:cs="Times New Roman"/>
                  </w:rPr>
                </m:ctrlPr>
              </m:naryPr>
              <m:sub>
                <m:r>
                  <m:rPr/>
                  <w:rPr>
                    <w:rFonts w:ascii="Cambria Math" w:hAnsi="Cambria Math" w:cs="Times New Roman"/>
                  </w:rPr>
                  <m:t>j=1</m:t>
                </m:r>
                <m:ctrlPr>
                  <w:rPr>
                    <w:rFonts w:ascii="Cambria Math" w:hAnsi="Cambria Math" w:cs="Times New Roman"/>
                  </w:rPr>
                </m:ctrlPr>
              </m:sub>
              <m:sup>
                <m:r>
                  <m:rPr/>
                  <w:rPr>
                    <w:rFonts w:ascii="Cambria Math" w:hAnsi="Cambria Math" w:cs="Times New Roman"/>
                  </w:rPr>
                  <m:t>15</m:t>
                </m:r>
                <m:ctrlPr>
                  <w:rPr>
                    <w:rFonts w:ascii="Cambria Math" w:hAnsi="Cambria Math" w:cs="Times New Roman"/>
                  </w:rPr>
                </m:ctrlPr>
              </m:sup>
              <m:e>
                <m:r>
                  <m:rPr>
                    <m:sty m:val="p"/>
                  </m:rPr>
                  <w:rPr>
                    <w:rFonts w:ascii="Cambria Math" w:hAnsi="Cambria Math" w:cs="Times New Roman"/>
                  </w:rPr>
                  <m:t>max</m:t>
                </m:r>
                <m:ctrlPr>
                  <w:rPr>
                    <w:rFonts w:ascii="Cambria Math" w:hAnsi="Cambria Math" w:cs="Times New Roman"/>
                  </w:rPr>
                </m:ctrlPr>
              </m:e>
            </m:nary>
            <m:r>
              <m:rPr/>
              <w:rPr>
                <w:rFonts w:ascii="Cambria Math" w:hAnsi="Cambria Math" w:cs="Times New Roman"/>
              </w:rPr>
              <m:t xml:space="preserve"> </m:t>
            </m:r>
            <m:d>
              <m:dPr>
                <m:begChr m:val="["/>
                <m:sepChr m:val=","/>
                <m:endChr m:val="]"/>
                <m:ctrlPr>
                  <w:rPr>
                    <w:rFonts w:ascii="Cambria Math" w:hAnsi="Cambria Math" w:cs="Times New Roman"/>
                  </w:rPr>
                </m:ctrlPr>
              </m:dPr>
              <m:e>
                <m:r>
                  <m:rPr/>
                  <w:rPr>
                    <w:rFonts w:ascii="Cambria Math" w:hAnsi="Cambria Math" w:cs="Times New Roman"/>
                  </w:rPr>
                  <m:t>f</m:t>
                </m:r>
                <m:ctrlPr>
                  <w:rPr>
                    <w:rFonts w:ascii="Cambria Math" w:hAnsi="Cambria Math" w:cs="Times New Roman"/>
                  </w:rPr>
                </m:ctrlPr>
              </m:e>
              <m:e>
                <m:d>
                  <m:dPr>
                    <m:sepChr m:val=","/>
                    <m:ctrlPr>
                      <w:rPr>
                        <w:rFonts w:ascii="Cambria Math" w:hAnsi="Cambria Math" w:cs="Times New Roman"/>
                      </w:rPr>
                    </m:ctrlPr>
                  </m:dPr>
                  <m:e>
                    <m:r>
                      <m:rPr/>
                      <w:rPr>
                        <w:rFonts w:ascii="Cambria Math" w:hAnsi="Cambria Math" w:cs="Times New Roman"/>
                      </w:rPr>
                      <m:t>c</m:t>
                    </m:r>
                    <m:ctrlPr>
                      <w:rPr>
                        <w:rFonts w:ascii="Cambria Math" w:hAnsi="Cambria Math" w:cs="Times New Roman"/>
                      </w:rPr>
                    </m:ctrlPr>
                  </m:e>
                  <m:e>
                    <m:r>
                      <m:rPr/>
                      <w:rPr>
                        <w:rFonts w:ascii="Cambria Math" w:hAnsi="Cambria Math" w:cs="Times New Roman"/>
                      </w:rPr>
                      <m:t>j</m:t>
                    </m:r>
                    <m:ctrlPr>
                      <w:rPr>
                        <w:rFonts w:ascii="Cambria Math" w:hAnsi="Cambria Math" w:cs="Times New Roman"/>
                      </w:rPr>
                    </m:ctrlPr>
                  </m:e>
                </m:d>
                <m:r>
                  <m:rPr/>
                  <w:rPr>
                    <w:rFonts w:ascii="Cambria Math" w:hAnsi="Cambria Math" w:cs="Times New Roman"/>
                  </w:rPr>
                  <m:t xml:space="preserve"> f</m:t>
                </m:r>
                <m:d>
                  <m:dPr>
                    <m:sepChr m:val=","/>
                    <m:ctrlPr>
                      <w:rPr>
                        <w:rFonts w:ascii="Cambria Math" w:hAnsi="Cambria Math" w:cs="Times New Roman"/>
                      </w:rPr>
                    </m:ctrlPr>
                  </m:dPr>
                  <m:e>
                    <m:sSup>
                      <m:sSupPr>
                        <m:ctrlPr>
                          <w:rPr>
                            <w:rFonts w:ascii="Cambria Math" w:hAnsi="Cambria Math" w:cs="Times New Roman"/>
                          </w:rPr>
                        </m:ctrlPr>
                      </m:sSupPr>
                      <m:e>
                        <m:r>
                          <m:rPr/>
                          <w:rPr>
                            <w:rFonts w:ascii="Cambria Math" w:hAnsi="Cambria Math" w:cs="Times New Roman"/>
                          </w:rPr>
                          <m:t>c</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e>
                  <m:e>
                    <m:r>
                      <m:rPr/>
                      <w:rPr>
                        <w:rFonts w:ascii="Cambria Math" w:hAnsi="Cambria Math" w:cs="Times New Roman"/>
                      </w:rPr>
                      <m:t>j</m:t>
                    </m:r>
                    <m:ctrlPr>
                      <w:rPr>
                        <w:rFonts w:ascii="Cambria Math" w:hAnsi="Cambria Math" w:cs="Times New Roman"/>
                      </w:rPr>
                    </m:ctrlPr>
                  </m:e>
                </m:d>
                <m:ctrlPr>
                  <w:rPr>
                    <w:rFonts w:ascii="Cambria Math" w:hAnsi="Cambria Math" w:cs="Times New Roman"/>
                  </w:rPr>
                </m:ctrlPr>
              </m:e>
            </m:d>
            <m:ctrlPr>
              <w:rPr>
                <w:rFonts w:ascii="Cambria Math" w:hAnsi="Cambria Math" w:cs="Times New Roman"/>
              </w:rPr>
            </m:ctrlPr>
          </m:num>
          <m:den>
            <m:nary>
              <m:naryPr>
                <m:chr m:val="∑"/>
                <m:grow m:val="1"/>
                <m:limLoc m:val="undOvr"/>
                <m:ctrlPr>
                  <w:rPr>
                    <w:rFonts w:ascii="Cambria Math" w:hAnsi="Cambria Math" w:cs="Times New Roman"/>
                  </w:rPr>
                </m:ctrlPr>
              </m:naryPr>
              <m:sub>
                <m:r>
                  <m:rPr/>
                  <w:rPr>
                    <w:rFonts w:ascii="Cambria Math" w:hAnsi="Cambria Math" w:cs="Times New Roman"/>
                  </w:rPr>
                  <m:t>j=1</m:t>
                </m:r>
                <m:ctrlPr>
                  <w:rPr>
                    <w:rFonts w:ascii="Cambria Math" w:hAnsi="Cambria Math" w:cs="Times New Roman"/>
                  </w:rPr>
                </m:ctrlPr>
              </m:sub>
              <m:sup>
                <m:r>
                  <m:rPr/>
                  <w:rPr>
                    <w:rFonts w:ascii="Cambria Math" w:hAnsi="Cambria Math" w:cs="Times New Roman"/>
                  </w:rPr>
                  <m:t>15</m:t>
                </m:r>
                <m:ctrlPr>
                  <w:rPr>
                    <w:rFonts w:ascii="Cambria Math" w:hAnsi="Cambria Math" w:cs="Times New Roman"/>
                  </w:rPr>
                </m:ctrlPr>
              </m:sup>
              <m:e>
                <m:r>
                  <m:rPr>
                    <m:sty m:val="p"/>
                  </m:rPr>
                  <w:rPr>
                    <w:rFonts w:ascii="Cambria Math" w:hAnsi="Cambria Math" w:cs="Times New Roman"/>
                  </w:rPr>
                  <m:t>max</m:t>
                </m:r>
                <m:ctrlPr>
                  <w:rPr>
                    <w:rFonts w:ascii="Cambria Math" w:hAnsi="Cambria Math" w:cs="Times New Roman"/>
                  </w:rPr>
                </m:ctrlPr>
              </m:e>
            </m:nary>
            <m:r>
              <m:rPr/>
              <w:rPr>
                <w:rFonts w:ascii="Cambria Math" w:hAnsi="Cambria Math" w:cs="Times New Roman"/>
              </w:rPr>
              <m:t xml:space="preserve"> </m:t>
            </m:r>
            <m:d>
              <m:dPr>
                <m:begChr m:val="["/>
                <m:sepChr m:val=","/>
                <m:endChr m:val="]"/>
                <m:ctrlPr>
                  <w:rPr>
                    <w:rFonts w:ascii="Cambria Math" w:hAnsi="Cambria Math" w:cs="Times New Roman"/>
                  </w:rPr>
                </m:ctrlPr>
              </m:dPr>
              <m:e>
                <m:r>
                  <m:rPr/>
                  <w:rPr>
                    <w:rFonts w:ascii="Cambria Math" w:hAnsi="Cambria Math" w:cs="Times New Roman"/>
                  </w:rPr>
                  <m:t>f</m:t>
                </m:r>
                <m:ctrlPr>
                  <w:rPr>
                    <w:rFonts w:ascii="Cambria Math" w:hAnsi="Cambria Math" w:cs="Times New Roman"/>
                  </w:rPr>
                </m:ctrlPr>
              </m:e>
              <m:e>
                <m:d>
                  <m:dPr>
                    <m:sepChr m:val=","/>
                    <m:ctrlPr>
                      <w:rPr>
                        <w:rFonts w:ascii="Cambria Math" w:hAnsi="Cambria Math" w:cs="Times New Roman"/>
                      </w:rPr>
                    </m:ctrlPr>
                  </m:dPr>
                  <m:e>
                    <m:r>
                      <m:rPr/>
                      <w:rPr>
                        <w:rFonts w:ascii="Cambria Math" w:hAnsi="Cambria Math" w:cs="Times New Roman"/>
                      </w:rPr>
                      <m:t>c</m:t>
                    </m:r>
                    <m:ctrlPr>
                      <w:rPr>
                        <w:rFonts w:ascii="Cambria Math" w:hAnsi="Cambria Math" w:cs="Times New Roman"/>
                      </w:rPr>
                    </m:ctrlPr>
                  </m:e>
                  <m:e>
                    <m:r>
                      <m:rPr/>
                      <w:rPr>
                        <w:rFonts w:ascii="Cambria Math" w:hAnsi="Cambria Math" w:cs="Times New Roman"/>
                      </w:rPr>
                      <m:t>j</m:t>
                    </m:r>
                    <m:ctrlPr>
                      <w:rPr>
                        <w:rFonts w:ascii="Cambria Math" w:hAnsi="Cambria Math" w:cs="Times New Roman"/>
                      </w:rPr>
                    </m:ctrlPr>
                  </m:e>
                </m:d>
                <m:r>
                  <m:rPr/>
                  <w:rPr>
                    <w:rFonts w:ascii="Cambria Math" w:hAnsi="Cambria Math" w:cs="Times New Roman"/>
                  </w:rPr>
                  <m:t xml:space="preserve"> f</m:t>
                </m:r>
                <m:d>
                  <m:dPr>
                    <m:sepChr m:val=","/>
                    <m:ctrlPr>
                      <w:rPr>
                        <w:rFonts w:ascii="Cambria Math" w:hAnsi="Cambria Math" w:cs="Times New Roman"/>
                      </w:rPr>
                    </m:ctrlPr>
                  </m:dPr>
                  <m:e>
                    <m:sSup>
                      <m:sSupPr>
                        <m:ctrlPr>
                          <w:rPr>
                            <w:rFonts w:ascii="Cambria Math" w:hAnsi="Cambria Math" w:cs="Times New Roman"/>
                          </w:rPr>
                        </m:ctrlPr>
                      </m:sSupPr>
                      <m:e>
                        <m:r>
                          <m:rPr/>
                          <w:rPr>
                            <w:rFonts w:ascii="Cambria Math" w:hAnsi="Cambria Math" w:cs="Times New Roman"/>
                          </w:rPr>
                          <m:t>c</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e>
                  <m:e>
                    <m:r>
                      <m:rPr/>
                      <w:rPr>
                        <w:rFonts w:ascii="Cambria Math" w:hAnsi="Cambria Math" w:cs="Times New Roman"/>
                      </w:rPr>
                      <m:t>j</m:t>
                    </m:r>
                    <m:ctrlPr>
                      <w:rPr>
                        <w:rFonts w:ascii="Cambria Math" w:hAnsi="Cambria Math" w:cs="Times New Roman"/>
                      </w:rPr>
                    </m:ctrlPr>
                  </m:e>
                </m:d>
                <m:ctrlPr>
                  <w:rPr>
                    <w:rFonts w:ascii="Cambria Math" w:hAnsi="Cambria Math" w:cs="Times New Roman"/>
                  </w:rPr>
                </m:ctrlPr>
              </m:e>
            </m:d>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(72)</w:t>
      </w:r>
    </w:p>
    <w:p>
      <w:pPr>
        <w:rPr>
          <w:rFonts w:ascii="Times New Roman" w:hAnsi="Times New Roman" w:cs="Times New Roman"/>
        </w:rPr>
      </w:pPr>
      <w:r>
        <w:rPr>
          <w:rFonts w:ascii="Times New Roman" w:hAnsi="Times New Roman" w:cs="Times New Roman"/>
        </w:rPr>
        <w:t>and the corresponding dissimilarity was defined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d</m:t>
            </m:r>
            <m:ctrlPr>
              <w:rPr>
                <w:rFonts w:ascii="Cambria Math" w:hAnsi="Cambria Math" w:cs="Times New Roman"/>
              </w:rPr>
            </m:ctrlPr>
          </m:e>
          <m:sub>
            <m:box>
              <m:boxPr>
                <m:ctrlPr>
                  <w:rPr>
                    <w:rFonts w:ascii="Cambria Math" w:hAnsi="Cambria Math" w:cs="Times New Roman"/>
                  </w:rPr>
                </m:ctrlPr>
              </m:boxPr>
              <m:e>
                <m:r>
                  <m:rPr>
                    <m:sty m:val="p"/>
                  </m:rPr>
                  <w:rPr>
                    <w:rFonts w:ascii="Cambria Math" w:hAnsi="Cambria Math" w:cs="Times New Roman"/>
                  </w:rPr>
                  <m:t>w</m:t>
                </m:r>
                <m:ctrlPr>
                  <w:rPr>
                    <w:rFonts w:ascii="Cambria Math" w:hAnsi="Cambria Math" w:cs="Times New Roman"/>
                  </w:rPr>
                </m:ctrlPr>
              </m:e>
            </m:box>
            <m:ctrlPr>
              <w:rPr>
                <w:rFonts w:ascii="Cambria Math" w:hAnsi="Cambria Math" w:cs="Times New Roman"/>
              </w:rPr>
            </m:ctrlPr>
          </m:sub>
        </m:sSub>
        <m:d>
          <m:dPr>
            <m:sepChr m:val=","/>
            <m:ctrlPr>
              <w:rPr>
                <w:rFonts w:ascii="Cambria Math" w:hAnsi="Cambria Math" w:cs="Times New Roman"/>
              </w:rPr>
            </m:ctrlPr>
          </m:dPr>
          <m:e>
            <m:r>
              <m:rPr/>
              <w:rPr>
                <w:rFonts w:ascii="Cambria Math" w:hAnsi="Cambria Math" w:cs="Times New Roman"/>
              </w:rPr>
              <m:t>c</m:t>
            </m:r>
            <m:ctrlPr>
              <w:rPr>
                <w:rFonts w:ascii="Cambria Math" w:hAnsi="Cambria Math" w:cs="Times New Roman"/>
              </w:rPr>
            </m:ctrlPr>
          </m:e>
          <m:e>
            <m:sSup>
              <m:sSupPr>
                <m:ctrlPr>
                  <w:rPr>
                    <w:rFonts w:ascii="Cambria Math" w:hAnsi="Cambria Math" w:cs="Times New Roman"/>
                  </w:rPr>
                </m:ctrlPr>
              </m:sSupPr>
              <m:e>
                <m:r>
                  <m:rPr/>
                  <w:rPr>
                    <w:rFonts w:ascii="Cambria Math" w:hAnsi="Cambria Math" w:cs="Times New Roman"/>
                  </w:rPr>
                  <m:t>c</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e>
        </m:d>
        <m:r>
          <m:rPr/>
          <w:rPr>
            <w:rFonts w:ascii="Cambria Math" w:hAnsi="Cambria Math" w:cs="Times New Roman"/>
          </w:rPr>
          <m:t>=1−</m:t>
        </m:r>
        <m:sSub>
          <m:sSubPr>
            <m:ctrlPr>
              <w:rPr>
                <w:rFonts w:ascii="Cambria Math" w:hAnsi="Cambria Math" w:cs="Times New Roman"/>
              </w:rPr>
            </m:ctrlPr>
          </m:sSubPr>
          <m:e>
            <m:r>
              <m:rPr/>
              <w:rPr>
                <w:rFonts w:ascii="Cambria Math" w:hAnsi="Cambria Math" w:cs="Times New Roman"/>
              </w:rPr>
              <m:t>J</m:t>
            </m:r>
            <m:ctrlPr>
              <w:rPr>
                <w:rFonts w:ascii="Cambria Math" w:hAnsi="Cambria Math" w:cs="Times New Roman"/>
              </w:rPr>
            </m:ctrlPr>
          </m:e>
          <m:sub>
            <m:box>
              <m:boxPr>
                <m:ctrlPr>
                  <w:rPr>
                    <w:rFonts w:ascii="Cambria Math" w:hAnsi="Cambria Math" w:cs="Times New Roman"/>
                  </w:rPr>
                </m:ctrlPr>
              </m:boxPr>
              <m:e>
                <m:r>
                  <m:rPr>
                    <m:sty m:val="p"/>
                  </m:rPr>
                  <w:rPr>
                    <w:rFonts w:ascii="Cambria Math" w:hAnsi="Cambria Math" w:cs="Times New Roman"/>
                  </w:rPr>
                  <m:t>w</m:t>
                </m:r>
                <m:ctrlPr>
                  <w:rPr>
                    <w:rFonts w:ascii="Cambria Math" w:hAnsi="Cambria Math" w:cs="Times New Roman"/>
                  </w:rPr>
                </m:ctrlPr>
              </m:e>
            </m:box>
            <m:ctrlPr>
              <w:rPr>
                <w:rFonts w:ascii="Cambria Math" w:hAnsi="Cambria Math" w:cs="Times New Roman"/>
              </w:rPr>
            </m:ctrlPr>
          </m:sub>
        </m:sSub>
        <m:d>
          <m:dPr>
            <m:sepChr m:val=","/>
            <m:ctrlPr>
              <w:rPr>
                <w:rFonts w:ascii="Cambria Math" w:hAnsi="Cambria Math" w:cs="Times New Roman"/>
              </w:rPr>
            </m:ctrlPr>
          </m:dPr>
          <m:e>
            <m:r>
              <m:rPr/>
              <w:rPr>
                <w:rFonts w:ascii="Cambria Math" w:hAnsi="Cambria Math" w:cs="Times New Roman"/>
              </w:rPr>
              <m:t>c</m:t>
            </m:r>
            <m:ctrlPr>
              <w:rPr>
                <w:rFonts w:ascii="Cambria Math" w:hAnsi="Cambria Math" w:cs="Times New Roman"/>
              </w:rPr>
            </m:ctrlPr>
          </m:e>
          <m:e>
            <m:sSup>
              <m:sSupPr>
                <m:ctrlPr>
                  <w:rPr>
                    <w:rFonts w:ascii="Cambria Math" w:hAnsi="Cambria Math" w:cs="Times New Roman"/>
                  </w:rPr>
                </m:ctrlPr>
              </m:sSupPr>
              <m:e>
                <m:r>
                  <m:rPr/>
                  <w:rPr>
                    <w:rFonts w:ascii="Cambria Math" w:hAnsi="Cambria Math" w:cs="Times New Roman"/>
                  </w:rPr>
                  <m:t>c</m:t>
                </m:r>
                <m:ctrlPr>
                  <w:rPr>
                    <w:rFonts w:ascii="Cambria Math" w:hAnsi="Cambria Math" w:cs="Times New Roman"/>
                  </w:rPr>
                </m:ctrlPr>
              </m:e>
              <m:sup>
                <m:r>
                  <m:rPr/>
                  <w:rPr>
                    <w:rFonts w:ascii="Cambria Math" w:hAnsi="Cambria Math" w:cs="Times New Roman"/>
                  </w:rPr>
                  <m:t>'</m:t>
                </m:r>
                <m:ctrlPr>
                  <w:rPr>
                    <w:rFonts w:ascii="Cambria Math" w:hAnsi="Cambria Math" w:cs="Times New Roman"/>
                  </w:rPr>
                </m:ctrlPr>
              </m:sup>
            </m:sSup>
            <m:ctrlPr>
              <w:rPr>
                <w:rFonts w:ascii="Cambria Math" w:hAnsi="Cambria Math" w:cs="Times New Roman"/>
              </w:rPr>
            </m:ctrlPr>
          </m:e>
        </m:d>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(73)</w:t>
      </w:r>
    </w:p>
    <w:p>
      <w:pPr>
        <w:rPr>
          <w:rFonts w:ascii="Times New Roman" w:hAnsi="Times New Roman" w:cs="Times New Roman"/>
        </w:rPr>
      </w:pPr>
      <w:r>
        <w:rPr>
          <w:rFonts w:ascii="Times New Roman" w:hAnsi="Times New Roman" w:cs="Times New Roman"/>
        </w:rPr>
        <w:t>The 20 model-guided configurations in Fig. 4e were ordered by average-linkage hierarchical clustering of the weighted-Jaccard dissimilarities. The clustering was used only as a descriptive organization of material-level recovery patterns and was not interpreted as evidence of discrete mechanistic classes.</w:t>
      </w:r>
    </w:p>
    <w:p>
      <w:pPr>
        <w:rPr>
          <w:rFonts w:ascii="Times New Roman" w:hAnsi="Times New Roman" w:cs="Times New Roman"/>
        </w:rPr>
      </w:pPr>
    </w:p>
    <w:p>
      <w:pPr>
        <w:pStyle w:val="11"/>
        <w:jc w:val="center"/>
        <w:rPr>
          <w:rFonts w:cs="Times New Roman"/>
          <w:b/>
          <w:bCs w:val="0"/>
          <w:color w:val="auto"/>
        </w:rPr>
      </w:pPr>
      <w:r>
        <w:rPr>
          <w:rFonts w:cs="Times New Roman"/>
          <w:b/>
          <w:bCs w:val="0"/>
          <w:color w:val="auto"/>
        </w:rPr>
        <w:t xml:space="preserve">Supplementary Table </w:t>
      </w:r>
      <w:r>
        <w:rPr>
          <w:rFonts w:cs="Times New Roman" w:eastAsiaTheme="minorEastAsia"/>
          <w:b/>
          <w:bCs w:val="0"/>
          <w:color w:val="auto"/>
        </w:rPr>
        <w:t>23</w:t>
      </w:r>
      <w:r>
        <w:rPr>
          <w:rFonts w:cs="Times New Roman"/>
          <w:b/>
          <w:bCs w:val="0"/>
          <w:color w:val="auto"/>
        </w:rPr>
        <w:t xml:space="preserve"> | Mapping of SF1–SF15 to the strict oracle-front MOFs.</w:t>
      </w:r>
    </w:p>
    <w:tbl>
      <w:tblPr>
        <w:tblStyle w:val="20"/>
        <w:tblW w:w="3975" w:type="dxa"/>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15"/>
        <w:gridCol w:w="1560"/>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cantSplit/>
          <w:jc w:val="center"/>
        </w:trPr>
        <w:tc>
          <w:tcPr>
            <w:tcW w:w="2415" w:type="dxa"/>
            <w:tcBorders>
              <w:top w:val="single" w:color="auto" w:sz="8" w:space="0"/>
              <w:bottom w:val="single" w:color="auto" w:sz="4" w:space="0"/>
            </w:tcBorders>
            <w:vAlign w:val="center"/>
          </w:tcPr>
          <w:p>
            <w:pPr>
              <w:jc w:val="center"/>
              <w:rPr>
                <w:rFonts w:ascii="Times New Roman" w:hAnsi="Times New Roman" w:cs="Times New Roman"/>
                <w:sz w:val="20"/>
                <w:szCs w:val="20"/>
              </w:rPr>
            </w:pPr>
            <w:r>
              <w:rPr>
                <w:rFonts w:ascii="Times New Roman" w:hAnsi="Times New Roman" w:cs="Times New Roman"/>
                <w:b/>
                <w:sz w:val="20"/>
                <w:szCs w:val="20"/>
              </w:rPr>
              <w:t>Strict-front label</w:t>
            </w:r>
          </w:p>
        </w:tc>
        <w:tc>
          <w:tcPr>
            <w:tcW w:w="1560" w:type="dxa"/>
            <w:tcBorders>
              <w:top w:val="single" w:color="auto" w:sz="8" w:space="0"/>
              <w:bottom w:val="single" w:color="auto" w:sz="4" w:space="0"/>
            </w:tcBorders>
            <w:vAlign w:val="center"/>
          </w:tcPr>
          <w:p>
            <w:pPr>
              <w:jc w:val="center"/>
              <w:rPr>
                <w:rFonts w:ascii="Times New Roman" w:hAnsi="Times New Roman" w:cs="Times New Roman"/>
                <w:sz w:val="20"/>
                <w:szCs w:val="20"/>
              </w:rPr>
            </w:pPr>
            <w:r>
              <w:rPr>
                <w:rFonts w:ascii="Times New Roman" w:hAnsi="Times New Roman" w:cs="Times New Roman"/>
                <w:b/>
                <w:sz w:val="20"/>
                <w:szCs w:val="20"/>
              </w:rPr>
              <w:t>CSD</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tcBorders>
              <w:top w:val="single" w:color="auto" w:sz="4" w:space="0"/>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SF1</w:t>
            </w:r>
          </w:p>
        </w:tc>
        <w:tc>
          <w:tcPr>
            <w:tcW w:w="1560" w:type="dxa"/>
            <w:tcBorders>
              <w:top w:val="single" w:color="auto" w:sz="4" w:space="0"/>
            </w:tcBorders>
            <w:vAlign w:val="center"/>
          </w:tcPr>
          <w:p>
            <w:pPr>
              <w:jc w:val="center"/>
              <w:rPr>
                <w:rFonts w:ascii="Times New Roman" w:hAnsi="Times New Roman" w:cs="Times New Roman"/>
                <w:sz w:val="20"/>
                <w:szCs w:val="20"/>
              </w:rPr>
            </w:pPr>
            <w:r>
              <w:rPr>
                <w:rFonts w:ascii="Times New Roman" w:hAnsi="Times New Roman" w:cs="Times New Roman"/>
                <w:sz w:val="20"/>
                <w:szCs w:val="20"/>
              </w:rPr>
              <w:t>FOPFAS</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SF2</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IBAPIM</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SF3</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LAPZEK</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SF4</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MOYZUW</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SF5</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NILGIA</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SF6</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NILGOG</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SF7</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OLOGAY</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SF8</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OYEWEW</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SF9</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RAYMIP</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SF10</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SUKYON</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SF11</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UMOBEF02</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SF12</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UMODEH01</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SF13</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UMOVEZ04</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SF14</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XICKOL</w:t>
            </w:r>
          </w:p>
        </w:tc>
      </w:tr>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trPr>
        <w:tc>
          <w:tcPr>
            <w:tcW w:w="2415" w:type="dxa"/>
            <w:vAlign w:val="center"/>
          </w:tcPr>
          <w:p>
            <w:pPr>
              <w:jc w:val="center"/>
              <w:rPr>
                <w:rFonts w:ascii="Times New Roman" w:hAnsi="Times New Roman" w:cs="Times New Roman"/>
                <w:sz w:val="20"/>
                <w:szCs w:val="20"/>
              </w:rPr>
            </w:pPr>
            <w:r>
              <w:rPr>
                <w:rFonts w:ascii="Times New Roman" w:hAnsi="Times New Roman" w:cs="Times New Roman"/>
                <w:sz w:val="20"/>
                <w:szCs w:val="20"/>
              </w:rPr>
              <w:t>SF15</w:t>
            </w:r>
          </w:p>
        </w:tc>
        <w:tc>
          <w:tcPr>
            <w:tcW w:w="1560" w:type="dxa"/>
            <w:vAlign w:val="center"/>
          </w:tcPr>
          <w:p>
            <w:pPr>
              <w:jc w:val="center"/>
              <w:rPr>
                <w:rFonts w:ascii="Times New Roman" w:hAnsi="Times New Roman" w:cs="Times New Roman"/>
                <w:sz w:val="20"/>
                <w:szCs w:val="20"/>
              </w:rPr>
            </w:pPr>
            <w:r>
              <w:rPr>
                <w:rFonts w:ascii="Times New Roman" w:hAnsi="Times New Roman" w:cs="Times New Roman"/>
                <w:sz w:val="20"/>
                <w:szCs w:val="20"/>
              </w:rPr>
              <w:t>YUGZIK</w:t>
            </w:r>
          </w:p>
        </w:tc>
      </w:tr>
    </w:tbl>
    <w:p>
      <w:pPr>
        <w:rPr>
          <w:rFonts w:ascii="Times New Roman" w:hAnsi="Times New Roman" w:cs="Times New Roman"/>
        </w:rPr>
      </w:pPr>
      <w:r>
        <w:rPr>
          <w:rFonts w:ascii="Times New Roman" w:hAnsi="Times New Roman" w:cs="Times New Roman"/>
        </w:rPr>
        <w:t>SF1–SF15 are fixed display labels used in Fig. 4e and Supplementary Table 23. Their numbering specifies column identity only and does not indicate Pareto rank, objective preference or recovery difficulty.</w:t>
      </w:r>
    </w:p>
    <w:p>
      <w:pPr>
        <w:rPr>
          <w:rFonts w:ascii="Times New Roman" w:hAnsi="Times New Roman" w:cs="Times New Roman"/>
        </w:rPr>
      </w:pPr>
    </w:p>
    <w:p>
      <w:pPr>
        <w:ind w:firstLine="420"/>
        <w:rPr>
          <w:rFonts w:ascii="Times New Roman" w:hAnsi="Times New Roman" w:cs="Times New Roman"/>
        </w:rPr>
      </w:pPr>
      <w:r>
        <w:rPr>
          <w:rFonts w:ascii="Times New Roman" w:hAnsi="Times New Roman" w:cs="Times New Roman"/>
        </w:rPr>
        <w:t>Four model-guided configurations were retained for the budget-dependent and material-level analyses in Fig. 5. Selection was role-based rather than a ranking of the four largest values under a single metric. qEHVI-Manual and Greedy-Manual formed a matched policy comparison in Manual space with ARD on, whereas qEHVI-P85 and Greedy-P85 formed the corresponding comparison in P85 space with ARD off. Random sampling was added as the unguided reference. The comparison between qEHVI-Manual and qEHVI-P85 is therefore an integrated configuration comparison rather than a representation-only ablation.</w:t>
      </w:r>
    </w:p>
    <w:p>
      <w:pPr>
        <w:ind w:firstLine="420"/>
        <w:rPr>
          <w:rFonts w:ascii="Times New Roman" w:hAnsi="Times New Roman" w:cs="Times New Roman"/>
        </w:rPr>
      </w:pPr>
      <w:r>
        <w:rPr>
          <w:rFonts w:ascii="Times New Roman" w:hAnsi="Times New Roman" w:cs="Times New Roman"/>
        </w:rPr>
        <w:t>For consistency with Fig. 5, qEHVI-Manual (ARD on), Greedy-Manual (ARD on), qEHVI-P85 (ARD off) and Greedy-P85 (ARD off) are denoted qE-Manual, Gr-Manual, qE-Hybrid and Gr-Hybrid, respectively.</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S7.3 Supplementary analyses of representative-policy performance and search behaviour</w:t>
      </w:r>
    </w:p>
    <w:p>
      <w:pPr>
        <w:rPr>
          <w:rFonts w:ascii="Times New Roman" w:hAnsi="Times New Roman" w:cs="Times New Roman"/>
        </w:rPr>
      </w:pPr>
      <w:r>
        <w:rPr>
          <w:rFonts w:ascii="Times New Roman" w:hAnsi="Times New Roman" w:cs="Times New Roman"/>
        </w:rPr>
        <w:t>To complement the representative-policy analyses in Fig. 5, we further examined target-specific Top-1% recovery, shared-space selection patterns for the Greedy controls and latent-space dispersion using two MNND measures.</w:t>
      </w:r>
    </w:p>
    <w:p>
      <w:pPr>
        <w:rPr>
          <w:rFonts w:ascii="Times New Roman" w:hAnsi="Times New Roman" w:cs="Times New Roman"/>
        </w:rPr>
      </w:pPr>
      <w:r>
        <w:rPr>
          <w:rFonts w:ascii="Times New Roman" w:hAnsi="Times New Roman" w:cs="Times New Roman"/>
        </w:rPr>
        <w:drawing>
          <wp:inline distT="0" distB="0" distL="0" distR="0">
            <wp:extent cx="5731510" cy="1671955"/>
            <wp:effectExtent l="0" t="0" r="2540" b="4445"/>
            <wp:docPr id="16545394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39493"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671955"/>
                    </a:xfrm>
                    <a:prstGeom prst="rect">
                      <a:avLst/>
                    </a:prstGeom>
                  </pic:spPr>
                </pic:pic>
              </a:graphicData>
            </a:graphic>
          </wp:inline>
        </w:drawing>
      </w:r>
    </w:p>
    <w:p>
      <w:pPr>
        <w:pStyle w:val="11"/>
        <w:jc w:val="center"/>
        <w:rPr>
          <w:rFonts w:cs="Times New Roman" w:eastAsiaTheme="minorEastAsia"/>
          <w:b/>
          <w:bCs w:val="0"/>
          <w:color w:val="auto"/>
        </w:rPr>
      </w:pPr>
      <w:r>
        <w:rPr>
          <w:rFonts w:cs="Times New Roman"/>
          <w:b/>
          <w:bCs w:val="0"/>
          <w:color w:val="auto"/>
        </w:rPr>
        <w:t xml:space="preserve">Supplementary Figure </w:t>
      </w:r>
      <w:r>
        <w:rPr>
          <w:rFonts w:eastAsia="宋体" w:cs="Times New Roman"/>
          <w:b/>
          <w:bCs w:val="0"/>
          <w:color w:val="auto"/>
        </w:rPr>
        <w:t>4</w:t>
      </w:r>
      <w:r>
        <w:rPr>
          <w:rFonts w:cs="Times New Roman"/>
          <w:b/>
          <w:bCs w:val="0"/>
          <w:color w:val="auto"/>
        </w:rPr>
        <w:t xml:space="preserve"> | Target-specific Top-1% recovery trajectories of the representative policies. </w:t>
      </w:r>
      <w:r>
        <w:rPr>
          <w:rFonts w:cs="Times New Roman"/>
          <w:color w:val="auto"/>
        </w:rPr>
        <w:t>Recovery of the fixed CEES, DMMP and EtCl Top-1% sets is shown as a function of cumulative query budget for Random, qE-Manual, Gr-Manual, Gr-Hybrid and qE-Hybrid. Curves and shaded bands denote the mean ± sample s.d. across five matched seeds. The vertical dashed line marks the 10% cumulative query budget.</w:t>
      </w:r>
    </w:p>
    <w:p>
      <w:pPr>
        <w:rPr>
          <w:rFonts w:ascii="Times New Roman" w:hAnsi="Times New Roman" w:cs="Times New Roman"/>
        </w:rPr>
      </w:pPr>
      <w:r>
        <w:rPr>
          <w:rFonts w:ascii="Times New Roman" w:hAnsi="Times New Roman" w:cs="Times New Roman"/>
        </w:rPr>
        <w:drawing>
          <wp:inline distT="0" distB="0" distL="0" distR="0">
            <wp:extent cx="5133975" cy="2681605"/>
            <wp:effectExtent l="0" t="0" r="0" b="4445"/>
            <wp:docPr id="6936077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607799" name="图片 2"/>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39958" cy="2685010"/>
                    </a:xfrm>
                    <a:prstGeom prst="rect">
                      <a:avLst/>
                    </a:prstGeom>
                  </pic:spPr>
                </pic:pic>
              </a:graphicData>
            </a:graphic>
          </wp:inline>
        </w:drawing>
      </w:r>
    </w:p>
    <w:p>
      <w:pPr>
        <w:pStyle w:val="11"/>
        <w:rPr>
          <w:rFonts w:cs="Times New Roman" w:eastAsiaTheme="minorEastAsia"/>
          <w:b/>
          <w:bCs w:val="0"/>
          <w:color w:val="auto"/>
        </w:rPr>
      </w:pPr>
      <w:r>
        <w:rPr>
          <w:rFonts w:cs="Times New Roman"/>
          <w:b/>
          <w:bCs w:val="0"/>
          <w:color w:val="auto"/>
        </w:rPr>
        <w:t xml:space="preserve">Supplementary Figure </w:t>
      </w:r>
      <w:r>
        <w:rPr>
          <w:rFonts w:eastAsia="宋体" w:cs="Times New Roman"/>
          <w:b/>
          <w:bCs w:val="0"/>
          <w:color w:val="auto"/>
        </w:rPr>
        <w:t>5</w:t>
      </w:r>
      <w:r>
        <w:rPr>
          <w:rFonts w:cs="Times New Roman"/>
          <w:b/>
          <w:bCs w:val="0"/>
          <w:color w:val="auto"/>
        </w:rPr>
        <w:t xml:space="preserve"> | Shared-space selection maps for the Greedy control policies</w:t>
      </w:r>
      <w:r>
        <w:rPr>
          <w:rFonts w:cs="Times New Roman" w:eastAsiaTheme="minorEastAsia"/>
          <w:b/>
          <w:bCs w:val="0"/>
          <w:color w:val="auto"/>
        </w:rPr>
        <w:t xml:space="preserve">. </w:t>
      </w:r>
      <w:r>
        <w:rPr>
          <w:rFonts w:cs="Times New Roman" w:eastAsiaTheme="minorEastAsia"/>
          <w:color w:val="auto"/>
        </w:rPr>
        <w:t>Cumulative selections made by Gr-Manual and Gr-Hybrid at the 10% query budget are projected onto the fixed Hybrid-PCA85 PC1–PC2 space for each of the five seeds. Grey points show the complete candidate library, open circles the common 100-MOF initial design, blue points post-initial selections coloured by acquisition stage, yellow points queried Top-3 Pareto-layer materials and red stars queried strict-front materials. The shared map was used only for post hoc spatial comparison; selections were not connected according to acquisition order, and all formal distance calculations used the complete 58-dimensional shared space.</w:t>
      </w:r>
    </w:p>
    <w:p>
      <w:pPr>
        <w:jc w:val="center"/>
        <w:rPr>
          <w:rFonts w:ascii="Times New Roman" w:hAnsi="Times New Roman" w:cs="Times New Roman"/>
        </w:rPr>
      </w:pPr>
      <w:r>
        <w:rPr>
          <w:rFonts w:ascii="Times New Roman" w:hAnsi="Times New Roman" w:cs="Times New Roman"/>
        </w:rPr>
        <w:drawing>
          <wp:inline distT="0" distB="0" distL="0" distR="0">
            <wp:extent cx="3752850" cy="3686810"/>
            <wp:effectExtent l="0" t="0" r="0" b="8890"/>
            <wp:docPr id="7687015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701580" name="图片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58873" cy="3693269"/>
                    </a:xfrm>
                    <a:prstGeom prst="rect">
                      <a:avLst/>
                    </a:prstGeom>
                  </pic:spPr>
                </pic:pic>
              </a:graphicData>
            </a:graphic>
          </wp:inline>
        </w:drawing>
      </w:r>
    </w:p>
    <w:p>
      <w:pPr>
        <w:pStyle w:val="11"/>
        <w:rPr>
          <w:rFonts w:cs="Times New Roman" w:eastAsiaTheme="minorEastAsia"/>
          <w:b/>
          <w:bCs w:val="0"/>
          <w:color w:val="auto"/>
        </w:rPr>
      </w:pPr>
      <w:r>
        <w:rPr>
          <w:rFonts w:cs="Times New Roman"/>
          <w:b/>
          <w:bCs w:val="0"/>
          <w:color w:val="auto"/>
        </w:rPr>
        <w:t xml:space="preserve">Supplementary Figure </w:t>
      </w:r>
      <w:r>
        <w:rPr>
          <w:rFonts w:eastAsia="宋体" w:cs="Times New Roman"/>
          <w:b/>
          <w:bCs w:val="0"/>
          <w:color w:val="auto"/>
        </w:rPr>
        <w:t>6</w:t>
      </w:r>
      <w:r>
        <w:rPr>
          <w:rFonts w:cs="Times New Roman"/>
          <w:b/>
          <w:bCs w:val="0"/>
          <w:color w:val="auto"/>
        </w:rPr>
        <w:t xml:space="preserve"> | Round-wise and cumulative MNND of the representative policies</w:t>
      </w:r>
      <w:r>
        <w:rPr>
          <w:rFonts w:cs="Times New Roman" w:eastAsiaTheme="minorEastAsia"/>
          <w:b/>
          <w:bCs w:val="0"/>
          <w:color w:val="auto"/>
        </w:rPr>
        <w:t xml:space="preserve">. </w:t>
      </w:r>
      <w:r>
        <w:rPr>
          <w:rFonts w:cs="Times New Roman" w:eastAsiaTheme="minorEastAsia"/>
          <w:color w:val="auto"/>
        </w:rPr>
        <w:t>Top, new-to-history MNND quantifies the mean distance of each newly selected batch to the queried history available before that round. Bottom, cumulative selected-set MNND quantifies nearest-neighbour spacing within the complete queried set accumulated at each budget. Distances were calculated in the fixed 58-dimensional, post-PCA-standardized Hybrid-PCA85 shared space. Curves and shaded bands denote the mean ± sample s.d. across five matched seeds, and the vertical dashed line marks the 10% cumulative query budget.</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t>These spatial metrics were interpreted as descriptive diagnostics and not as causal explanations for differences in Pareto recovery.</w:t>
      </w:r>
    </w:p>
    <w:p>
      <w:pPr>
        <w:rPr>
          <w:rFonts w:ascii="Times New Roman" w:hAnsi="Times New Roman" w:cs="Times New Roman"/>
        </w:rPr>
      </w:pPr>
      <w:r>
        <w:rPr>
          <w:rFonts w:ascii="Times New Roman" w:hAnsi="Times New Roman" w:cs="Times New Roman"/>
        </w:rPr>
        <w:br w:type="page"/>
      </w:r>
    </w:p>
    <w:p>
      <w:pPr>
        <w:pStyle w:val="2"/>
        <w:spacing w:before="0" w:after="0"/>
        <w:rPr>
          <w:rFonts w:ascii="Times New Roman" w:hAnsi="Times New Roman" w:cs="Times New Roman"/>
          <w:color w:val="auto"/>
          <w:sz w:val="28"/>
          <w:szCs w:val="28"/>
        </w:rPr>
      </w:pPr>
      <w:r>
        <w:rPr>
          <w:rFonts w:ascii="Times New Roman" w:hAnsi="Times New Roman" w:cs="Times New Roman"/>
          <w:b/>
          <w:bCs/>
          <w:color w:val="auto"/>
          <w:sz w:val="28"/>
          <w:szCs w:val="28"/>
        </w:rPr>
        <w:t>Supplementary Note 8 —Computational candidate prioritization and experimental shortlist</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S8.1 RepMOBO-derived candidate pool and cross-run recurrence</w:t>
      </w:r>
    </w:p>
    <w:p>
      <w:pPr>
        <w:ind w:firstLine="420"/>
        <w:rPr>
          <w:rFonts w:ascii="Times New Roman" w:hAnsi="Times New Roman" w:cs="Times New Roman"/>
        </w:rPr>
      </w:pPr>
      <w:r>
        <w:rPr>
          <w:rFonts w:ascii="Times New Roman" w:hAnsi="Times New Roman" w:cs="Times New Roman"/>
        </w:rPr>
        <w:t>The candidate pool for experimental prioritization was constructed from the two qEHVI-based RepMOBO configurations retained after the complete configuration benchmark: RepMOBO-Manual, corresponding to qEHVI-Manual with ARD on, and RepMOBO-Hybrid, corresponding to qEHVI-P85 with ARD off. Five matched-seed runs were considered for each configuration. Candidate membership was evaluated at the 10% cumulative query budget, corresponding to 753 evaluated MOFs per run, including the common 100-MOF initial design.</w:t>
      </w:r>
    </w:p>
    <w:p>
      <w:pPr>
        <w:ind w:firstLine="420"/>
        <w:rPr>
          <w:rFonts w:ascii="Times New Roman" w:hAnsi="Times New Roman" w:cs="Times New Roman"/>
        </w:rPr>
      </w:pPr>
      <w:r>
        <w:rPr>
          <w:rFonts w:ascii="Times New Roman" w:hAnsi="Times New Roman" w:cs="Times New Roman"/>
        </w:rPr>
        <w:t>All materials queried in at least one of the ten runs by this budget were pooled by MOF identifier, yielding 2,385 unique candidates from the complete 7,532-MOF library. For each material, Manual occurrence and Hybrid occurrence were defined as the numbers of RepMOBO-Manual and RepMOBO-Hybrid runs, respectively, in which the material had been queried. Total occurrence was defined as the sum of these two counts. Retaining materials with a total occurrence of at least 6/10 reduced the candidate pool to 428 MOFs. Because each RepMOBO configuration contributed a maximum of five occurrences, this threshold required at least one occurrence under each representative configuration.</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S8.2 Pareto-enriched filtering and composite-score ranking</w:t>
      </w:r>
    </w:p>
    <w:p>
      <w:pPr>
        <w:rPr>
          <w:rFonts w:ascii="Times New Roman" w:hAnsi="Times New Roman" w:cs="Times New Roman"/>
        </w:rPr>
      </w:pPr>
      <w:r>
        <w:rPr>
          <w:rFonts w:ascii="Times New Roman" w:hAnsi="Times New Roman" w:cs="Times New Roman"/>
        </w:rPr>
        <w:t xml:space="preserve">The 428 recurrent candidates were evaluated using the fixed full-library oracle quantities defined in Supplementary Note 3. Candidates were required to belong to the Top-3 Pareto set and to the Top-1% set ranked by a full-library composite adsorption score. For material </w:t>
      </w:r>
      <m:oMath>
        <m:r>
          <m:rPr/>
          <w:rPr>
            <w:rFonts w:ascii="Cambria Math" w:hAnsi="Cambria Math" w:cs="Times New Roman"/>
          </w:rPr>
          <m:t xml:space="preserve">i </m:t>
        </m:r>
      </m:oMath>
      <w:r>
        <w:rPr>
          <w:rFonts w:ascii="Times New Roman" w:hAnsi="Times New Roman" w:cs="Times New Roman"/>
        </w:rPr>
        <w:t xml:space="preserve">and adsorption target </w:t>
      </w:r>
      <m:oMath>
        <m:r>
          <m:rPr/>
          <w:rPr>
            <w:rFonts w:ascii="Cambria Math" w:hAnsi="Cambria Math" w:cs="Times New Roman"/>
          </w:rPr>
          <m:t>k</m:t>
        </m:r>
      </m:oMath>
      <w:r>
        <w:rPr>
          <w:rFonts w:ascii="Times New Roman" w:hAnsi="Times New Roman" w:cs="Times New Roman"/>
        </w:rPr>
        <w:t>, the GCMC uptake was min–max normalized over the complete library as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q</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i,k</m:t>
            </m:r>
            <m:ctrlPr>
              <w:rPr>
                <w:rFonts w:ascii="Cambria Math" w:hAnsi="Cambria Math" w:cs="Times New Roman"/>
              </w:rPr>
            </m:ctrlPr>
          </m:sub>
        </m:sSub>
        <m:r>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i,k</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min</m:t>
                </m:r>
                <m:ctrlPr>
                  <w:rPr>
                    <w:rFonts w:ascii="Cambria Math" w:hAnsi="Cambria Math" w:cs="Times New Roman"/>
                  </w:rPr>
                </m:ctrlPr>
              </m:e>
              <m:sub>
                <m:r>
                  <m:rPr/>
                  <w:rPr>
                    <w:rFonts w:ascii="Cambria Math" w:hAnsi="Cambria Math" w:cs="Times New Roman"/>
                  </w:rPr>
                  <m:t>j∈M</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j,k</m:t>
                </m:r>
                <m:ctrlPr>
                  <w:rPr>
                    <w:rFonts w:ascii="Cambria Math" w:hAnsi="Cambria Math" w:cs="Times New Roman"/>
                  </w:rPr>
                </m:ctrlPr>
              </m:sub>
            </m:sSub>
            <m:ctrlPr>
              <w:rPr>
                <w:rFonts w:ascii="Cambria Math" w:hAnsi="Cambria Math" w:cs="Times New Roman"/>
              </w:rPr>
            </m:ctrlPr>
          </m:num>
          <m:den>
            <m:sSub>
              <m:sSubPr>
                <m:ctrlPr>
                  <w:rPr>
                    <w:rFonts w:ascii="Cambria Math" w:hAnsi="Cambria Math" w:cs="Times New Roman"/>
                  </w:rPr>
                </m:ctrlPr>
              </m:sSubPr>
              <m:e>
                <m:r>
                  <m:rPr>
                    <m:sty m:val="p"/>
                  </m:rPr>
                  <w:rPr>
                    <w:rFonts w:ascii="Cambria Math" w:hAnsi="Cambria Math" w:cs="Times New Roman"/>
                  </w:rPr>
                  <m:t>max</m:t>
                </m:r>
                <m:ctrlPr>
                  <w:rPr>
                    <w:rFonts w:ascii="Cambria Math" w:hAnsi="Cambria Math" w:cs="Times New Roman"/>
                  </w:rPr>
                </m:ctrlPr>
              </m:e>
              <m:sub>
                <m:r>
                  <m:rPr/>
                  <w:rPr>
                    <w:rFonts w:ascii="Cambria Math" w:hAnsi="Cambria Math" w:cs="Times New Roman"/>
                  </w:rPr>
                  <m:t>j</m:t>
                </m:r>
                <m:r>
                  <m:rPr>
                    <m:scr m:val="script"/>
                  </m:rPr>
                  <w:rPr>
                    <w:rFonts w:ascii="Cambria Math" w:hAnsi="Cambria Math" w:eastAsia="MS Mincho" w:cs="Times New Roman"/>
                  </w:rPr>
                  <m:t>∈ℒ</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j,k</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min</m:t>
                </m:r>
                <m:ctrlPr>
                  <w:rPr>
                    <w:rFonts w:ascii="Cambria Math" w:hAnsi="Cambria Math" w:cs="Times New Roman"/>
                  </w:rPr>
                </m:ctrlPr>
              </m:e>
              <m:sub>
                <m:r>
                  <m:rPr/>
                  <w:rPr>
                    <w:rFonts w:ascii="Cambria Math" w:hAnsi="Cambria Math" w:cs="Times New Roman"/>
                  </w:rPr>
                  <m:t>j∈M</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r>
                  <m:rPr/>
                  <w:rPr>
                    <w:rFonts w:ascii="Cambria Math" w:hAnsi="Cambria Math" w:cs="Times New Roman"/>
                  </w:rPr>
                  <m:t>q</m:t>
                </m:r>
                <m:ctrlPr>
                  <w:rPr>
                    <w:rFonts w:ascii="Cambria Math" w:hAnsi="Cambria Math" w:cs="Times New Roman"/>
                  </w:rPr>
                </m:ctrlPr>
              </m:e>
              <m:sub>
                <m:r>
                  <m:rPr/>
                  <w:rPr>
                    <w:rFonts w:ascii="Cambria Math" w:hAnsi="Cambria Math" w:cs="Times New Roman"/>
                  </w:rPr>
                  <m:t>j,k</m:t>
                </m:r>
                <m:ctrlPr>
                  <w:rPr>
                    <w:rFonts w:ascii="Cambria Math" w:hAnsi="Cambria Math" w:cs="Times New Roman"/>
                  </w:rPr>
                </m:ctrlPr>
              </m:sub>
            </m:sSub>
            <m:ctrlPr>
              <w:rPr>
                <w:rFonts w:ascii="Cambria Math" w:hAnsi="Cambria Math" w:cs="Times New Roman"/>
              </w:rPr>
            </m:ctrlPr>
          </m:den>
        </m:f>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(74)</w:t>
      </w:r>
    </w:p>
    <w:p>
      <w:pPr>
        <w:rPr>
          <w:rFonts w:ascii="Times New Roman" w:hAnsi="Times New Roman" w:cs="Times New Roman"/>
        </w:rPr>
      </w:pPr>
      <w:r>
        <w:rPr>
          <w:rFonts w:ascii="Times New Roman" w:hAnsi="Times New Roman" w:cs="Times New Roman"/>
        </w:rPr>
        <w:t xml:space="preserve">where </w:t>
      </w:r>
      <m:oMath>
        <m:r>
          <m:rPr/>
          <w:rPr>
            <w:rFonts w:ascii="Cambria Math" w:hAnsi="Cambria Math" w:cs="Times New Roman"/>
          </w:rPr>
          <m:t>k∈</m:t>
        </m:r>
        <m:d>
          <m:dPr>
            <m:begChr m:val="{"/>
            <m:sepChr m:val=","/>
            <m:endChr m:val="}"/>
            <m:ctrlPr>
              <w:rPr>
                <w:rFonts w:ascii="Cambria Math" w:hAnsi="Cambria Math" w:cs="Times New Roman"/>
              </w:rPr>
            </m:ctrlPr>
          </m:dPr>
          <m:e>
            <m:r>
              <m:rPr>
                <m:sty m:val="p"/>
              </m:rPr>
              <w:rPr>
                <w:rFonts w:ascii="Cambria Math" w:hAnsi="Cambria Math" w:cs="Times New Roman"/>
              </w:rPr>
              <m:t>CEES</m:t>
            </m:r>
            <m:ctrlPr>
              <w:rPr>
                <w:rFonts w:ascii="Cambria Math" w:hAnsi="Cambria Math" w:cs="Times New Roman"/>
              </w:rPr>
            </m:ctrlPr>
          </m:e>
          <m:e>
            <m:r>
              <m:rPr>
                <m:sty m:val="p"/>
              </m:rPr>
              <w:rPr>
                <w:rFonts w:ascii="Cambria Math" w:hAnsi="Cambria Math" w:cs="Times New Roman"/>
              </w:rPr>
              <m:t>DMMP</m:t>
            </m:r>
            <m:ctrlPr>
              <w:rPr>
                <w:rFonts w:ascii="Cambria Math" w:hAnsi="Cambria Math" w:cs="Times New Roman"/>
              </w:rPr>
            </m:ctrlPr>
          </m:e>
          <m:e>
            <m:r>
              <m:rPr>
                <m:sty m:val="p"/>
              </m:rPr>
              <w:rPr>
                <w:rFonts w:ascii="Cambria Math" w:hAnsi="Cambria Math" w:cs="Times New Roman"/>
              </w:rPr>
              <m:t>EtCl</m:t>
            </m:r>
            <m:ctrlPr>
              <w:rPr>
                <w:rFonts w:ascii="Cambria Math" w:hAnsi="Cambria Math" w:cs="Times New Roman"/>
              </w:rPr>
            </m:ctrlPr>
          </m:e>
        </m:d>
      </m:oMath>
      <w:r>
        <w:rPr>
          <w:rFonts w:ascii="Times New Roman" w:hAnsi="Times New Roman" w:cs="Times New Roman"/>
        </w:rPr>
        <w:t>. The composite score was calculated as the unweighted arithmetic mean of the three normalized target responses,</w:t>
      </w:r>
    </w:p>
    <w:p>
      <w:pPr>
        <w:tabs>
          <w:tab w:val="center" w:pos="4410"/>
          <w:tab w:val="right" w:pos="8820"/>
        </w:tabs>
        <w:rPr>
          <w:rFonts w:ascii="Times New Roman" w:hAnsi="Times New Roman" w:cs="Times New Roman"/>
          <w:sz w:val="20"/>
          <w:szCs w:val="20"/>
        </w:rPr>
      </w:pPr>
      <w:r>
        <w:rPr>
          <w:rFonts w:ascii="Times New Roman" w:hAnsi="Times New Roman" w:cs="Times New Roman"/>
          <w:sz w:val="20"/>
          <w:szCs w:val="20"/>
        </w:rPr>
        <w:tab/>
      </w:r>
      <m:oMath>
        <m:sSub>
          <m:sSubPr>
            <m:ctrlPr>
              <w:rPr>
                <w:rFonts w:ascii="Cambria Math" w:hAnsi="Cambria Math" w:cs="Times New Roman"/>
              </w:rPr>
            </m:ctrlPr>
          </m:sSubPr>
          <m:e>
            <m:r>
              <m:rPr/>
              <w:rPr>
                <w:rFonts w:ascii="Cambria Math" w:hAnsi="Cambria Math" w:cs="Times New Roman"/>
              </w:rPr>
              <m:t>S</m:t>
            </m:r>
            <m:ctrlPr>
              <w:rPr>
                <w:rFonts w:ascii="Cambria Math" w:hAnsi="Cambria Math" w:cs="Times New Roman"/>
              </w:rPr>
            </m:ctrlPr>
          </m:e>
          <m:sub>
            <m:r>
              <m:rPr>
                <m:nor/>
                <m:sty m:val="p"/>
              </m:rPr>
              <w:rPr>
                <w:rFonts w:ascii="Times New Roman" w:hAnsi="Times New Roman" w:cs="Times New Roman"/>
              </w:rPr>
              <m:t>comp</m:t>
            </m:r>
            <m:ctrlPr>
              <w:rPr>
                <w:rFonts w:ascii="Cambria Math" w:hAnsi="Cambria Math" w:cs="Times New Roman"/>
              </w:rPr>
            </m:ctrlPr>
          </m:sub>
        </m:sSub>
        <m:r>
          <m:rPr/>
          <w:rPr>
            <w:rFonts w:ascii="Cambria Math" w:hAnsi="Cambria Math" w:cs="Times New Roman"/>
          </w:rPr>
          <m:t>(i)=</m:t>
        </m:r>
        <m:f>
          <m:fPr>
            <m:ctrlPr>
              <w:rPr>
                <w:rFonts w:ascii="Cambria Math" w:hAnsi="Cambria Math" w:cs="Times New Roman"/>
              </w:rPr>
            </m:ctrlPr>
          </m:fPr>
          <m:num>
            <m:r>
              <m:rPr/>
              <w:rPr>
                <w:rFonts w:ascii="Cambria Math" w:hAnsi="Cambria Math" w:cs="Times New Roman"/>
              </w:rPr>
              <m:t>1</m:t>
            </m:r>
            <m:ctrlPr>
              <w:rPr>
                <w:rFonts w:ascii="Cambria Math" w:hAnsi="Cambria Math" w:cs="Times New Roman"/>
              </w:rPr>
            </m:ctrlPr>
          </m:num>
          <m:den>
            <m:r>
              <m:rPr/>
              <w:rPr>
                <w:rFonts w:ascii="Cambria Math" w:hAnsi="Cambria Math" w:cs="Times New Roman"/>
              </w:rPr>
              <m:t>3</m:t>
            </m:r>
            <m:ctrlPr>
              <w:rPr>
                <w:rFonts w:ascii="Cambria Math" w:hAnsi="Cambria Math" w:cs="Times New Roman"/>
              </w:rPr>
            </m:ctrlPr>
          </m:den>
        </m:f>
        <m:r>
          <m:rPr/>
          <w:rPr>
            <w:rFonts w:ascii="Cambria Math" w:hAnsi="Cambria Math" w:cs="Times New Roman"/>
          </w:rPr>
          <m:t>(</m:t>
        </m:r>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q</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i,</m:t>
            </m:r>
            <m:r>
              <m:rPr>
                <m:nor/>
                <m:sty m:val="p"/>
              </m:rPr>
              <w:rPr>
                <w:rFonts w:ascii="Times New Roman" w:hAnsi="Times New Roman" w:cs="Times New Roman"/>
              </w:rPr>
              <m:t>CEES</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q</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i,</m:t>
            </m:r>
            <m:r>
              <m:rPr>
                <m:nor/>
                <m:sty m:val="p"/>
              </m:rPr>
              <w:rPr>
                <w:rFonts w:ascii="Times New Roman" w:hAnsi="Times New Roman" w:cs="Times New Roman"/>
              </w:rPr>
              <m:t>DMMP</m:t>
            </m:r>
            <m:ctrlPr>
              <w:rPr>
                <w:rFonts w:ascii="Cambria Math" w:hAnsi="Cambria Math" w:cs="Times New Roman"/>
              </w:rPr>
            </m:ctrlPr>
          </m:sub>
        </m:sSub>
        <m:r>
          <m:rPr/>
          <w:rPr>
            <w:rFonts w:ascii="Cambria Math" w:hAnsi="Cambria Math" w:cs="Times New Roman"/>
          </w:rPr>
          <m:t>+</m:t>
        </m:r>
        <m:sSub>
          <m:sSubPr>
            <m:ctrlPr>
              <w:rPr>
                <w:rFonts w:ascii="Cambria Math" w:hAnsi="Cambria Math" w:cs="Times New Roman"/>
              </w:rPr>
            </m:ctrlPr>
          </m:sSubPr>
          <m:e>
            <m:limUpp>
              <m:limUppPr>
                <m:ctrlPr>
                  <w:rPr>
                    <w:rFonts w:ascii="Cambria Math" w:hAnsi="Cambria Math" w:cs="Times New Roman"/>
                  </w:rPr>
                </m:ctrlPr>
              </m:limUppPr>
              <m:e>
                <m:r>
                  <m:rPr/>
                  <w:rPr>
                    <w:rFonts w:ascii="Cambria Math" w:hAnsi="Cambria Math" w:cs="Times New Roman"/>
                  </w:rPr>
                  <m:t>q</m:t>
                </m:r>
                <m:ctrlPr>
                  <w:rPr>
                    <w:rFonts w:ascii="Cambria Math" w:hAnsi="Cambria Math" w:cs="Times New Roman"/>
                  </w:rPr>
                </m:ctrlPr>
              </m:e>
              <m:lim>
                <m:r>
                  <m:rPr/>
                  <w:rPr>
                    <w:rFonts w:ascii="Cambria Math" w:hAnsi="Cambria Math" w:cs="Times New Roman"/>
                  </w:rPr>
                  <m:t>~</m:t>
                </m:r>
                <m:ctrlPr>
                  <w:rPr>
                    <w:rFonts w:ascii="Cambria Math" w:hAnsi="Cambria Math" w:cs="Times New Roman"/>
                  </w:rPr>
                </m:ctrlPr>
              </m:lim>
            </m:limUpp>
            <m:ctrlPr>
              <w:rPr>
                <w:rFonts w:ascii="Cambria Math" w:hAnsi="Cambria Math" w:cs="Times New Roman"/>
              </w:rPr>
            </m:ctrlPr>
          </m:e>
          <m:sub>
            <m:r>
              <m:rPr/>
              <w:rPr>
                <w:rFonts w:ascii="Cambria Math" w:hAnsi="Cambria Math" w:cs="Times New Roman"/>
              </w:rPr>
              <m:t>i,</m:t>
            </m:r>
            <m:r>
              <m:rPr>
                <m:nor/>
                <m:sty m:val="p"/>
              </m:rPr>
              <w:rPr>
                <w:rFonts w:ascii="Times New Roman" w:hAnsi="Times New Roman" w:cs="Times New Roman"/>
              </w:rPr>
              <m:t>EtCl</m:t>
            </m:r>
            <m:ctrlPr>
              <w:rPr>
                <w:rFonts w:ascii="Cambria Math" w:hAnsi="Cambria Math" w:cs="Times New Roman"/>
              </w:rPr>
            </m:ctrlPr>
          </m:sub>
        </m:sSub>
        <m:r>
          <m:rPr/>
          <w:rPr>
            <w:rFonts w:ascii="Cambria Math" w:hAnsi="Cambria Math" w:cs="Times New Roman"/>
          </w:rPr>
          <m:t>),</m:t>
        </m:r>
      </m:oMath>
      <w:r>
        <w:rPr>
          <w:rFonts w:ascii="Times New Roman" w:hAnsi="Times New Roman" w:cs="Times New Roman"/>
          <w:sz w:val="20"/>
          <w:szCs w:val="20"/>
        </w:rPr>
        <w:tab/>
      </w:r>
      <w:r>
        <w:rPr>
          <w:rFonts w:ascii="Times New Roman" w:hAnsi="Times New Roman" w:cs="Times New Roman"/>
          <w:sz w:val="20"/>
          <w:szCs w:val="20"/>
        </w:rPr>
        <w:t>(75)</w:t>
      </w:r>
    </w:p>
    <w:p>
      <w:pPr>
        <w:rPr>
          <w:rFonts w:ascii="Times New Roman" w:hAnsi="Times New Roman" w:cs="Times New Roman"/>
        </w:rPr>
      </w:pPr>
      <w:r>
        <w:rPr>
          <w:rFonts w:ascii="Times New Roman" w:hAnsi="Times New Roman" w:cs="Times New Roman"/>
        </w:rPr>
        <w:t>The Top-1% composite-score set contained the 76 highest-ranked materials in the complete library. Intersecting this set and the Top-3 Pareto set with the 428 recurrent candidates yielded 30 Pareto-enriched candidates. These candidates were subsequently ranked by their full-library composite scores. Eight of the 30 candidates occupied positions within the first ten composite ranks of the complete 7,532-MOF library.</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S8.3 High-priority shortlist and experimental advancement</w:t>
      </w:r>
    </w:p>
    <w:p>
      <w:pPr>
        <w:ind w:firstLine="420"/>
        <w:rPr>
          <w:rFonts w:ascii="Times New Roman" w:hAnsi="Times New Roman" w:cs="Times New Roman"/>
        </w:rPr>
      </w:pPr>
      <w:r>
        <w:rPr>
          <w:rFonts w:ascii="Times New Roman" w:hAnsi="Times New Roman" w:cs="Times New Roman"/>
        </w:rPr>
        <w:t>The eight candidates positioned within the first ten full-library composite ranks were OLOGAY, OYEWIA, KAZXEQ, OYEWEW, QUYTOU, QAJJOD01, MOYZUW and IXEJOM. The materials occupying composite ranks 8 and 9 were not queried in any of the ten representative RepMOBO runs by the 10% cumulative query budget and therefore did not enter the recurrence-filtered candidate pool.</w:t>
      </w:r>
    </w:p>
    <w:p>
      <w:pPr>
        <w:ind w:firstLine="420"/>
        <w:rPr>
          <w:rFonts w:ascii="Times New Roman" w:hAnsi="Times New Roman" w:cs="Times New Roman"/>
        </w:rPr>
      </w:pPr>
      <w:r>
        <w:rPr>
          <w:rFonts w:ascii="Times New Roman" w:hAnsi="Times New Roman" w:cs="Times New Roman"/>
        </w:rPr>
        <w:t>Five candidates were advanced to synthesis after considering their computational priority, CSD traceability, available preparation procedures and experimental feasibility: OLOGAY, KAZXEQ, OYEWEW, QAJJOD01 and IXEJOM. OLOGAY, OYEWEW, QAJJOD01 and IXEJOM yielded the activated materials used for adsorption measurements, corresponding to NJU-Bai1, MOF-515, UiO-67-Me and PCN-700-(CF₃)₂, respectively. The attempted synthesis of KAZXEQ did not yield the target material under the conditions tested. The complete stage-wise reduction from the full library to the experimentally validated materials is summarized in Supplementary Table 24. The computational provenance and experimental status of the eight highest-priority candidates are reported in Supplementary Table 25, and the complete 30-candidate set is listed in Supplementary Table 26.</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b/>
        </w:rPr>
        <w:t>Supplementary Table 24 | Filtering statistics from the full MOF library to the experimentally validated materials.</w:t>
      </w:r>
    </w:p>
    <w:tbl>
      <w:tblPr>
        <w:tblStyle w:val="20"/>
        <w:tblW w:w="0" w:type="auto"/>
        <w:jc w:val="center"/>
        <w:tblLayout w:type="autofit"/>
        <w:tblCellMar>
          <w:top w:w="0" w:type="dxa"/>
          <w:left w:w="108" w:type="dxa"/>
          <w:bottom w:w="0" w:type="dxa"/>
          <w:right w:w="108" w:type="dxa"/>
        </w:tblCellMar>
      </w:tblPr>
      <w:tblGrid>
        <w:gridCol w:w="2998"/>
        <w:gridCol w:w="1399"/>
        <w:gridCol w:w="4845"/>
      </w:tblGrid>
      <w:tr>
        <w:tblPrEx>
          <w:tblCellMar>
            <w:top w:w="0" w:type="dxa"/>
            <w:left w:w="108" w:type="dxa"/>
            <w:bottom w:w="0" w:type="dxa"/>
            <w:right w:w="108" w:type="dxa"/>
          </w:tblCellMar>
        </w:tblPrEx>
        <w:trPr>
          <w:jc w:val="center"/>
        </w:trPr>
        <w:tc>
          <w:tcPr>
            <w:tcW w:w="3168"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Selection stage</w:t>
            </w:r>
          </w:p>
        </w:tc>
        <w:tc>
          <w:tcPr>
            <w:tcW w:w="1440"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Number of materials</w:t>
            </w:r>
          </w:p>
        </w:tc>
        <w:tc>
          <w:tcPr>
            <w:tcW w:w="5184"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Definition or purpose</w:t>
            </w:r>
          </w:p>
        </w:tc>
      </w:tr>
      <w:tr>
        <w:tblPrEx>
          <w:tblCellMar>
            <w:top w:w="0" w:type="dxa"/>
            <w:left w:w="108" w:type="dxa"/>
            <w:bottom w:w="0" w:type="dxa"/>
            <w:right w:w="108" w:type="dxa"/>
          </w:tblCellMar>
        </w:tblPrEx>
        <w:trPr>
          <w:jc w:val="center"/>
        </w:trPr>
        <w:tc>
          <w:tcPr>
            <w:tcW w:w="316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Full GCMC-labelled library</w:t>
            </w:r>
          </w:p>
        </w:tc>
        <w:tc>
          <w:tcPr>
            <w:tcW w:w="144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7,532</w:t>
            </w:r>
          </w:p>
        </w:tc>
        <w:tc>
          <w:tcPr>
            <w:tcW w:w="518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Curated MOF pool with complete CEES, DMMP and EtCl labels</w:t>
            </w:r>
          </w:p>
        </w:tc>
      </w:tr>
      <w:tr>
        <w:tblPrEx>
          <w:tblCellMar>
            <w:top w:w="0" w:type="dxa"/>
            <w:left w:w="108" w:type="dxa"/>
            <w:bottom w:w="0" w:type="dxa"/>
            <w:right w:w="108" w:type="dxa"/>
          </w:tblCellMar>
        </w:tblPrEx>
        <w:trPr>
          <w:jc w:val="center"/>
        </w:trPr>
        <w:tc>
          <w:tcPr>
            <w:tcW w:w="316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Queried at least once by the 10% RepMOBO budget</w:t>
            </w:r>
          </w:p>
        </w:tc>
        <w:tc>
          <w:tcPr>
            <w:tcW w:w="144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2,385</w:t>
            </w:r>
          </w:p>
        </w:tc>
        <w:tc>
          <w:tcPr>
            <w:tcW w:w="518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Union across five RepMOBO-Manual and five RepMOBO-Hybrid runs</w:t>
            </w:r>
          </w:p>
        </w:tc>
      </w:tr>
      <w:tr>
        <w:tblPrEx>
          <w:tblCellMar>
            <w:top w:w="0" w:type="dxa"/>
            <w:left w:w="108" w:type="dxa"/>
            <w:bottom w:w="0" w:type="dxa"/>
            <w:right w:w="108" w:type="dxa"/>
          </w:tblCellMar>
        </w:tblPrEx>
        <w:trPr>
          <w:jc w:val="center"/>
        </w:trPr>
        <w:tc>
          <w:tcPr>
            <w:tcW w:w="316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Total occurrence &gt;= 6/10</w:t>
            </w:r>
          </w:p>
        </w:tc>
        <w:tc>
          <w:tcPr>
            <w:tcW w:w="144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428</w:t>
            </w:r>
          </w:p>
        </w:tc>
        <w:tc>
          <w:tcPr>
            <w:tcW w:w="518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Retains candidates queried under both representative RepMOBO configurations</w:t>
            </w:r>
          </w:p>
        </w:tc>
      </w:tr>
      <w:tr>
        <w:tblPrEx>
          <w:tblCellMar>
            <w:top w:w="0" w:type="dxa"/>
            <w:left w:w="108" w:type="dxa"/>
            <w:bottom w:w="0" w:type="dxa"/>
            <w:right w:w="108" w:type="dxa"/>
          </w:tblCellMar>
        </w:tblPrEx>
        <w:trPr>
          <w:jc w:val="center"/>
        </w:trPr>
        <w:tc>
          <w:tcPr>
            <w:tcW w:w="316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Top-3 Pareto set and Top-1% composite-score set</w:t>
            </w:r>
          </w:p>
        </w:tc>
        <w:tc>
          <w:tcPr>
            <w:tcW w:w="144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30</w:t>
            </w:r>
          </w:p>
        </w:tc>
        <w:tc>
          <w:tcPr>
            <w:tcW w:w="518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Compact Pareto-enriched, high-composite-score candidate scope</w:t>
            </w:r>
          </w:p>
        </w:tc>
      </w:tr>
      <w:tr>
        <w:tblPrEx>
          <w:tblCellMar>
            <w:top w:w="0" w:type="dxa"/>
            <w:left w:w="108" w:type="dxa"/>
            <w:bottom w:w="0" w:type="dxa"/>
            <w:right w:w="108" w:type="dxa"/>
          </w:tblCellMar>
        </w:tblPrEx>
        <w:trPr>
          <w:jc w:val="center"/>
        </w:trPr>
        <w:tc>
          <w:tcPr>
            <w:tcW w:w="316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Within top ten of the full-library composite ranking</w:t>
            </w:r>
          </w:p>
        </w:tc>
        <w:tc>
          <w:tcPr>
            <w:tcW w:w="144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8</w:t>
            </w:r>
          </w:p>
        </w:tc>
        <w:tc>
          <w:tcPr>
            <w:tcW w:w="518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Top-ranked shortlist used for experimental prioritization</w:t>
            </w:r>
          </w:p>
        </w:tc>
      </w:tr>
      <w:tr>
        <w:tblPrEx>
          <w:tblCellMar>
            <w:top w:w="0" w:type="dxa"/>
            <w:left w:w="108" w:type="dxa"/>
            <w:bottom w:w="0" w:type="dxa"/>
            <w:right w:w="108" w:type="dxa"/>
          </w:tblCellMar>
        </w:tblPrEx>
        <w:trPr>
          <w:jc w:val="center"/>
        </w:trPr>
        <w:tc>
          <w:tcPr>
            <w:tcW w:w="316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Advanced to synthesis</w:t>
            </w:r>
          </w:p>
        </w:tc>
        <w:tc>
          <w:tcPr>
            <w:tcW w:w="144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w:t>
            </w:r>
          </w:p>
        </w:tc>
        <w:tc>
          <w:tcPr>
            <w:tcW w:w="518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Candidates advanced to synthesis after computational prioritization and experimental feasibility assessment</w:t>
            </w:r>
          </w:p>
        </w:tc>
      </w:tr>
      <w:tr>
        <w:tblPrEx>
          <w:tblCellMar>
            <w:top w:w="0" w:type="dxa"/>
            <w:left w:w="108" w:type="dxa"/>
            <w:bottom w:w="0" w:type="dxa"/>
            <w:right w:w="108" w:type="dxa"/>
          </w:tblCellMar>
        </w:tblPrEx>
        <w:trPr>
          <w:jc w:val="center"/>
        </w:trPr>
        <w:tc>
          <w:tcPr>
            <w:tcW w:w="3168"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Successfully synthesized and tested</w:t>
            </w:r>
          </w:p>
        </w:tc>
        <w:tc>
          <w:tcPr>
            <w:tcW w:w="1440"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4</w:t>
            </w:r>
          </w:p>
        </w:tc>
        <w:tc>
          <w:tcPr>
            <w:tcW w:w="5184"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Activated materials advanced to adsorption validation</w:t>
            </w:r>
          </w:p>
        </w:tc>
      </w:tr>
    </w:tbl>
    <w:p>
      <w:pPr>
        <w:rPr>
          <w:rFonts w:ascii="Times New Roman" w:hAnsi="Times New Roman" w:cs="Times New Roman"/>
          <w:b/>
        </w:rPr>
      </w:pPr>
    </w:p>
    <w:p>
      <w:pPr>
        <w:rPr>
          <w:rFonts w:ascii="Times New Roman" w:hAnsi="Times New Roman" w:cs="Times New Roman"/>
        </w:rPr>
      </w:pPr>
      <w:r>
        <w:rPr>
          <w:rFonts w:ascii="Times New Roman" w:hAnsi="Times New Roman" w:cs="Times New Roman"/>
          <w:b/>
        </w:rPr>
        <w:t>Supplementary Table 25 | Computational provenance and experimental status of the eight top-ranked Pareto-enriched candidates.</w:t>
      </w:r>
    </w:p>
    <w:tbl>
      <w:tblPr>
        <w:tblStyle w:val="20"/>
        <w:tblW w:w="0" w:type="auto"/>
        <w:jc w:val="center"/>
        <w:tblLayout w:type="fixed"/>
        <w:tblCellMar>
          <w:top w:w="0" w:type="dxa"/>
          <w:left w:w="108" w:type="dxa"/>
          <w:bottom w:w="0" w:type="dxa"/>
          <w:right w:w="108" w:type="dxa"/>
        </w:tblCellMar>
      </w:tblPr>
      <w:tblGrid>
        <w:gridCol w:w="1188"/>
        <w:gridCol w:w="1188"/>
        <w:gridCol w:w="876"/>
        <w:gridCol w:w="744"/>
        <w:gridCol w:w="931"/>
        <w:gridCol w:w="870"/>
        <w:gridCol w:w="738"/>
        <w:gridCol w:w="1022"/>
        <w:gridCol w:w="1263"/>
      </w:tblGrid>
      <w:tr>
        <w:tblPrEx>
          <w:tblCellMar>
            <w:top w:w="0" w:type="dxa"/>
            <w:left w:w="108" w:type="dxa"/>
            <w:bottom w:w="0" w:type="dxa"/>
            <w:right w:w="108" w:type="dxa"/>
          </w:tblCellMar>
        </w:tblPrEx>
        <w:trPr>
          <w:jc w:val="center"/>
        </w:trPr>
        <w:tc>
          <w:tcPr>
            <w:tcW w:w="1188"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CSD refcode</w:t>
            </w:r>
          </w:p>
        </w:tc>
        <w:tc>
          <w:tcPr>
            <w:tcW w:w="1188"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Composite rank</w:t>
            </w:r>
          </w:p>
        </w:tc>
        <w:tc>
          <w:tcPr>
            <w:tcW w:w="876"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Pareto layer</w:t>
            </w:r>
          </w:p>
        </w:tc>
        <w:tc>
          <w:tcPr>
            <w:tcW w:w="744"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Strict front</w:t>
            </w:r>
          </w:p>
        </w:tc>
        <w:tc>
          <w:tcPr>
            <w:tcW w:w="931"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Manual occ.</w:t>
            </w:r>
          </w:p>
        </w:tc>
        <w:tc>
          <w:tcPr>
            <w:tcW w:w="870"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Hybrid occ.</w:t>
            </w:r>
          </w:p>
        </w:tc>
        <w:tc>
          <w:tcPr>
            <w:tcW w:w="738"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Total occ.</w:t>
            </w:r>
          </w:p>
        </w:tc>
        <w:tc>
          <w:tcPr>
            <w:tcW w:w="1022"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Selected</w:t>
            </w:r>
          </w:p>
        </w:tc>
        <w:tc>
          <w:tcPr>
            <w:tcW w:w="1263"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Outcome</w:t>
            </w:r>
          </w:p>
        </w:tc>
      </w:tr>
      <w:tr>
        <w:tblPrEx>
          <w:tblCellMar>
            <w:top w:w="0" w:type="dxa"/>
            <w:left w:w="108" w:type="dxa"/>
            <w:bottom w:w="0" w:type="dxa"/>
            <w:right w:w="108" w:type="dxa"/>
          </w:tblCellMar>
        </w:tblPrEx>
        <w:trPr>
          <w:jc w:val="center"/>
        </w:trPr>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OLOGAY</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w:t>
            </w:r>
          </w:p>
        </w:tc>
        <w:tc>
          <w:tcPr>
            <w:tcW w:w="87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L1</w:t>
            </w:r>
          </w:p>
        </w:tc>
        <w:tc>
          <w:tcPr>
            <w:tcW w:w="74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931"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87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73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10/10</w:t>
            </w:r>
          </w:p>
        </w:tc>
        <w:tc>
          <w:tcPr>
            <w:tcW w:w="102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1263"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synthesized and tested</w:t>
            </w:r>
          </w:p>
        </w:tc>
      </w:tr>
      <w:tr>
        <w:tblPrEx>
          <w:tblCellMar>
            <w:top w:w="0" w:type="dxa"/>
            <w:left w:w="108" w:type="dxa"/>
            <w:bottom w:w="0" w:type="dxa"/>
            <w:right w:w="108" w:type="dxa"/>
          </w:tblCellMar>
        </w:tblPrEx>
        <w:trPr>
          <w:jc w:val="center"/>
        </w:trPr>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OYEWIA</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w:t>
            </w:r>
          </w:p>
        </w:tc>
        <w:tc>
          <w:tcPr>
            <w:tcW w:w="87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4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931"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87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4/5</w:t>
            </w:r>
          </w:p>
        </w:tc>
        <w:tc>
          <w:tcPr>
            <w:tcW w:w="73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9/10</w:t>
            </w:r>
          </w:p>
        </w:tc>
        <w:tc>
          <w:tcPr>
            <w:tcW w:w="102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263"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not selected for synthesis</w:t>
            </w:r>
          </w:p>
        </w:tc>
      </w:tr>
      <w:tr>
        <w:tblPrEx>
          <w:tblCellMar>
            <w:top w:w="0" w:type="dxa"/>
            <w:left w:w="108" w:type="dxa"/>
            <w:bottom w:w="0" w:type="dxa"/>
            <w:right w:w="108" w:type="dxa"/>
          </w:tblCellMar>
        </w:tblPrEx>
        <w:trPr>
          <w:jc w:val="center"/>
        </w:trPr>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KAZXEQ</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w:t>
            </w:r>
          </w:p>
        </w:tc>
        <w:tc>
          <w:tcPr>
            <w:tcW w:w="87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4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931"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87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73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10/10</w:t>
            </w:r>
          </w:p>
        </w:tc>
        <w:tc>
          <w:tcPr>
            <w:tcW w:w="102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1263"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not obtained under tested synthesis conditions</w:t>
            </w:r>
          </w:p>
        </w:tc>
      </w:tr>
      <w:tr>
        <w:tblPrEx>
          <w:tblCellMar>
            <w:top w:w="0" w:type="dxa"/>
            <w:left w:w="108" w:type="dxa"/>
            <w:bottom w:w="0" w:type="dxa"/>
            <w:right w:w="108" w:type="dxa"/>
          </w:tblCellMar>
        </w:tblPrEx>
        <w:trPr>
          <w:jc w:val="center"/>
        </w:trPr>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OYEWEW</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w:t>
            </w:r>
          </w:p>
        </w:tc>
        <w:tc>
          <w:tcPr>
            <w:tcW w:w="87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L1</w:t>
            </w:r>
          </w:p>
        </w:tc>
        <w:tc>
          <w:tcPr>
            <w:tcW w:w="74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931"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87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4/5</w:t>
            </w:r>
          </w:p>
        </w:tc>
        <w:tc>
          <w:tcPr>
            <w:tcW w:w="73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9/10</w:t>
            </w:r>
          </w:p>
        </w:tc>
        <w:tc>
          <w:tcPr>
            <w:tcW w:w="102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1263"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synthesized and tested</w:t>
            </w:r>
          </w:p>
        </w:tc>
      </w:tr>
      <w:tr>
        <w:tblPrEx>
          <w:tblCellMar>
            <w:top w:w="0" w:type="dxa"/>
            <w:left w:w="108" w:type="dxa"/>
            <w:bottom w:w="0" w:type="dxa"/>
            <w:right w:w="108" w:type="dxa"/>
          </w:tblCellMar>
        </w:tblPrEx>
        <w:trPr>
          <w:jc w:val="center"/>
        </w:trPr>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QUTYOU</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w:t>
            </w:r>
          </w:p>
        </w:tc>
        <w:tc>
          <w:tcPr>
            <w:tcW w:w="87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4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931"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87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73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10/10</w:t>
            </w:r>
          </w:p>
        </w:tc>
        <w:tc>
          <w:tcPr>
            <w:tcW w:w="102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263"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not selected for synthesis</w:t>
            </w:r>
          </w:p>
        </w:tc>
      </w:tr>
      <w:tr>
        <w:tblPrEx>
          <w:tblCellMar>
            <w:top w:w="0" w:type="dxa"/>
            <w:left w:w="108" w:type="dxa"/>
            <w:bottom w:w="0" w:type="dxa"/>
            <w:right w:w="108" w:type="dxa"/>
          </w:tblCellMar>
        </w:tblPrEx>
        <w:trPr>
          <w:jc w:val="center"/>
        </w:trPr>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QAJJOD01</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6</w:t>
            </w:r>
          </w:p>
        </w:tc>
        <w:tc>
          <w:tcPr>
            <w:tcW w:w="87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4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931"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1/5</w:t>
            </w:r>
          </w:p>
        </w:tc>
        <w:tc>
          <w:tcPr>
            <w:tcW w:w="87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73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6/10</w:t>
            </w:r>
          </w:p>
        </w:tc>
        <w:tc>
          <w:tcPr>
            <w:tcW w:w="102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1263"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synthesized and tested</w:t>
            </w:r>
          </w:p>
        </w:tc>
      </w:tr>
      <w:tr>
        <w:tblPrEx>
          <w:tblCellMar>
            <w:top w:w="0" w:type="dxa"/>
            <w:left w:w="108" w:type="dxa"/>
            <w:bottom w:w="0" w:type="dxa"/>
            <w:right w:w="108" w:type="dxa"/>
          </w:tblCellMar>
        </w:tblPrEx>
        <w:trPr>
          <w:jc w:val="center"/>
        </w:trPr>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MOYZUW</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7</w:t>
            </w:r>
          </w:p>
        </w:tc>
        <w:tc>
          <w:tcPr>
            <w:tcW w:w="87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L1</w:t>
            </w:r>
          </w:p>
        </w:tc>
        <w:tc>
          <w:tcPr>
            <w:tcW w:w="74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931"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870"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73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10/10</w:t>
            </w:r>
          </w:p>
        </w:tc>
        <w:tc>
          <w:tcPr>
            <w:tcW w:w="102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263"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not selected for synthesis</w:t>
            </w:r>
          </w:p>
        </w:tc>
      </w:tr>
      <w:tr>
        <w:tblPrEx>
          <w:tblCellMar>
            <w:top w:w="0" w:type="dxa"/>
            <w:left w:w="108" w:type="dxa"/>
            <w:bottom w:w="0" w:type="dxa"/>
            <w:right w:w="108" w:type="dxa"/>
          </w:tblCellMar>
        </w:tblPrEx>
        <w:trPr>
          <w:jc w:val="center"/>
        </w:trPr>
        <w:tc>
          <w:tcPr>
            <w:tcW w:w="1188"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IXEJOM</w:t>
            </w:r>
          </w:p>
        </w:tc>
        <w:tc>
          <w:tcPr>
            <w:tcW w:w="1188"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10</w:t>
            </w:r>
          </w:p>
        </w:tc>
        <w:tc>
          <w:tcPr>
            <w:tcW w:w="876"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44"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931"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4/5</w:t>
            </w:r>
          </w:p>
        </w:tc>
        <w:tc>
          <w:tcPr>
            <w:tcW w:w="870"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4/5</w:t>
            </w:r>
          </w:p>
        </w:tc>
        <w:tc>
          <w:tcPr>
            <w:tcW w:w="738"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8/10</w:t>
            </w:r>
          </w:p>
        </w:tc>
        <w:tc>
          <w:tcPr>
            <w:tcW w:w="1022"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1263"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synthesized and tested</w:t>
            </w:r>
          </w:p>
        </w:tc>
      </w:tr>
    </w:tbl>
    <w:p>
      <w:pPr>
        <w:rPr>
          <w:rFonts w:ascii="Times New Roman" w:hAnsi="Times New Roman" w:cs="Times New Roman"/>
        </w:rPr>
      </w:pPr>
      <w:r>
        <w:rPr>
          <w:rFonts w:ascii="Times New Roman" w:hAnsi="Times New Roman" w:cs="Times New Roman"/>
        </w:rPr>
        <w:t>Manual and Hybrid occurrences denote the numbers of the five RepMOBO-Manual and five RepMOBO-Hybrid runs, respectively, in which each material had been queried by the 10% cumulative query budget. Total occurrence is the sum of the two configuration-specific counts. Composite ranks were calculated over the complete 7,532-MOF library. Strict-front membership denotes inclusion in the first oracle Pareto layer.</w:t>
      </w:r>
    </w:p>
    <w:p>
      <w:pPr>
        <w:rPr>
          <w:rFonts w:ascii="Times New Roman" w:hAnsi="Times New Roman" w:cs="Times New Roman"/>
          <w:b/>
        </w:rPr>
      </w:pPr>
    </w:p>
    <w:p>
      <w:pPr>
        <w:rPr>
          <w:rFonts w:ascii="Times New Roman" w:hAnsi="Times New Roman" w:cs="Times New Roman"/>
        </w:rPr>
      </w:pPr>
      <w:r>
        <w:rPr>
          <w:rFonts w:ascii="Times New Roman" w:hAnsi="Times New Roman" w:cs="Times New Roman"/>
          <w:b/>
        </w:rPr>
        <w:t>Supplementary Table S26| Complete list of the 30 Pareto-enriched candidates retained after recurrence and performance filtering</w:t>
      </w:r>
    </w:p>
    <w:tbl>
      <w:tblPr>
        <w:tblStyle w:val="20"/>
        <w:tblW w:w="0" w:type="auto"/>
        <w:jc w:val="center"/>
        <w:tblLayout w:type="fixed"/>
        <w:tblCellMar>
          <w:top w:w="0" w:type="dxa"/>
          <w:left w:w="108" w:type="dxa"/>
          <w:bottom w:w="0" w:type="dxa"/>
          <w:right w:w="108" w:type="dxa"/>
        </w:tblCellMar>
      </w:tblPr>
      <w:tblGrid>
        <w:gridCol w:w="778"/>
        <w:gridCol w:w="1224"/>
        <w:gridCol w:w="1218"/>
        <w:gridCol w:w="1248"/>
        <w:gridCol w:w="852"/>
        <w:gridCol w:w="732"/>
        <w:gridCol w:w="1356"/>
        <w:gridCol w:w="1188"/>
      </w:tblGrid>
      <w:tr>
        <w:tblPrEx>
          <w:tblCellMar>
            <w:top w:w="0" w:type="dxa"/>
            <w:left w:w="108" w:type="dxa"/>
            <w:bottom w:w="0" w:type="dxa"/>
            <w:right w:w="108" w:type="dxa"/>
          </w:tblCellMar>
        </w:tblPrEx>
        <w:trPr>
          <w:jc w:val="center"/>
        </w:trPr>
        <w:tc>
          <w:tcPr>
            <w:tcW w:w="778"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MOF ID</w:t>
            </w:r>
          </w:p>
        </w:tc>
        <w:tc>
          <w:tcPr>
            <w:tcW w:w="1224"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CSD</w:t>
            </w:r>
          </w:p>
        </w:tc>
        <w:tc>
          <w:tcPr>
            <w:tcW w:w="1218"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Composite rank</w:t>
            </w:r>
          </w:p>
        </w:tc>
        <w:tc>
          <w:tcPr>
            <w:tcW w:w="1248"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Composite score</w:t>
            </w:r>
          </w:p>
        </w:tc>
        <w:tc>
          <w:tcPr>
            <w:tcW w:w="852"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Pareto layer</w:t>
            </w:r>
          </w:p>
        </w:tc>
        <w:tc>
          <w:tcPr>
            <w:tcW w:w="732"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Strict front</w:t>
            </w:r>
          </w:p>
        </w:tc>
        <w:tc>
          <w:tcPr>
            <w:tcW w:w="1356"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Run occurrence (Manual, Hybrid; total)</w:t>
            </w:r>
          </w:p>
        </w:tc>
        <w:tc>
          <w:tcPr>
            <w:tcW w:w="1188" w:type="dxa"/>
            <w:tcBorders>
              <w:top w:val="single" w:color="000000" w:sz="8" w:space="0"/>
              <w:left w:val="nil"/>
              <w:bottom w:val="single" w:color="000000" w:sz="6" w:space="0"/>
              <w:right w:val="nil"/>
            </w:tcBorders>
            <w:shd w:val="clear" w:color="auto" w:fill="FFFFFF"/>
            <w:vAlign w:val="center"/>
          </w:tcPr>
          <w:p>
            <w:pPr>
              <w:rPr>
                <w:rFonts w:ascii="Times New Roman" w:hAnsi="Times New Roman" w:cs="Times New Roman"/>
              </w:rPr>
            </w:pPr>
            <w:r>
              <w:rPr>
                <w:rFonts w:ascii="Times New Roman" w:hAnsi="Times New Roman" w:cs="Times New Roman"/>
                <w:b/>
              </w:rPr>
              <w:t>Advanced to synthesis</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8973</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OLOGAY</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0.860</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L1</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9301</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OYEWIA</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0.705</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4/5; 9/10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6355</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KAZXEQ</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0.685</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9300</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OYEWEW</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0.685</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L1</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4/5; 9/10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1587</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QUTYOU</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0.684</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9942</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QAJJOD01</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6</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0.638</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1/5; 5/5; 6/10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7989</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MOYZUW</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7</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0.631</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L1</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5610</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IXEJOM</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10</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0.605</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4/5; 4/5; 8/10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10006</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13</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0.561</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4/5; 9/10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1503</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14</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0.558</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1579</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15</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0.558</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2/5; 5/5; 7/10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7923</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22</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0.523</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6921</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23</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0.523</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7530</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25</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0.519</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1/5; 6/10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917</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26</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0.516</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3/5; 8/10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9178</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31</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0.499</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4/5; 9/10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11174</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32</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0.499</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4/5; 9/10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10344</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33</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0.498</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3/5; 3/5; 6/10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986</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34</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0.497</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4/5; 2/5; 6/10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12837</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39</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0.492</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4/5; 9/10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7057</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41</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0.491</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6043</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44</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0.487</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4/5; 4/5; 8/10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13301</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45</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0.486</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4/5; 5/5; 9/10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12271</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48</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0.482</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3/5; 8/10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3713</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49</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0.482</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L1</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Yes</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3/5; 5/5; 8/10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13442</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53</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0.481</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12226</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0.480</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7224</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57</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0.475</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L3</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5/5; 5/5; 10/10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2327</w:t>
            </w:r>
          </w:p>
        </w:tc>
        <w:tc>
          <w:tcPr>
            <w:tcW w:w="1224"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58</w:t>
            </w:r>
          </w:p>
        </w:tc>
        <w:tc>
          <w:tcPr>
            <w:tcW w:w="124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0.474</w:t>
            </w:r>
          </w:p>
        </w:tc>
        <w:tc>
          <w:tcPr>
            <w:tcW w:w="85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2/5; 4/5; 6/10</w:t>
            </w:r>
          </w:p>
        </w:tc>
        <w:tc>
          <w:tcPr>
            <w:tcW w:w="1188" w:type="dxa"/>
            <w:tcBorders>
              <w:top w:val="nil"/>
              <w:left w:val="nil"/>
              <w:bottom w:val="nil"/>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r>
        <w:tblPrEx>
          <w:tblCellMar>
            <w:top w:w="0" w:type="dxa"/>
            <w:left w:w="108" w:type="dxa"/>
            <w:bottom w:w="0" w:type="dxa"/>
            <w:right w:w="108" w:type="dxa"/>
          </w:tblCellMar>
        </w:tblPrEx>
        <w:trPr>
          <w:jc w:val="center"/>
        </w:trPr>
        <w:tc>
          <w:tcPr>
            <w:tcW w:w="778"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9571</w:t>
            </w:r>
          </w:p>
        </w:tc>
        <w:tc>
          <w:tcPr>
            <w:tcW w:w="1224"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w:t>
            </w:r>
          </w:p>
        </w:tc>
        <w:tc>
          <w:tcPr>
            <w:tcW w:w="1218"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73</w:t>
            </w:r>
          </w:p>
        </w:tc>
        <w:tc>
          <w:tcPr>
            <w:tcW w:w="1248"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0.463</w:t>
            </w:r>
          </w:p>
        </w:tc>
        <w:tc>
          <w:tcPr>
            <w:tcW w:w="852"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L2</w:t>
            </w:r>
          </w:p>
        </w:tc>
        <w:tc>
          <w:tcPr>
            <w:tcW w:w="732"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c>
          <w:tcPr>
            <w:tcW w:w="1356"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5/5; 4/5; 9/10</w:t>
            </w:r>
          </w:p>
        </w:tc>
        <w:tc>
          <w:tcPr>
            <w:tcW w:w="1188" w:type="dxa"/>
            <w:tcBorders>
              <w:top w:val="nil"/>
              <w:left w:val="nil"/>
              <w:bottom w:val="single" w:color="000000" w:sz="8" w:space="0"/>
              <w:right w:val="nil"/>
            </w:tcBorders>
            <w:shd w:val="clear" w:color="auto" w:fill="FFFFFF"/>
            <w:vAlign w:val="center"/>
          </w:tcPr>
          <w:p>
            <w:pPr>
              <w:rPr>
                <w:rFonts w:ascii="Times New Roman" w:hAnsi="Times New Roman" w:cs="Times New Roman"/>
              </w:rPr>
            </w:pPr>
            <w:r>
              <w:rPr>
                <w:rFonts w:ascii="Times New Roman" w:hAnsi="Times New Roman" w:cs="Times New Roman"/>
              </w:rPr>
              <w:t>No</w:t>
            </w:r>
          </w:p>
        </w:tc>
      </w:tr>
    </w:tbl>
    <w:p>
      <w:pPr>
        <w:rPr>
          <w:rFonts w:ascii="Times New Roman" w:hAnsi="Times New Roman" w:cs="Times New Roman"/>
        </w:rPr>
      </w:pPr>
      <w:r>
        <w:rPr>
          <w:rFonts w:ascii="Times New Roman" w:hAnsi="Times New Roman" w:cs="Times New Roman"/>
        </w:rPr>
        <w:t xml:space="preserve"> </w:t>
      </w:r>
    </w:p>
    <w:p>
      <w:pPr>
        <w:rPr>
          <w:rFonts w:ascii="Times New Roman" w:hAnsi="Times New Roman" w:cs="Times New Roman"/>
          <w:b/>
          <w:bCs/>
          <w:color w:val="00B0F0"/>
        </w:rPr>
      </w:pPr>
    </w:p>
    <w:p>
      <w:pPr>
        <w:widowControl/>
        <w:jc w:val="left"/>
        <w:rPr>
          <w:rFonts w:ascii="Times New Roman" w:hAnsi="Times New Roman" w:cs="Times New Roman"/>
        </w:rPr>
      </w:pPr>
      <w:r>
        <w:rPr>
          <w:rFonts w:ascii="Times New Roman" w:hAnsi="Times New Roman" w:cs="Times New Roman"/>
        </w:rPr>
        <w:br w:type="page"/>
      </w:r>
    </w:p>
    <w:p>
      <w:pPr>
        <w:pStyle w:val="2"/>
        <w:spacing w:before="0" w:after="0"/>
        <w:rPr>
          <w:rFonts w:ascii="Times New Roman" w:hAnsi="Times New Roman" w:cs="Times New Roman"/>
          <w:b/>
          <w:bCs/>
          <w:color w:val="auto"/>
          <w:sz w:val="28"/>
          <w:szCs w:val="28"/>
        </w:rPr>
      </w:pPr>
      <w:r>
        <w:rPr>
          <w:rFonts w:ascii="Times New Roman" w:hAnsi="Times New Roman" w:cs="Times New Roman"/>
          <w:b/>
          <w:bCs/>
          <w:color w:val="auto"/>
          <w:sz w:val="28"/>
          <w:szCs w:val="28"/>
        </w:rPr>
        <w:t>Supplementary Note 9 — Experimental synthesis, characterization and vapour adsorption protocols</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S9.1 Chemicals and reagents</w:t>
      </w:r>
    </w:p>
    <w:p>
      <w:pPr>
        <w:rPr>
          <w:rFonts w:ascii="Times New Roman" w:hAnsi="Times New Roman" w:cs="Times New Roman"/>
        </w:rPr>
      </w:pPr>
      <w:r>
        <w:rPr>
          <w:rFonts w:ascii="Times New Roman" w:hAnsi="Times New Roman" w:cs="Times New Roman"/>
        </w:rPr>
        <w:t>Unless otherwise specified, all chemicals were obtained from commercial suppliers and used as received without further purification. H</w:t>
      </w:r>
      <w:r>
        <w:rPr>
          <w:rFonts w:ascii="Times New Roman" w:hAnsi="Times New Roman" w:cs="Times New Roman"/>
          <w:vertAlign w:val="subscript"/>
        </w:rPr>
        <w:t>2</w:t>
      </w:r>
      <w:r>
        <w:rPr>
          <w:rFonts w:ascii="Times New Roman" w:hAnsi="Times New Roman" w:cs="Times New Roman"/>
        </w:rPr>
        <w:t>(CF</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2</w:t>
      </w:r>
      <w:r>
        <w:rPr>
          <w:rFonts w:ascii="Times New Roman" w:hAnsi="Times New Roman" w:cs="Times New Roman"/>
        </w:rPr>
        <w:t>-BPDC (98%) and 3,3′-dimethylbiphenyl-4,4′-dicarboxylic acid (98%) were obtained from Bide Pharmatech. ZrCl</w:t>
      </w:r>
      <w:r>
        <w:rPr>
          <w:rFonts w:ascii="Times New Roman" w:hAnsi="Times New Roman" w:cs="Times New Roman"/>
          <w:vertAlign w:val="subscript"/>
        </w:rPr>
        <w:t>4</w:t>
      </w:r>
      <w:r>
        <w:rPr>
          <w:rFonts w:ascii="Times New Roman" w:hAnsi="Times New Roman" w:cs="Times New Roman"/>
        </w:rPr>
        <w:t xml:space="preserve"> (99%), N,N-dimethylformamide (DMF, 99%), hydrochloric acid (37%) and benzoic acid (99%) were obtained from Aladdin. Trifluoroacetic acid (99%) and ethanol (99%) were obtained from Energy Chemical, and 4,4′,4″-nitrilotribenzoic acid (H</w:t>
      </w:r>
      <w:r>
        <w:rPr>
          <w:rFonts w:ascii="Times New Roman" w:hAnsi="Times New Roman" w:cs="Times New Roman"/>
          <w:vertAlign w:val="subscript"/>
        </w:rPr>
        <w:t>3</w:t>
      </w:r>
      <w:r>
        <w:rPr>
          <w:rFonts w:ascii="Times New Roman" w:hAnsi="Times New Roman" w:cs="Times New Roman"/>
        </w:rPr>
        <w:t>NTB, 98%) was obtained from Titan Scientific. Al(NO</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3</w:t>
      </w:r>
      <w:r>
        <w:rPr>
          <w:rFonts w:ascii="Times New Roman" w:hAnsi="Times New Roman" w:cs="Times New Roman"/>
        </w:rPr>
        <w:t>·9H</w:t>
      </w:r>
      <w:r>
        <w:rPr>
          <w:rFonts w:ascii="Times New Roman" w:hAnsi="Times New Roman" w:cs="Times New Roman"/>
          <w:vertAlign w:val="subscript"/>
        </w:rPr>
        <w:t>2</w:t>
      </w:r>
      <w:r>
        <w:rPr>
          <w:rFonts w:ascii="Times New Roman" w:hAnsi="Times New Roman" w:cs="Times New Roman"/>
        </w:rPr>
        <w:t>O, Zn(NO</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2</w:t>
      </w:r>
      <w:r>
        <w:rPr>
          <w:rFonts w:ascii="Times New Roman" w:hAnsi="Times New Roman" w:cs="Times New Roman"/>
        </w:rPr>
        <w:t>·6H</w:t>
      </w:r>
      <w:r>
        <w:rPr>
          <w:rFonts w:ascii="Times New Roman" w:hAnsi="Times New Roman" w:cs="Times New Roman"/>
          <w:vertAlign w:val="subscript"/>
        </w:rPr>
        <w:t>2</w:t>
      </w:r>
      <w:r>
        <w:rPr>
          <w:rFonts w:ascii="Times New Roman" w:hAnsi="Times New Roman" w:cs="Times New Roman"/>
        </w:rPr>
        <w:t>O, NMF, tetrahydrofuran (THF), H</w:t>
      </w:r>
      <w:r>
        <w:rPr>
          <w:rFonts w:ascii="Times New Roman" w:hAnsi="Times New Roman" w:cs="Times New Roman"/>
          <w:vertAlign w:val="subscript"/>
        </w:rPr>
        <w:t>2</w:t>
      </w:r>
      <w:r>
        <w:rPr>
          <w:rFonts w:ascii="Times New Roman" w:hAnsi="Times New Roman" w:cs="Times New Roman"/>
        </w:rPr>
        <w:t>L and deionized water were used in the synthesis procedures described below.</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S9.2 Synthesis of experimentally validated MOFs</w:t>
      </w:r>
    </w:p>
    <w:p>
      <w:pPr>
        <w:ind w:firstLine="420"/>
        <w:rPr>
          <w:rFonts w:ascii="Times New Roman" w:hAnsi="Times New Roman" w:cs="Times New Roman"/>
        </w:rPr>
      </w:pPr>
      <w:r>
        <w:rPr>
          <w:rFonts w:ascii="Times New Roman" w:hAnsi="Times New Roman" w:cs="Times New Roman"/>
          <w:b/>
          <w:bCs/>
        </w:rPr>
        <w:t>PCN-700-(CF</w:t>
      </w:r>
      <w:r>
        <w:rPr>
          <w:rFonts w:ascii="Times New Roman" w:hAnsi="Times New Roman" w:cs="Times New Roman"/>
          <w:b/>
          <w:bCs/>
          <w:vertAlign w:val="subscript"/>
        </w:rPr>
        <w:t>3</w:t>
      </w:r>
      <w:r>
        <w:rPr>
          <w:rFonts w:ascii="Times New Roman" w:hAnsi="Times New Roman" w:cs="Times New Roman"/>
          <w:b/>
          <w:bCs/>
        </w:rPr>
        <w:t>)</w:t>
      </w:r>
      <w:r>
        <w:rPr>
          <w:rFonts w:ascii="Times New Roman" w:hAnsi="Times New Roman" w:cs="Times New Roman"/>
          <w:b/>
          <w:bCs/>
          <w:vertAlign w:val="subscript"/>
        </w:rPr>
        <w:t>2</w:t>
      </w:r>
      <w:r>
        <w:rPr>
          <w:rFonts w:ascii="Times New Roman" w:hAnsi="Times New Roman" w:cs="Times New Roman"/>
          <w:b/>
          <w:bCs/>
        </w:rPr>
        <w:t xml:space="preserve"> (IXEJOM):</w:t>
      </w:r>
      <w:r>
        <w:rPr>
          <w:rFonts w:ascii="Times New Roman" w:hAnsi="Times New Roman" w:cs="Times New Roman"/>
        </w:rPr>
        <w:t xml:space="preserve"> ZrCl</w:t>
      </w:r>
      <w:r>
        <w:rPr>
          <w:rFonts w:ascii="Times New Roman" w:hAnsi="Times New Roman" w:cs="Times New Roman"/>
          <w:vertAlign w:val="subscript"/>
        </w:rPr>
        <w:t>4</w:t>
      </w:r>
      <w:r>
        <w:rPr>
          <w:rFonts w:ascii="Times New Roman" w:hAnsi="Times New Roman" w:cs="Times New Roman"/>
        </w:rPr>
        <w:t xml:space="preserve"> (200 mg), H</w:t>
      </w:r>
      <w:r>
        <w:rPr>
          <w:rFonts w:ascii="Times New Roman" w:hAnsi="Times New Roman" w:cs="Times New Roman"/>
          <w:vertAlign w:val="subscript"/>
        </w:rPr>
        <w:t>2</w:t>
      </w:r>
      <w:r>
        <w:rPr>
          <w:rFonts w:ascii="Times New Roman" w:hAnsi="Times New Roman" w:cs="Times New Roman"/>
        </w:rPr>
        <w:t>(CF</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2</w:t>
      </w:r>
      <w:r>
        <w:rPr>
          <w:rFonts w:ascii="Times New Roman" w:hAnsi="Times New Roman" w:cs="Times New Roman"/>
        </w:rPr>
        <w:t>-BPDC (100 mg), trifluoroacetic acid (1.0 mL) and DMF (20 mL) were combined in a Pyrex vial. The mixture was heated at 120 °C for 72 h and subsequently cooled to room temperature. The resulting colourless crystals of PCN-700-(CF</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2</w:t>
      </w:r>
      <w:r>
        <w:rPr>
          <w:rFonts w:ascii="Times New Roman" w:hAnsi="Times New Roman" w:cs="Times New Roman"/>
        </w:rPr>
        <w:t xml:space="preserve"> were collected with an isolated yield of 58%.</w:t>
      </w:r>
    </w:p>
    <w:p>
      <w:pPr>
        <w:ind w:firstLine="420"/>
        <w:rPr>
          <w:rFonts w:ascii="Times New Roman" w:hAnsi="Times New Roman" w:cs="Times New Roman"/>
        </w:rPr>
      </w:pPr>
      <w:r>
        <w:rPr>
          <w:rFonts w:ascii="Times New Roman" w:hAnsi="Times New Roman" w:cs="Times New Roman"/>
          <w:b/>
          <w:bCs/>
        </w:rPr>
        <w:t>UiO-67-Me (QAJJOD01):</w:t>
      </w:r>
      <w:r>
        <w:rPr>
          <w:rFonts w:ascii="Times New Roman" w:hAnsi="Times New Roman" w:cs="Times New Roman"/>
        </w:rPr>
        <w:t xml:space="preserve"> ZrCl</w:t>
      </w:r>
      <w:r>
        <w:rPr>
          <w:rFonts w:ascii="Times New Roman" w:hAnsi="Times New Roman" w:cs="Times New Roman"/>
          <w:vertAlign w:val="subscript"/>
        </w:rPr>
        <w:t>4</w:t>
      </w:r>
      <w:r>
        <w:rPr>
          <w:rFonts w:ascii="Times New Roman" w:hAnsi="Times New Roman" w:cs="Times New Roman"/>
        </w:rPr>
        <w:t xml:space="preserve"> (201 mg, 0.86 mmol), benzoic acid (1.05 g, 8.6 mmol) and 3,3′-dimethylbiphenyl-4,4′-dicarboxylic acid (226 mg, 0.86 mmol) were dissolved in hot DMF (20 mL). Hydrochloric acid (35%) was added as a modulator. The clear solution was transferred to a 50-mL Erlenmeyer flask and heated without stirring at 120 °C for 48 h under a loosely fitted cover. The resulting white solid was collected and washed three times with DMF (10 mL per wash) and three times with THF (10 mL per wash), followed by drying in air at 200 °C.</w:t>
      </w:r>
    </w:p>
    <w:p>
      <w:pPr>
        <w:ind w:firstLine="420"/>
        <w:rPr>
          <w:rFonts w:ascii="Times New Roman" w:hAnsi="Times New Roman" w:cs="Times New Roman"/>
        </w:rPr>
      </w:pPr>
      <w:r>
        <w:rPr>
          <w:rFonts w:ascii="Times New Roman" w:hAnsi="Times New Roman" w:cs="Times New Roman"/>
          <w:b/>
          <w:bCs/>
        </w:rPr>
        <w:t>MOF-515 (OYEWEW):</w:t>
      </w:r>
      <w:r>
        <w:rPr>
          <w:rFonts w:ascii="Times New Roman" w:hAnsi="Times New Roman" w:cs="Times New Roman"/>
        </w:rPr>
        <w:t xml:space="preserve"> Al(NO</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3</w:t>
      </w:r>
      <w:r>
        <w:rPr>
          <w:rFonts w:ascii="Times New Roman" w:hAnsi="Times New Roman" w:cs="Times New Roman"/>
        </w:rPr>
        <w:t>·9H</w:t>
      </w:r>
      <w:r>
        <w:rPr>
          <w:rFonts w:ascii="Times New Roman" w:hAnsi="Times New Roman" w:cs="Times New Roman"/>
          <w:vertAlign w:val="subscript"/>
        </w:rPr>
        <w:t>2</w:t>
      </w:r>
      <w:r>
        <w:rPr>
          <w:rFonts w:ascii="Times New Roman" w:hAnsi="Times New Roman" w:cs="Times New Roman"/>
        </w:rPr>
        <w:t>O (0.030 g, 0.080 mmol), H</w:t>
      </w:r>
      <w:r>
        <w:rPr>
          <w:rFonts w:ascii="Times New Roman" w:hAnsi="Times New Roman" w:cs="Times New Roman"/>
          <w:vertAlign w:val="subscript"/>
        </w:rPr>
        <w:t>3</w:t>
      </w:r>
      <w:r>
        <w:rPr>
          <w:rFonts w:ascii="Times New Roman" w:hAnsi="Times New Roman" w:cs="Times New Roman"/>
        </w:rPr>
        <w:t>NTB (0.030 g, 0.080 mmol) and trifluoroacetic acid (0.30 mL) were dissolved in an NMF/H</w:t>
      </w:r>
      <w:r>
        <w:rPr>
          <w:rFonts w:ascii="Times New Roman" w:hAnsi="Times New Roman" w:cs="Times New Roman"/>
          <w:vertAlign w:val="subscript"/>
        </w:rPr>
        <w:t>2</w:t>
      </w:r>
      <w:r>
        <w:rPr>
          <w:rFonts w:ascii="Times New Roman" w:hAnsi="Times New Roman" w:cs="Times New Roman"/>
        </w:rPr>
        <w:t>O mixture (3.05 mL; v/v = 60:1). The resulting solution was sealed in a 20-mL Teflon-lined stainless-steel vessel and heated at 140 °C for 72 h, followed by gradual cooling to room temperature. Yellow crystals were collected and washed with fresh NMF.</w:t>
      </w:r>
    </w:p>
    <w:p>
      <w:pPr>
        <w:ind w:firstLine="420"/>
        <w:rPr>
          <w:rFonts w:ascii="Times New Roman" w:hAnsi="Times New Roman" w:cs="Times New Roman"/>
        </w:rPr>
      </w:pPr>
      <w:r>
        <w:rPr>
          <w:rFonts w:ascii="Times New Roman" w:hAnsi="Times New Roman" w:cs="Times New Roman"/>
          <w:b/>
          <w:bCs/>
        </w:rPr>
        <w:t>NJU-Bai1 (OLOGAY):</w:t>
      </w:r>
      <w:r>
        <w:rPr>
          <w:rFonts w:ascii="Times New Roman" w:hAnsi="Times New Roman" w:cs="Times New Roman"/>
        </w:rPr>
        <w:t xml:space="preserve"> H</w:t>
      </w:r>
      <w:r>
        <w:rPr>
          <w:rFonts w:ascii="Times New Roman" w:hAnsi="Times New Roman" w:cs="Times New Roman"/>
          <w:vertAlign w:val="subscript"/>
        </w:rPr>
        <w:t>2</w:t>
      </w:r>
      <w:r>
        <w:rPr>
          <w:rFonts w:ascii="Times New Roman" w:hAnsi="Times New Roman" w:cs="Times New Roman"/>
        </w:rPr>
        <w:t>L (20 mg, 0.070 mmol) and Zn(NO</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2</w:t>
      </w:r>
      <w:r>
        <w:rPr>
          <w:rFonts w:ascii="Times New Roman" w:hAnsi="Times New Roman" w:cs="Times New Roman"/>
        </w:rPr>
        <w:t>·6H</w:t>
      </w:r>
      <w:r>
        <w:rPr>
          <w:rFonts w:ascii="Times New Roman" w:hAnsi="Times New Roman" w:cs="Times New Roman"/>
          <w:vertAlign w:val="subscript"/>
        </w:rPr>
        <w:t>2</w:t>
      </w:r>
      <w:r>
        <w:rPr>
          <w:rFonts w:ascii="Times New Roman" w:hAnsi="Times New Roman" w:cs="Times New Roman"/>
        </w:rPr>
        <w:t>O (62 mg, 0.21 mmol) were suspended in DMF (2.0 mL) in a sealed 20-mL vial. The mixture was heated at 80 °C for 48 h and then cooled to room temperature. Colourless cubic crystals were collected.</w:t>
      </w:r>
    </w:p>
    <w:p>
      <w:pPr>
        <w:ind w:firstLine="420"/>
        <w:rPr>
          <w:rFonts w:ascii="Times New Roman" w:hAnsi="Times New Roman" w:cs="Times New Roman"/>
        </w:rPr>
      </w:pPr>
      <w:r>
        <w:rPr>
          <w:rFonts w:ascii="Times New Roman" w:hAnsi="Times New Roman" w:cs="Times New Roman"/>
          <w:b/>
          <w:bCs/>
        </w:rPr>
        <w:t>KAZXEQ (SDU-1; attempted experimental advancement):</w:t>
      </w:r>
      <w:r>
        <w:rPr>
          <w:rFonts w:ascii="Times New Roman" w:hAnsi="Times New Roman" w:cs="Times New Roman"/>
        </w:rPr>
        <w:t xml:space="preserve"> Preliminary small-scale synthesis following the reported solvothermal procedure yielded crystalline SDU-1 under solvated conditions</w:t>
      </w:r>
      <w:r>
        <w:rPr>
          <w:rFonts w:ascii="Times New Roman" w:hAnsi="Times New Roman" w:cs="Times New Roman"/>
        </w:rPr>
        <w:fldChar w:fldCharType="begin"/>
      </w:r>
      <w:r>
        <w:rPr>
          <w:rFonts w:ascii="Times New Roman" w:hAnsi="Times New Roman" w:cs="Times New Roman"/>
        </w:rPr>
        <w:instrText xml:space="preserve"> ADDIN ZOTERO_ITEM CSL_CITATION {"citationID":"iL4I9R1X","properties":{"unsorted":false,"formattedCitation":"\\super 19\\nosupersub{}","plainCitation":"19","noteIndex":0},"citationItems":[{"id":11514,"uris":["http://zotero.org/users/10807631/items/HKFH3TME"],"itemData":{"id":11514,"type":"article-journal","abstract":"A novel supermolecular building blocks (SBBs) based metal−organic framework (MOF), with formula [Zn7(TMBHB)2·2NO3·5DMF·4CH3CH2OH·6H2O]n (SDU-1), was constructed from C3-symmetric trimethyl substituted 3,3′,3″,5,5′,5″-benzene-1,3,5-triylhexabenzoic acid (H6TMBHB). Notably, the SDU-1 consists of two kinds of rare secondary building units (SBUs), [Zn2(COO)3] and [Zn2(COO)4], which are linked by TMBHB to form cubic and trisoctahedral SBBs, respectively. TOPOS software analysis of SDU-1 indicates that two alternative simpliﬁcations based on diﬀerent SBBs can produce (3,24)-connected rht or (4,12)-connected ftw topologies. Compared with a recently reported Zn-BHB (H6BHB = 3,3′,3″,5,5′,5″benzene-1,3,5-triylhexabenzoic acid) MOF, the structural dissimilarity between them was caused by the steric hindrance of three methyl groups, which makes three isophthalate units on TMBHB nearly perpendicular to the central phenyl ring, giving TMBHB a nonplanar conformation. The photoluminescence behavior of SDU-1 was also discussed.","container-title":"Crystal Growth &amp; Design","DOI":"10.1021/cg3002866","ISSN":"1528-7483, 1528-7505","issue":"6","journalAbbreviation":"Cryst. Growth Des.","language":"en","note":"JCR分区: Q1\n中科院分区升级版: 化学2区\n影响因子: 3.6\n5年影响因子: 3.4\nEI: 是\n南农高质量: A","page":"2736-2739","source":"DOI.org (Crossref)","title":"Novel metal–organic framework based on cubic and trisoctahedral supermolecular building blocks: Topological analysis and photoluminescent property","title-short":"Novel metal–organic framework based on cubic and trisoctahedral supermolecular building blocks","URL":"https://pubs.acs.org/doi/10.1021/cg3002866","volume":"12","author":[{"family":"Zhao","given":"Xiaoliang"},{"family":"Wang","given":"Xiaoyang"},{"family":"Wang","given":"Suna"},{"family":"Dou","given":"Jianmin"},{"family":"Cui","given":"Peipei"},{"family":"Chen","given":"Zhen"},{"family":"Sun","given":"Di"},{"family":"Wang","given":"Xingpo"},{"family":"Sun","given":"Daofeng"}],"accessed":{"date-parts":[["2026",9,4]]},"issued":{"date-parts":[["2012",6,6]]}}}],"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kern w:val="0"/>
          <w:vertAlign w:val="superscript"/>
        </w:rPr>
        <w:t>19</w:t>
      </w:r>
      <w:r>
        <w:rPr>
          <w:rFonts w:ascii="Times New Roman" w:hAnsi="Times New Roman" w:cs="Times New Roman"/>
        </w:rPr>
        <w:fldChar w:fldCharType="end"/>
      </w:r>
      <w:r>
        <w:rPr>
          <w:rFonts w:ascii="Times New Roman" w:hAnsi="Times New Roman" w:cs="Times New Roman"/>
        </w:rPr>
        <w:t>. However, the material was sensitive to solvent removal and did not retain the target crystalline phase reliably upon desolvation/activation. This behaviour is consistent with the reported instability of SDU-1 upon removal of solvates</w:t>
      </w:r>
      <w:r>
        <w:rPr>
          <w:rFonts w:ascii="Times New Roman" w:hAnsi="Times New Roman" w:cs="Times New Roman"/>
        </w:rPr>
        <w:fldChar w:fldCharType="begin"/>
      </w:r>
      <w:r>
        <w:rPr>
          <w:rFonts w:ascii="Times New Roman" w:hAnsi="Times New Roman" w:cs="Times New Roman"/>
        </w:rPr>
        <w:instrText xml:space="preserve"> ADDIN ZOTERO_ITEM CSL_CITATION {"citationID":"xGMVVay3","properties":{"unsorted":false,"formattedCitation":"\\super 20\\nosupersub{}","plainCitation":"20","noteIndex":0},"citationItems":[{"id":11530,"uris":["http://zotero.org/users/10807631/items/LVWZJLGP"],"itemData":{"id":11530,"type":"article-journal","abstract":"Zinc paddlewheel metal-organic frameworks (MOFs) frequently exhibit low stability or complete collapse upon the removal of axial ligands. Hence, there are very few reports on gas adsorption of zinc paddlewheel MOFs. In this work, the N2 and H2 adsorption measurements were carried out for a zinc MOF (namely, SDU-1) based on two types of paddlewheel secondary building units (SBUs): [Zn2(COO)3] and [Zn2(COO)4]. Because of the existence of inherent surface instability upon removal of solvates in zinc paddlewheel SBU, SDU-1 possesses a very low surface area. Through metal-ion metathesis in a single-crystalto-single-crystal fashion, the Zn2+ ions in SDU-1 were exchanged by Cu2+ ions to generate Cu-SDU-1. Through the measurements of gas adsorption and catalytic test, the porosity and catalytic capacity of Cu-SDU-1 have been improved signiﬁcantly, compared to SDU-1.","container-title":"Inorganic Chemistry","DOI":"10.1021/ic5017092","ISSN":"0020-1669, 1520-510X","issue":"19","journalAbbreviation":"Inorg. Chem.","language":"en","note":"JCR分区: Q1\n中科院分区升级版: 化学2区\n影响因子: 4.6\n5年影响因子: 4.2\nEI: 是\n南农高质量: A","page":"10649-10653","source":"DOI.org (Crossref)","title":"Improving the porosity and catalytic capacity of a zinc paddlewheel metal-organic framework (MOF) through metal-ion metathesis in a single-crystal-to-single-crystal fashion","URL":"https://pubs.acs.org/doi/10.1021/ic5017092","volume":"53","author":[{"family":"Yang","given":"Jie"},{"family":"Wang","given":"Xiaoqing"},{"family":"Dai","given":"Fangna"},{"family":"Zhang","given":"Liangliang"},{"family":"Wang","given":"Rongming"},{"family":"Sun","given":"Daofeng"}],"accessed":{"date-parts":[["2026",9,4]]},"issued":{"date-parts":[["2014",10,6]]}}}],"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kern w:val="0"/>
          <w:vertAlign w:val="superscript"/>
        </w:rPr>
        <w:t>20</w:t>
      </w:r>
      <w:r>
        <w:rPr>
          <w:rFonts w:ascii="Times New Roman" w:hAnsi="Times New Roman" w:cs="Times New Roman"/>
        </w:rPr>
        <w:fldChar w:fldCharType="end"/>
      </w:r>
      <w:r>
        <w:rPr>
          <w:rFonts w:ascii="Times New Roman" w:hAnsi="Times New Roman" w:cs="Times New Roman"/>
        </w:rPr>
        <w:t>. Consequently, KAZXEQ was not advanced to vapour-adsorption measurements in the present study.</w:t>
      </w:r>
    </w:p>
    <w:p>
      <w:pPr>
        <w:ind w:firstLine="420"/>
        <w:rPr>
          <w:rFonts w:ascii="Times New Roman" w:hAnsi="Times New Roman" w:cs="Times New Roman"/>
        </w:rPr>
      </w:pP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S9.3 Characterization and vapour adsorption protocols</w:t>
      </w:r>
    </w:p>
    <w:p>
      <w:pPr>
        <w:ind w:firstLine="420"/>
        <w:rPr>
          <w:rFonts w:ascii="Times New Roman" w:hAnsi="Times New Roman" w:cs="Times New Roman"/>
        </w:rPr>
      </w:pPr>
      <w:r>
        <w:rPr>
          <w:rFonts w:ascii="Times New Roman" w:hAnsi="Times New Roman" w:cs="Times New Roman"/>
        </w:rPr>
        <w:t>Powder X-ray diffraction (PXRD) patterns were recorded at room temperature on a Bruker D8 diffractometer using Cu Kα radiation (λ=1.5418 Å). Field-emission scanning electron microscopy (FE-SEM) images were obtained using a Hitachi S-8010 instrument operated at 10 kV. Thermogravimetric analysis (TGA) was performed using a TA Instruments Q50 thermogravimetric analyser under a nitrogen atmosphere from 45 to 800 °C at a heating rate of 5 °C min⁻¹. Fourier-transform infrared (FTIR) spectra were recorded using a Thermo Scientific Nicolet iS10 spectrometer with KBr pellets.</w:t>
      </w:r>
    </w:p>
    <w:p>
      <w:pPr>
        <w:rPr>
          <w:rFonts w:ascii="Times New Roman" w:hAnsi="Times New Roman" w:cs="Times New Roman"/>
        </w:rPr>
      </w:pPr>
      <w:r>
        <w:rPr>
          <w:rFonts w:ascii="Times New Roman" w:hAnsi="Times New Roman" w:cs="Times New Roman"/>
        </w:rPr>
        <w:tab/>
      </w:r>
      <w:r>
        <w:rPr>
          <w:rFonts w:ascii="Times New Roman" w:hAnsi="Times New Roman" w:cs="Times New Roman"/>
        </w:rPr>
        <w:t>Nitrogen adsorption–desorption isotherms were measured at 77 K using a Quantachrome Autosorb-iQ instrument with high-purity N₂. BET surface areas were determined from the linear region of the adsorption branch of the N₂ isotherms. Pore-size distributions were derived from the N₂ adsorption data using the pore kernel implemented in Quantachrome ASiQwin 2.01.</w:t>
      </w:r>
    </w:p>
    <w:p>
      <w:pPr>
        <w:rPr>
          <w:rFonts w:ascii="Times New Roman" w:hAnsi="Times New Roman" w:cs="Times New Roman"/>
        </w:rPr>
      </w:pPr>
      <w:r>
        <w:rPr>
          <w:rFonts w:ascii="Times New Roman" w:hAnsi="Times New Roman" w:cs="Times New Roman"/>
        </w:rPr>
        <w:tab/>
      </w:r>
      <w:r>
        <w:rPr>
          <w:rFonts w:ascii="Times New Roman" w:hAnsi="Times New Roman" w:cs="Times New Roman"/>
        </w:rPr>
        <w:t>Gravimetric adsorption measurements for CEES, DMMP and EtCl were performed using a BSD-DVS instrument. Sorption isotherms were collected at 298 K using activated samples. Before measurement, the samples were activated at 393 K for 12 h under a continuous N</w:t>
      </w:r>
      <w:r>
        <w:rPr>
          <w:rFonts w:ascii="Times New Roman" w:hAnsi="Times New Roman" w:cs="Times New Roman"/>
          <w:vertAlign w:val="subscript"/>
        </w:rPr>
        <w:t>2</w:t>
      </w:r>
      <w:r>
        <w:rPr>
          <w:rFonts w:ascii="Times New Roman" w:hAnsi="Times New Roman" w:cs="Times New Roman"/>
        </w:rPr>
        <w:t xml:space="preserve"> flow of 400 sccm in total, corresponding to 50 sccm per analysis port.</w:t>
      </w:r>
    </w:p>
    <w:p>
      <w:pPr>
        <w:pStyle w:val="3"/>
        <w:rPr>
          <w:rFonts w:ascii="Times New Roman" w:hAnsi="Times New Roman" w:cs="Times New Roman"/>
          <w:b/>
          <w:bCs/>
          <w:color w:val="auto"/>
          <w:sz w:val="28"/>
          <w:szCs w:val="28"/>
        </w:rPr>
      </w:pPr>
      <w:r>
        <w:rPr>
          <w:rFonts w:ascii="Times New Roman" w:hAnsi="Times New Roman" w:cs="Times New Roman"/>
          <w:b/>
          <w:bCs/>
          <w:color w:val="auto"/>
          <w:sz w:val="28"/>
          <w:szCs w:val="28"/>
        </w:rPr>
        <w:t>S9.4 Structural and textural characterization</w:t>
      </w:r>
    </w:p>
    <w:p>
      <w:pPr>
        <w:ind w:firstLine="420" w:firstLineChars="200"/>
        <w:rPr>
          <w:rFonts w:ascii="Times New Roman" w:hAnsi="Times New Roman" w:cs="Times New Roman"/>
        </w:rPr>
      </w:pPr>
      <w:r>
        <w:rPr>
          <w:rFonts w:ascii="Times New Roman" w:hAnsi="Times New Roman" w:cs="Times New Roman"/>
          <w:lang w:eastAsia="zh"/>
        </w:rPr>
        <w:t>PXRD patterns (Supplementary Fig. 7) of MOF-515</w:t>
      </w:r>
      <w:r>
        <w:rPr>
          <w:rFonts w:ascii="Times New Roman" w:hAnsi="Times New Roman" w:cs="Times New Roman"/>
          <w:lang w:eastAsia="zh"/>
        </w:rPr>
        <w:fldChar w:fldCharType="begin"/>
      </w:r>
      <w:r>
        <w:rPr>
          <w:rFonts w:ascii="Times New Roman" w:hAnsi="Times New Roman" w:cs="Times New Roman"/>
          <w:lang w:eastAsia="zh"/>
        </w:rPr>
        <w:instrText xml:space="preserve"> ADDIN ZOTERO_ITEM CSL_CITATION {"citationID":"WMHMJIDY","properties":{"unsorted":false,"formattedCitation":"\\super 21\\nosupersub{}","plainCitation":"21","noteIndex":0},"citationItems":[{"id":11483,"uris":["http://zotero.org/users/10807631/items/I4PZQGSH"],"itemData":{"id":11483,"type":"article-journal","abstract":"Two unique immunosensors made of aluminum-based metal-organic frameworks (MOFs), namely, 515- and 516-MOFs, with 4,4',4''-nitrilotribenzoic acid (H3NTB) were successfully obtained to eﬃciently assess food safety. The as-prepared 515- and 516-MOFs exhibited superior thermal and physicochemical stability, high electrochemical activity, and good biocompatibility. Among these immunosensors, 516-MOF showed a preferable biosensing ability toward analytes determined by electrochemical techniques. The developed 516MOF-based electrochemical biosensor not only demonstrated high sensitivity with low detection limits of 0.70 and 0.40 pg mL−1 toward vomitoxin and salbutamol, respectively, but also showed good selectivity in the presence of other interferences. Therefore, with the advantages of high sensitivity, good selectivity, and simple operation, this new strategy is believed to exhibit great potential for simple and convenient detection of poisonous and harmful residues in food.","container-title":"Biosensors &amp; Bioelectronics","DOI":"10.1016/j.bios.2017.01.059","ISSN":"09565663","journalAbbreviation":"Biosens. Bioelectron.","language":"en","note":"JCR分区: Q1\n中科院分区升级版: 化学1区\n影响因子: 11.8\n5年影响因子: 11.1\nEI: 是","page":"804-810","source":"DOI.org (Crossref)","title":"Highly stable aluminum-based metal-organic frameworks as biosensing platforms for assessment of food safety","URL":"https://linkinghub.elsevier.com/retrieve/pii/S095656631730060X","volume":"91","author":[{"family":"Liu","given":"Chun-Sen"},{"family":"Sun","given":"Chun-Xiao"},{"family":"Tian","given":"Jia-Yue"},{"family":"Wang","given":"Zhuo-Wei"},{"family":"Ji","given":"Hong-Fei"},{"family":"Song","given":"Ying-Pan"},{"family":"Zhang","given":"Shuai"},{"family":"Zhang","given":"Zhi-Hong"},{"family":"He","given":"Ling-Hao"},{"family":"Du","given":"Miao"}],"accessed":{"date-parts":[["2026",8,16]]},"issued":{"date-parts":[["2017",5]]}}}],"schema":"https://github.com/citation-style-language/schema/raw/master/csl-citation.json"} </w:instrText>
      </w:r>
      <w:r>
        <w:rPr>
          <w:rFonts w:ascii="Times New Roman" w:hAnsi="Times New Roman" w:cs="Times New Roman"/>
          <w:lang w:eastAsia="zh"/>
        </w:rPr>
        <w:fldChar w:fldCharType="separate"/>
      </w:r>
      <w:r>
        <w:rPr>
          <w:rFonts w:ascii="Times New Roman" w:hAnsi="Times New Roman" w:cs="Times New Roman"/>
          <w:kern w:val="0"/>
          <w:vertAlign w:val="superscript"/>
        </w:rPr>
        <w:t>21</w:t>
      </w:r>
      <w:r>
        <w:rPr>
          <w:rFonts w:ascii="Times New Roman" w:hAnsi="Times New Roman" w:cs="Times New Roman"/>
          <w:lang w:eastAsia="zh"/>
        </w:rPr>
        <w:fldChar w:fldCharType="end"/>
      </w:r>
      <w:r>
        <w:rPr>
          <w:rFonts w:ascii="Times New Roman" w:hAnsi="Times New Roman" w:cs="Times New Roman"/>
          <w:lang w:eastAsia="zh"/>
        </w:rPr>
        <w:t>, UiO-67-Me</w:t>
      </w:r>
      <w:r>
        <w:rPr>
          <w:rFonts w:ascii="Times New Roman" w:hAnsi="Times New Roman" w:cs="Times New Roman"/>
          <w:lang w:eastAsia="zh"/>
        </w:rPr>
        <w:fldChar w:fldCharType="begin"/>
      </w:r>
      <w:r>
        <w:rPr>
          <w:rFonts w:ascii="Times New Roman" w:hAnsi="Times New Roman" w:cs="Times New Roman"/>
          <w:lang w:eastAsia="zh"/>
        </w:rPr>
        <w:instrText xml:space="preserve"> ADDIN ZOTERO_ITEM CSL_CITATION {"citationID":"YtwwGo7d","properties":{"unsorted":false,"formattedCitation":"\\super 22\\nosupersub{}","plainCitation":"22","noteIndex":0},"citationItems":[{"id":11485,"uris":["http://zotero.org/users/10807631/items/HIKBCUZF"],"itemData":{"id":11485,"type":"article-journal","abstract":"The structure and properties of two new UiO-67-type metal−organic frameworks, along with their linker synthesis and powder and single crystal synthesis, are presented. The new MOFs, UiO-67-Me and UiO-67-BN, are based on 3,3′-dimethylbiphenyl and 1,1′-binaphthyl linker scaﬀolds, and show a much higher stability to water than the thoroughly investigated UiO-67, which is based on the biphenyl scaﬀold. On the basis of structure models obtained from single crystal X-ray diﬀraction, it is seen that these linkers are partly shielding the Zr cluster. The new materials have higher density than UiO-67, but show a higher volumetric adsorption capacity for methane. UiO-67-BN exhibits excellent reversible water sorption properties, and enhanced stability to aqueous solutions over a wide pH range; it is to the best of our knowledge the most stable Zr-MOF that is isostructural to UiO-67 in aqueous solutions.","container-title":"Inorganic Chemistry","DOI":"10.1021/acs.inorgchem.5b02257","ISSN":"0020-1669, 1520-510X","issue":"5","journalAbbreviation":"Inorg. Chem.","language":"en","note":"JCR分区: Q1\n中科院分区升级版: 化学2区\n影响因子: 4.6\n5年影响因子: 4.2\nEI: 是\n南农高质量: A","page":"1986-1991","source":"DOI.org (Crossref)","title":"UiO-67-type metal–organic frameworks with enhanced water stability and methane adsorption capacity","URL":"https://pubs.acs.org/doi/10.1021/acs.inorgchem.5b02257","volume":"55","author":[{"family":"Øien-Ødegaard","given":"Sigurd"},{"family":"Bouchevreau","given":"Boris"},{"family":"Hylland","given":"Knut"},{"family":"Wu","given":"Lianpao"},{"family":"Blom","given":"Richard"},{"family":"Grande","given":"Carlos"},{"family":"Olsbye","given":"Unni"},{"family":"Tilset","given":"Mats"},{"family":"Lillerud","given":"Karl P."}],"accessed":{"date-parts":[["2026",8,16]]},"issued":{"date-parts":[["2016",3,7]]}}}],"schema":"https://github.com/citation-style-language/schema/raw/master/csl-citation.json"} </w:instrText>
      </w:r>
      <w:r>
        <w:rPr>
          <w:rFonts w:ascii="Times New Roman" w:hAnsi="Times New Roman" w:cs="Times New Roman"/>
          <w:lang w:eastAsia="zh"/>
        </w:rPr>
        <w:fldChar w:fldCharType="separate"/>
      </w:r>
      <w:r>
        <w:rPr>
          <w:rFonts w:ascii="Times New Roman" w:hAnsi="Times New Roman" w:cs="Times New Roman"/>
          <w:kern w:val="0"/>
          <w:vertAlign w:val="superscript"/>
        </w:rPr>
        <w:t>22</w:t>
      </w:r>
      <w:r>
        <w:rPr>
          <w:rFonts w:ascii="Times New Roman" w:hAnsi="Times New Roman" w:cs="Times New Roman"/>
          <w:lang w:eastAsia="zh"/>
        </w:rPr>
        <w:fldChar w:fldCharType="end"/>
      </w:r>
      <w:r>
        <w:rPr>
          <w:rFonts w:ascii="Times New Roman" w:hAnsi="Times New Roman" w:cs="Times New Roman"/>
          <w:lang w:eastAsia="zh"/>
        </w:rPr>
        <w:t xml:space="preserve"> and PCN-700-(CF₃)₂</w:t>
      </w:r>
      <w:r>
        <w:rPr>
          <w:rFonts w:ascii="Times New Roman" w:hAnsi="Times New Roman" w:cs="Times New Roman"/>
          <w:lang w:eastAsia="zh"/>
        </w:rPr>
        <w:fldChar w:fldCharType="begin"/>
      </w:r>
      <w:r>
        <w:rPr>
          <w:rFonts w:ascii="Times New Roman" w:hAnsi="Times New Roman" w:cs="Times New Roman"/>
          <w:lang w:eastAsia="zh"/>
        </w:rPr>
        <w:instrText xml:space="preserve"> ADDIN ZOTERO_ITEM CSL_CITATION {"citationID":"WYu1ryWm","properties":{"unsorted":false,"formattedCitation":"\\super 23\\nosupersub{}","plainCitation":"23","noteIndex":0},"citationItems":[{"id":11487,"uris":["http://zotero.org/users/10807631/items/7JDHBJUY"],"itemData":{"id":11487,"type":"article-journal","abstract":"Flexible metal–organic frameworks (MOFs) are highly desirable in host–guest chemistry owing to their almost unlimited structural/functional diversities and stimuli-responsive pore architectures. Herein, we designed a flexible Zr-MOF system, namely PCN-700 series, for the realization of switchable catalysis in cycloaddition reactions of CO2 with epoxides. Their breathing behaviors were studied by successive singlecrystal X-ray diffraction analyses. The breathing amplitudes of the PCN-700 series were modulated through pre-functionalization of organic linkers and post-synthetic linker installation. Experiments and molecular simulations confirm that the catalytic activities of the PCN-700 series can be switched on and off upon reversible structural transformation, which is reminiscent of sophisticated biological systems such as allosteric enzymes.","container-title":"Angewandte Chemie International Edition","DOI":"10.1002/anie.201604313","ISSN":"1433-7851, 1521-3773","issue":"36","journalAbbreviation":"Angew. Chem. Int. Ed.","language":"en","license":"http://onlinelibrary.wiley.com/termsAndConditions#am","note":"JCR分区: Q1\n中科院分区升级版: 化学1区\n影响因子: 17.6\n5年影响因子: 16.7\nEI: 是","page":"10776-10780","source":"DOI.org (Crossref)","title":"Flexible zirconium metal‐organic frameworks as bioinspired switchable catalysts","URL":"https://onlinelibrary.wiley.com/doi/10.1002/anie.201604313","volume":"55","author":[{"family":"Yuan","given":"Shuai"},{"family":"Zou","given":"Lanfang"},{"family":"Li","given":"Haixia"},{"family":"Chen","given":"Ying-Pin"},{"family":"Qin","given":"Junsheng"},{"family":"Zhang","given":"Qiang"},{"family":"Lu","given":"Weigang"},{"family":"Hall","given":"Michael B."},{"family":"Zhou","given":"Hong-Cai"}],"accessed":{"date-parts":[["2026",8,16]]},"issued":{"date-parts":[["2016",8,26]]}}}],"schema":"https://github.com/citation-style-language/schema/raw/master/csl-citation.json"} </w:instrText>
      </w:r>
      <w:r>
        <w:rPr>
          <w:rFonts w:ascii="Times New Roman" w:hAnsi="Times New Roman" w:cs="Times New Roman"/>
          <w:lang w:eastAsia="zh"/>
        </w:rPr>
        <w:fldChar w:fldCharType="separate"/>
      </w:r>
      <w:r>
        <w:rPr>
          <w:rFonts w:ascii="Times New Roman" w:hAnsi="Times New Roman" w:cs="Times New Roman"/>
          <w:kern w:val="0"/>
          <w:vertAlign w:val="superscript"/>
        </w:rPr>
        <w:t>23</w:t>
      </w:r>
      <w:r>
        <w:rPr>
          <w:rFonts w:ascii="Times New Roman" w:hAnsi="Times New Roman" w:cs="Times New Roman"/>
          <w:lang w:eastAsia="zh"/>
        </w:rPr>
        <w:fldChar w:fldCharType="end"/>
      </w:r>
      <w:r>
        <w:rPr>
          <w:rFonts w:ascii="Times New Roman" w:hAnsi="Times New Roman" w:cs="Times New Roman"/>
          <w:lang w:eastAsia="zh"/>
        </w:rPr>
        <w:t xml:space="preserve"> were consistent with those reported for the corresponding materials and exhibited sharp diffraction features, supporting successful reproduction of the targeted crystalline frameworks. SEM images (Supplementary Fig. 8) further revealed well-defined crystalline morphologies for these samples. </w:t>
      </w:r>
      <w:r>
        <w:rPr>
          <w:rFonts w:hint="default" w:ascii="Times New Roman" w:hAnsi="Times New Roman" w:cs="Times New Roman"/>
          <w:lang w:val="en-US" w:eastAsia="zh"/>
        </w:rPr>
        <w:t>In contrast, the PXRD and SEM</w:t>
      </w:r>
      <w:r>
        <w:rPr>
          <w:rFonts w:hint="eastAsia" w:ascii="Times New Roman" w:hAnsi="Times New Roman" w:cs="Times New Roman"/>
          <w:lang w:val="en-US" w:eastAsia="zh"/>
        </w:rPr>
        <w:t xml:space="preserve"> </w:t>
      </w:r>
      <w:r>
        <w:rPr>
          <w:rFonts w:hint="default" w:ascii="Times New Roman" w:hAnsi="Times New Roman" w:cs="Times New Roman"/>
          <w:lang w:val="en-US" w:eastAsia="zh"/>
        </w:rPr>
        <w:t>results</w:t>
      </w:r>
      <w:r>
        <w:rPr>
          <w:rFonts w:hint="eastAsia" w:ascii="Times New Roman" w:hAnsi="Times New Roman" w:cs="Times New Roman"/>
          <w:lang w:val="en-US" w:eastAsia="zh"/>
        </w:rPr>
        <w:t xml:space="preserve"> </w:t>
      </w:r>
      <w:r>
        <w:rPr>
          <w:rFonts w:hint="default" w:ascii="Times New Roman" w:hAnsi="Times New Roman" w:cs="Times New Roman"/>
          <w:lang w:val="en-US" w:eastAsia="zh"/>
        </w:rPr>
        <w:t>for</w:t>
      </w:r>
      <w:r>
        <w:rPr>
          <w:rFonts w:hint="eastAsia" w:ascii="Times New Roman" w:hAnsi="Times New Roman" w:cs="Times New Roman"/>
          <w:lang w:val="en-US" w:eastAsia="zh"/>
        </w:rPr>
        <w:t xml:space="preserve"> </w:t>
      </w:r>
      <w:r>
        <w:rPr>
          <w:rFonts w:hint="default" w:ascii="Times New Roman" w:hAnsi="Times New Roman" w:cs="Times New Roman"/>
          <w:lang w:val="en-US" w:eastAsia="zh"/>
        </w:rPr>
        <w:t>NJU-Bai1</w:t>
      </w:r>
      <w:r>
        <w:rPr>
          <w:rFonts w:hint="eastAsia" w:ascii="Times New Roman" w:hAnsi="Times New Roman" w:cs="Times New Roman"/>
          <w:lang w:val="en-US" w:eastAsia="zh"/>
        </w:rPr>
        <w:t xml:space="preserve"> </w:t>
      </w:r>
      <w:r>
        <w:rPr>
          <w:rFonts w:hint="default" w:ascii="Times New Roman" w:hAnsi="Times New Roman" w:cs="Times New Roman"/>
          <w:lang w:val="en-US" w:eastAsia="zh"/>
        </w:rPr>
        <w:t>indicated</w:t>
      </w:r>
      <w:r>
        <w:rPr>
          <w:rFonts w:hint="eastAsia" w:ascii="Times New Roman" w:hAnsi="Times New Roman" w:cs="Times New Roman"/>
          <w:lang w:val="en-US" w:eastAsia="zh"/>
        </w:rPr>
        <w:t xml:space="preserve"> </w:t>
      </w:r>
      <w:r>
        <w:rPr>
          <w:rFonts w:hint="default" w:ascii="Times New Roman" w:hAnsi="Times New Roman" w:cs="Times New Roman"/>
          <w:lang w:val="en-US" w:eastAsia="zh"/>
        </w:rPr>
        <w:t>that they are almost non-crystalline products with different meso- and microstructure</w:t>
      </w:r>
      <w:bookmarkStart w:id="0" w:name="_GoBack"/>
      <w:r>
        <w:rPr>
          <w:rFonts w:ascii="Times New Roman" w:hAnsi="Times New Roman" w:cs="Times New Roman"/>
          <w:color w:val="auto"/>
          <w:lang w:eastAsia="zh"/>
        </w:rPr>
        <w:fldChar w:fldCharType="begin"/>
      </w:r>
      <w:r>
        <w:rPr>
          <w:rFonts w:ascii="Times New Roman" w:hAnsi="Times New Roman" w:cs="Times New Roman"/>
          <w:color w:val="auto"/>
          <w:lang w:eastAsia="zh"/>
        </w:rPr>
        <w:instrText xml:space="preserve"> ADDIN ZOTERO_ITEM CSL_CITATION {"citationID":"MsVDH5Nm","properties":{"unsorted":false,"formattedCitation":"\\super 24\\nosupersub{}","plainCitation":"24","noteIndex":0},"citationItems":[{"id":11480,"uris":["http://zotero.org/users/10807631/items/IL5IBSW9"],"itemData":{"id":11480,"type":"article-journal","container-title":"Chemical Communications","DOI":"10.1039/c0cc04146g","ISSN":"1359-7345, 1364-548X","issue":"9","journalAbbreviation":"Chem. Commun.","language":"en","note":"JCR分区: Q2\n中科院分区升级版: 化学2区\n影响因子: 4.3\n5年影响因子: 3.8\nEI: 是\n南农高质量: B","page":"2556","source":"DOI.org (Crossref)","title":"Controlling the shifting degree of interpenetrated metal–organic frameworks by modulator and temperature and their hydrogen adsorption properties","URL":"https://pubs.rsc.org/cc/article/47/9/2556-2558/328697","volume":"47","author":[{"family":"Duan","given":"Jingui"},{"family":"Bai","given":"Junfeng"},{"family":"Zheng","given":"Baishu"},{"family":"Li","given":"Yizhi"},{"family":"Ren","given":"Wenchao"}],"accessed":{"date-parts":[["2026",8,16]]},"issued":{"date-parts":[["2011"]]}}}],"schema":"https://github.com/citation-style-language/schema/raw/master/csl-citation.json"} </w:instrText>
      </w:r>
      <w:r>
        <w:rPr>
          <w:rFonts w:ascii="Times New Roman" w:hAnsi="Times New Roman" w:cs="Times New Roman"/>
          <w:color w:val="auto"/>
          <w:lang w:eastAsia="zh"/>
        </w:rPr>
        <w:fldChar w:fldCharType="separate"/>
      </w:r>
      <w:r>
        <w:rPr>
          <w:rFonts w:ascii="Times New Roman" w:hAnsi="Times New Roman" w:cs="Times New Roman"/>
          <w:color w:val="auto"/>
          <w:kern w:val="0"/>
          <w:vertAlign w:val="superscript"/>
        </w:rPr>
        <w:t>24</w:t>
      </w:r>
      <w:r>
        <w:rPr>
          <w:rFonts w:ascii="Times New Roman" w:hAnsi="Times New Roman" w:cs="Times New Roman"/>
          <w:color w:val="auto"/>
          <w:lang w:eastAsia="zh"/>
        </w:rPr>
        <w:fldChar w:fldCharType="end"/>
      </w:r>
      <w:r>
        <w:rPr>
          <w:rFonts w:hint="eastAsia" w:ascii="Times New Roman" w:hAnsi="Times New Roman" w:cs="Times New Roman"/>
          <w:color w:val="auto"/>
          <w:lang w:val="en-US" w:eastAsia="zh-CN"/>
        </w:rPr>
        <w:t>.</w:t>
      </w:r>
      <w:bookmarkEnd w:id="0"/>
      <w:r>
        <w:rPr>
          <w:rFonts w:ascii="Times New Roman" w:hAnsi="Times New Roman" w:cs="Times New Roman"/>
        </w:rPr>
        <w:t xml:space="preserve"> TGA results (Supplementary Fig. 9) indicated that guest-solvent desorption occurred mainly between 50 °C and 300 °C, followed by major framework decomposition at higher temperatures, around 500 °C. To evaluate the permanent porosity and pore characteristics of the activated MOFs, N</w:t>
      </w:r>
      <w:r>
        <w:rPr>
          <w:rFonts w:ascii="Times New Roman" w:hAnsi="Times New Roman" w:cs="Times New Roman"/>
          <w:vertAlign w:val="subscript"/>
        </w:rPr>
        <w:t>2</w:t>
      </w:r>
      <w:r>
        <w:rPr>
          <w:rFonts w:ascii="Times New Roman" w:hAnsi="Times New Roman" w:cs="Times New Roman"/>
        </w:rPr>
        <w:t xml:space="preserve"> adsorption–desorption isotherms were collected at 77 K (Supplementary Fig. 10). The total N</w:t>
      </w:r>
      <w:r>
        <w:rPr>
          <w:rFonts w:ascii="Times New Roman" w:hAnsi="Times New Roman" w:cs="Times New Roman"/>
          <w:vertAlign w:val="subscript"/>
        </w:rPr>
        <w:t>2</w:t>
      </w:r>
      <w:r>
        <w:rPr>
          <w:rFonts w:ascii="Times New Roman" w:hAnsi="Times New Roman" w:cs="Times New Roman"/>
        </w:rPr>
        <w:t xml:space="preserve"> uptake followed the order UiO-67-Me &gt; MOF-515 &gt; PCN-700-(CF</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2</w:t>
      </w:r>
      <w:r>
        <w:rPr>
          <w:rFonts w:ascii="Times New Roman" w:hAnsi="Times New Roman" w:cs="Times New Roman"/>
        </w:rPr>
        <w:t xml:space="preserve"> &gt; NJU-Bai1. Correspondingly, the BET surface areas derived from the N</w:t>
      </w:r>
      <w:r>
        <w:rPr>
          <w:rFonts w:ascii="Times New Roman" w:hAnsi="Times New Roman" w:cs="Times New Roman"/>
          <w:vertAlign w:val="subscript"/>
        </w:rPr>
        <w:t>2</w:t>
      </w:r>
      <w:r>
        <w:rPr>
          <w:rFonts w:ascii="Times New Roman" w:hAnsi="Times New Roman" w:cs="Times New Roman"/>
        </w:rPr>
        <w:t xml:space="preserve"> sorption isotherms were 2,852, 2,007, 942 and 101 m</w:t>
      </w:r>
      <w:r>
        <w:rPr>
          <w:rFonts w:ascii="Times New Roman" w:hAnsi="Times New Roman" w:cs="Times New Roman"/>
          <w:vertAlign w:val="superscript"/>
        </w:rPr>
        <w:t>2</w:t>
      </w:r>
      <w:r>
        <w:rPr>
          <w:rFonts w:ascii="Times New Roman" w:hAnsi="Times New Roman" w:cs="Times New Roman"/>
        </w:rPr>
        <w:t> g</w:t>
      </w:r>
      <w:r>
        <w:rPr>
          <w:rFonts w:ascii="Times New Roman" w:hAnsi="Times New Roman" w:cs="Times New Roman"/>
          <w:vertAlign w:val="superscript"/>
        </w:rPr>
        <w:t>-1</w:t>
      </w:r>
      <w:r>
        <w:rPr>
          <w:rFonts w:ascii="Times New Roman" w:hAnsi="Times New Roman" w:cs="Times New Roman"/>
        </w:rPr>
        <w:t>, respectively (Supplementary Fig. 11). Pore-size analysis further indicated that MOF-515 was predominantly microporous, whereas the other three materials exhibited broader pore-size distributions extending into the mesopore range (Supplementary Fig. 12). FTIR spectra (Supplementary Fig. 13) showed prominent bands in the coordinated-carboxylate stretching region around 1,600–1,400 cm</w:t>
      </w:r>
      <w:r>
        <w:rPr>
          <w:rFonts w:ascii="Times New Roman" w:hAnsi="Times New Roman" w:cs="Times New Roman"/>
          <w:vertAlign w:val="superscript"/>
        </w:rPr>
        <w:t>-1</w:t>
      </w:r>
      <w:r>
        <w:rPr>
          <w:rFonts w:ascii="Times New Roman" w:hAnsi="Times New Roman" w:cs="Times New Roman"/>
        </w:rPr>
        <w:t>, together with ligand-specific vibrations in the 1,300–1,100 cm</w:t>
      </w:r>
      <w:r>
        <w:rPr>
          <w:rFonts w:ascii="Times New Roman" w:hAnsi="Times New Roman" w:cs="Times New Roman"/>
          <w:vertAlign w:val="superscript"/>
        </w:rPr>
        <w:t>-1</w:t>
      </w:r>
      <w:r>
        <w:rPr>
          <w:rFonts w:ascii="Times New Roman" w:hAnsi="Times New Roman" w:cs="Times New Roman"/>
        </w:rPr>
        <w:t xml:space="preserve"> region, including C–N-associated features for MOF-515 and C–F stretching features for PCN-700-(CF</w:t>
      </w:r>
      <w:r>
        <w:rPr>
          <w:rFonts w:ascii="Times New Roman" w:hAnsi="Times New Roman" w:cs="Times New Roman"/>
          <w:vertAlign w:val="subscript"/>
        </w:rPr>
        <w:t>3</w:t>
      </w:r>
      <w:r>
        <w:rPr>
          <w:rFonts w:ascii="Times New Roman" w:hAnsi="Times New Roman" w:cs="Times New Roman"/>
        </w:rPr>
        <w:t>)</w:t>
      </w:r>
      <w:r>
        <w:rPr>
          <w:rFonts w:ascii="Times New Roman" w:hAnsi="Times New Roman" w:cs="Times New Roman"/>
          <w:vertAlign w:val="subscript"/>
        </w:rPr>
        <w:t>2</w:t>
      </w:r>
      <w:r>
        <w:rPr>
          <w:rFonts w:ascii="Times New Roman" w:hAnsi="Times New Roman" w:cs="Times New Roman"/>
        </w:rPr>
        <w:t>, further supporting formation of the expected MOF frameworks.</w:t>
      </w:r>
    </w:p>
    <w:p>
      <w:pPr>
        <w:ind w:firstLine="420" w:firstLineChars="200"/>
        <w:rPr>
          <w:rFonts w:ascii="Times New Roman" w:hAnsi="Times New Roman" w:cs="Times New Roman"/>
          <w:lang w:eastAsia="zh"/>
        </w:rPr>
      </w:pPr>
    </w:p>
    <w:p>
      <w:pPr>
        <w:jc w:val="center"/>
        <w:rPr>
          <w:rFonts w:ascii="Times New Roman" w:hAnsi="Times New Roman" w:cs="Times New Roman"/>
          <w:b/>
          <w:bCs/>
          <w:sz w:val="28"/>
          <w:szCs w:val="28"/>
        </w:rPr>
      </w:pPr>
      <w:r>
        <w:rPr>
          <w:rFonts w:ascii="Times New Roman" w:hAnsi="Times New Roman" w:cs="Times New Roman"/>
          <w:b/>
          <w:bCs/>
          <w:sz w:val="28"/>
          <w:szCs w:val="28"/>
        </w:rPr>
        <w:drawing>
          <wp:inline distT="0" distB="0" distL="114300" distR="114300">
            <wp:extent cx="3058795" cy="2411095"/>
            <wp:effectExtent l="0" t="0" r="4445" b="12065"/>
            <wp:docPr id="8" name="图片 8" descr="D:/OneDrive/桌面/文章/5/data/Code/Code19-/SI/9/XRD_submission_final.tifXRD_submission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OneDrive/桌面/文章/5/data/Code/Code19-/SI/9/XRD_submission_final.tifXRD_submission_final"/>
                    <pic:cNvPicPr>
                      <a:picLocks noChangeAspect="1"/>
                    </pic:cNvPicPr>
                  </pic:nvPicPr>
                  <pic:blipFill>
                    <a:blip r:embed="rId11"/>
                    <a:srcRect l="21" r="21"/>
                    <a:stretch>
                      <a:fillRect/>
                    </a:stretch>
                  </pic:blipFill>
                  <pic:spPr>
                    <a:xfrm>
                      <a:off x="0" y="0"/>
                      <a:ext cx="3058795" cy="2411095"/>
                    </a:xfrm>
                    <a:prstGeom prst="rect">
                      <a:avLst/>
                    </a:prstGeom>
                  </pic:spPr>
                </pic:pic>
              </a:graphicData>
            </a:graphic>
          </wp:inline>
        </w:drawing>
      </w:r>
    </w:p>
    <w:p>
      <w:pPr>
        <w:rPr>
          <w:rFonts w:ascii="Times New Roman" w:hAnsi="Times New Roman" w:cs="Times New Roman"/>
        </w:rPr>
      </w:pPr>
      <w:r>
        <w:rPr>
          <w:rFonts w:ascii="Times New Roman" w:hAnsi="Times New Roman" w:cs="Times New Roman"/>
          <w:b/>
        </w:rPr>
        <w:t xml:space="preserve">Supplementary Figure </w:t>
      </w:r>
      <w:r>
        <w:rPr>
          <w:rFonts w:ascii="Times New Roman" w:hAnsi="Times New Roman" w:eastAsia="宋体" w:cs="Times New Roman"/>
          <w:b/>
        </w:rPr>
        <w:t>7</w:t>
      </w:r>
      <w:r>
        <w:rPr>
          <w:rFonts w:ascii="Times New Roman" w:hAnsi="Times New Roman" w:cs="Times New Roman"/>
          <w:b/>
        </w:rPr>
        <w:t xml:space="preserve"> | XRD patterns </w:t>
      </w:r>
      <w:r>
        <w:rPr>
          <w:rFonts w:ascii="Times New Roman" w:hAnsi="Times New Roman" w:cs="Times New Roman"/>
          <w:b/>
          <w:lang w:eastAsia="zh"/>
        </w:rPr>
        <w:t xml:space="preserve">the </w:t>
      </w:r>
      <w:r>
        <w:rPr>
          <w:rFonts w:ascii="Times New Roman" w:hAnsi="Times New Roman" w:cs="Times New Roman"/>
          <w:b/>
        </w:rPr>
        <w:t>as-synthesized</w:t>
      </w:r>
      <w:r>
        <w:rPr>
          <w:rFonts w:ascii="Times New Roman" w:hAnsi="Times New Roman" w:cs="Times New Roman"/>
          <w:b/>
          <w:lang w:eastAsia="zh"/>
        </w:rPr>
        <w:t xml:space="preserve"> MOFs</w:t>
      </w:r>
      <w:r>
        <w:rPr>
          <w:rFonts w:ascii="Times New Roman" w:hAnsi="Times New Roman" w:cs="Times New Roman"/>
          <w:b/>
        </w:rPr>
        <w:t xml:space="preserve"> at N</w:t>
      </w:r>
      <w:r>
        <w:rPr>
          <w:rFonts w:ascii="Times New Roman" w:hAnsi="Times New Roman" w:cs="Times New Roman"/>
          <w:b/>
          <w:vertAlign w:val="subscript"/>
        </w:rPr>
        <w:t>2</w:t>
      </w:r>
      <w:r>
        <w:rPr>
          <w:rFonts w:ascii="Times New Roman" w:hAnsi="Times New Roman" w:cs="Times New Roman"/>
          <w:b/>
        </w:rPr>
        <w:t xml:space="preserve"> atmosphere.</w:t>
      </w:r>
    </w:p>
    <w:p>
      <w:pPr>
        <w:rPr>
          <w:rFonts w:ascii="Times New Roman" w:hAnsi="Times New Roman" w:cs="Times New Roman"/>
        </w:rPr>
      </w:pPr>
    </w:p>
    <w:p>
      <w:pPr>
        <w:jc w:val="center"/>
        <w:rPr>
          <w:rFonts w:ascii="Times New Roman" w:hAnsi="Times New Roman" w:cs="Times New Roman"/>
        </w:rPr>
      </w:pPr>
      <w:r>
        <w:rPr>
          <w:rFonts w:ascii="Times New Roman" w:hAnsi="Times New Roman" w:cs="Times New Roman"/>
        </w:rPr>
        <w:drawing>
          <wp:inline distT="0" distB="0" distL="114300" distR="114300">
            <wp:extent cx="3982720" cy="2966720"/>
            <wp:effectExtent l="0" t="0" r="1016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stretch>
                      <a:fillRect/>
                    </a:stretch>
                  </pic:blipFill>
                  <pic:spPr>
                    <a:xfrm>
                      <a:off x="0" y="0"/>
                      <a:ext cx="3982720" cy="2966720"/>
                    </a:xfrm>
                    <a:prstGeom prst="rect">
                      <a:avLst/>
                    </a:prstGeom>
                  </pic:spPr>
                </pic:pic>
              </a:graphicData>
            </a:graphic>
          </wp:inline>
        </w:drawing>
      </w:r>
    </w:p>
    <w:p>
      <w:pPr>
        <w:rPr>
          <w:rFonts w:ascii="Times New Roman" w:hAnsi="Times New Roman" w:cs="Times New Roman"/>
        </w:rPr>
      </w:pPr>
    </w:p>
    <w:p>
      <w:pPr>
        <w:rPr>
          <w:rFonts w:ascii="Times New Roman" w:hAnsi="Times New Roman" w:cs="Times New Roman"/>
        </w:rPr>
      </w:pPr>
      <w:r>
        <w:rPr>
          <w:rFonts w:ascii="Times New Roman" w:hAnsi="Times New Roman" w:cs="Times New Roman"/>
          <w:b/>
        </w:rPr>
        <w:t xml:space="preserve">Supplementary Figure </w:t>
      </w:r>
      <w:r>
        <w:rPr>
          <w:rFonts w:ascii="Times New Roman" w:hAnsi="Times New Roman" w:eastAsia="宋体" w:cs="Times New Roman"/>
          <w:b/>
        </w:rPr>
        <w:t>8</w:t>
      </w:r>
      <w:r>
        <w:rPr>
          <w:rFonts w:ascii="Times New Roman" w:hAnsi="Times New Roman" w:cs="Times New Roman"/>
          <w:b/>
        </w:rPr>
        <w:t xml:space="preserve"> | The SEM image of </w:t>
      </w:r>
      <w:r>
        <w:rPr>
          <w:rFonts w:ascii="Times New Roman" w:hAnsi="Times New Roman" w:cs="Times New Roman"/>
          <w:b/>
          <w:lang w:eastAsia="zh"/>
        </w:rPr>
        <w:t>a)MOF-515,b)</w:t>
      </w:r>
      <w:r>
        <w:rPr>
          <w:rFonts w:ascii="Times New Roman" w:hAnsi="Times New Roman" w:cs="Times New Roman"/>
          <w:b/>
        </w:rPr>
        <w:t>UiO-67-Me</w:t>
      </w:r>
      <w:r>
        <w:rPr>
          <w:rFonts w:ascii="Times New Roman" w:hAnsi="Times New Roman" w:cs="Times New Roman"/>
          <w:b/>
          <w:lang w:eastAsia="zh"/>
        </w:rPr>
        <w:t>, c)</w:t>
      </w:r>
      <w:r>
        <w:rPr>
          <w:rFonts w:ascii="Times New Roman" w:hAnsi="Times New Roman" w:cs="Times New Roman"/>
          <w:b/>
        </w:rPr>
        <w:t>NJU-Bai1</w:t>
      </w:r>
      <w:r>
        <w:rPr>
          <w:rFonts w:ascii="Times New Roman" w:hAnsi="Times New Roman" w:cs="Times New Roman"/>
          <w:b/>
          <w:lang w:eastAsia="zh"/>
        </w:rPr>
        <w:t>,d)</w:t>
      </w:r>
      <w:r>
        <w:rPr>
          <w:rFonts w:ascii="Times New Roman" w:hAnsi="Times New Roman" w:cs="Times New Roman"/>
          <w:b/>
        </w:rPr>
        <w:t xml:space="preserve"> PCN-700-(CF</w:t>
      </w:r>
      <w:r>
        <w:rPr>
          <w:rFonts w:ascii="Times New Roman" w:hAnsi="Times New Roman" w:cs="Times New Roman"/>
          <w:b/>
          <w:vertAlign w:val="subscript"/>
        </w:rPr>
        <w:t>3</w:t>
      </w:r>
      <w:r>
        <w:rPr>
          <w:rFonts w:ascii="Times New Roman" w:hAnsi="Times New Roman" w:cs="Times New Roman"/>
          <w:b/>
        </w:rPr>
        <w:t>)</w:t>
      </w:r>
      <w:r>
        <w:rPr>
          <w:rFonts w:ascii="Times New Roman" w:hAnsi="Times New Roman" w:cs="Times New Roman"/>
          <w:b/>
          <w:vertAlign w:val="subscript"/>
        </w:rPr>
        <w:t>2</w:t>
      </w:r>
      <w:r>
        <w:rPr>
          <w:rFonts w:ascii="Times New Roman" w:hAnsi="Times New Roman" w:cs="Times New Roman"/>
          <w:b/>
        </w:rPr>
        <w:t>.</w:t>
      </w:r>
    </w:p>
    <w:p>
      <w:pPr>
        <w:jc w:val="center"/>
        <w:rPr>
          <w:rFonts w:ascii="Times New Roman" w:hAnsi="Times New Roman" w:cs="Times New Roman"/>
        </w:rPr>
      </w:pPr>
      <w:r>
        <w:rPr>
          <w:rFonts w:ascii="Times New Roman" w:hAnsi="Times New Roman" w:cs="Times New Roman"/>
        </w:rPr>
        <w:drawing>
          <wp:inline distT="0" distB="0" distL="114300" distR="114300">
            <wp:extent cx="3386455" cy="2693035"/>
            <wp:effectExtent l="0" t="0" r="12065" b="4445"/>
            <wp:docPr id="6" name="图片 6" descr="D:/OneDrive/桌面/文章/5/data/Code/Code19-/SI/9/TGA_submission.tifTGA_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OneDrive/桌面/文章/5/data/Code/Code19-/SI/9/TGA_submission.tifTGA_submission"/>
                    <pic:cNvPicPr>
                      <a:picLocks noChangeAspect="1"/>
                    </pic:cNvPicPr>
                  </pic:nvPicPr>
                  <pic:blipFill>
                    <a:blip r:embed="rId13"/>
                    <a:srcRect l="436" r="436"/>
                    <a:stretch>
                      <a:fillRect/>
                    </a:stretch>
                  </pic:blipFill>
                  <pic:spPr>
                    <a:xfrm>
                      <a:off x="0" y="0"/>
                      <a:ext cx="3386455" cy="2693035"/>
                    </a:xfrm>
                    <a:prstGeom prst="rect">
                      <a:avLst/>
                    </a:prstGeom>
                  </pic:spPr>
                </pic:pic>
              </a:graphicData>
            </a:graphic>
          </wp:inline>
        </w:drawing>
      </w:r>
    </w:p>
    <w:p>
      <w:pPr>
        <w:jc w:val="center"/>
        <w:rPr>
          <w:rFonts w:ascii="Times New Roman" w:hAnsi="Times New Roman" w:cs="Times New Roman"/>
        </w:rPr>
      </w:pPr>
      <w:r>
        <w:rPr>
          <w:rFonts w:ascii="Times New Roman" w:hAnsi="Times New Roman" w:cs="Times New Roman"/>
          <w:b/>
        </w:rPr>
        <w:t xml:space="preserve">Supplementary Figure </w:t>
      </w:r>
      <w:r>
        <w:rPr>
          <w:rFonts w:ascii="Times New Roman" w:hAnsi="Times New Roman" w:eastAsia="宋体" w:cs="Times New Roman"/>
          <w:b/>
        </w:rPr>
        <w:t>9</w:t>
      </w:r>
      <w:r>
        <w:rPr>
          <w:rFonts w:ascii="Times New Roman" w:hAnsi="Times New Roman" w:cs="Times New Roman"/>
          <w:b/>
        </w:rPr>
        <w:t xml:space="preserve"> | TGA proﬁle for </w:t>
      </w:r>
      <w:r>
        <w:rPr>
          <w:rFonts w:ascii="Times New Roman" w:hAnsi="Times New Roman" w:cs="Times New Roman"/>
          <w:b/>
          <w:lang w:eastAsia="zh"/>
        </w:rPr>
        <w:t xml:space="preserve">the </w:t>
      </w:r>
      <w:r>
        <w:rPr>
          <w:rFonts w:ascii="Times New Roman" w:hAnsi="Times New Roman" w:cs="Times New Roman"/>
          <w:b/>
        </w:rPr>
        <w:t>as-synthesized</w:t>
      </w:r>
      <w:r>
        <w:rPr>
          <w:rFonts w:ascii="Times New Roman" w:hAnsi="Times New Roman" w:cs="Times New Roman"/>
          <w:b/>
          <w:lang w:eastAsia="zh"/>
        </w:rPr>
        <w:t xml:space="preserve"> MOFs</w:t>
      </w:r>
      <w:r>
        <w:rPr>
          <w:rFonts w:ascii="Times New Roman" w:hAnsi="Times New Roman" w:cs="Times New Roman"/>
          <w:b/>
        </w:rPr>
        <w:t xml:space="preserve"> at N</w:t>
      </w:r>
      <w:r>
        <w:rPr>
          <w:rFonts w:ascii="Times New Roman" w:hAnsi="Times New Roman" w:cs="Times New Roman"/>
          <w:b/>
          <w:vertAlign w:val="subscript"/>
        </w:rPr>
        <w:t>2</w:t>
      </w:r>
      <w:r>
        <w:rPr>
          <w:rFonts w:ascii="Times New Roman" w:hAnsi="Times New Roman" w:cs="Times New Roman"/>
          <w:b/>
        </w:rPr>
        <w:t xml:space="preserve"> atmosphere.</w:t>
      </w:r>
    </w:p>
    <w:p>
      <w:pPr>
        <w:jc w:val="center"/>
        <w:rPr>
          <w:rFonts w:ascii="Times New Roman" w:hAnsi="Times New Roman" w:cs="Times New Roman"/>
        </w:rPr>
      </w:pPr>
      <w:r>
        <w:rPr>
          <w:rFonts w:ascii="Times New Roman" w:hAnsi="Times New Roman" w:cs="Times New Roman"/>
        </w:rPr>
        <w:drawing>
          <wp:inline distT="0" distB="0" distL="114300" distR="114300">
            <wp:extent cx="4329430" cy="3621405"/>
            <wp:effectExtent l="0" t="0" r="13970" b="5715"/>
            <wp:docPr id="7" name="图片 7" descr="D:/OneDrive/桌面/文章/5/data/Code/Code19-/SI/9/N2_adsorption_desorption_submission.tifN2_adsorption_desorption_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OneDrive/桌面/文章/5/data/Code/Code19-/SI/9/N2_adsorption_desorption_submission.tifN2_adsorption_desorption_submission"/>
                    <pic:cNvPicPr>
                      <a:picLocks noChangeAspect="1"/>
                    </pic:cNvPicPr>
                  </pic:nvPicPr>
                  <pic:blipFill>
                    <a:blip r:embed="rId14"/>
                    <a:srcRect l="2884" r="2884"/>
                    <a:stretch>
                      <a:fillRect/>
                    </a:stretch>
                  </pic:blipFill>
                  <pic:spPr>
                    <a:xfrm>
                      <a:off x="0" y="0"/>
                      <a:ext cx="4329430" cy="3621405"/>
                    </a:xfrm>
                    <a:prstGeom prst="rect">
                      <a:avLst/>
                    </a:prstGeom>
                  </pic:spPr>
                </pic:pic>
              </a:graphicData>
            </a:graphic>
          </wp:inline>
        </w:drawing>
      </w:r>
    </w:p>
    <w:p>
      <w:pPr>
        <w:jc w:val="center"/>
        <w:rPr>
          <w:rFonts w:ascii="Times New Roman" w:hAnsi="Times New Roman" w:cs="Times New Roman"/>
        </w:rPr>
      </w:pPr>
      <w:r>
        <w:rPr>
          <w:rFonts w:ascii="Times New Roman" w:hAnsi="Times New Roman" w:cs="Times New Roman"/>
          <w:b/>
        </w:rPr>
        <w:t xml:space="preserve">Supplementary Figure </w:t>
      </w:r>
      <w:r>
        <w:rPr>
          <w:rFonts w:ascii="Times New Roman" w:hAnsi="Times New Roman" w:eastAsia="宋体" w:cs="Times New Roman"/>
          <w:b/>
        </w:rPr>
        <w:t>10</w:t>
      </w:r>
      <w:r>
        <w:rPr>
          <w:rFonts w:ascii="Times New Roman" w:hAnsi="Times New Roman" w:cs="Times New Roman"/>
          <w:b/>
        </w:rPr>
        <w:t xml:space="preserve"> | N</w:t>
      </w:r>
      <w:r>
        <w:rPr>
          <w:rFonts w:ascii="Times New Roman" w:hAnsi="Times New Roman" w:cs="Times New Roman"/>
          <w:b/>
          <w:vertAlign w:val="subscript"/>
        </w:rPr>
        <w:t>2</w:t>
      </w:r>
      <w:r>
        <w:rPr>
          <w:rFonts w:ascii="Times New Roman" w:hAnsi="Times New Roman" w:cs="Times New Roman"/>
          <w:b/>
        </w:rPr>
        <w:t xml:space="preserve"> adsorption–desorption isotherms at 77 K for </w:t>
      </w:r>
      <w:r>
        <w:rPr>
          <w:rFonts w:ascii="Times New Roman" w:hAnsi="Times New Roman" w:cs="Times New Roman"/>
          <w:b/>
          <w:lang w:eastAsia="zh"/>
        </w:rPr>
        <w:t xml:space="preserve">the </w:t>
      </w:r>
      <w:r>
        <w:rPr>
          <w:rFonts w:ascii="Times New Roman" w:hAnsi="Times New Roman" w:cs="Times New Roman"/>
          <w:b/>
        </w:rPr>
        <w:t>as-synthesized</w:t>
      </w:r>
      <w:r>
        <w:rPr>
          <w:rFonts w:ascii="Times New Roman" w:hAnsi="Times New Roman" w:cs="Times New Roman"/>
          <w:b/>
          <w:lang w:eastAsia="zh"/>
        </w:rPr>
        <w:t xml:space="preserve"> MOFs</w:t>
      </w:r>
      <w:r>
        <w:rPr>
          <w:rFonts w:ascii="Times New Roman" w:hAnsi="Times New Roman" w:cs="Times New Roman"/>
          <w:b/>
        </w:rPr>
        <w:t>.</w:t>
      </w:r>
    </w:p>
    <w:p>
      <w:pPr>
        <w:rPr>
          <w:rFonts w:ascii="Times New Roman" w:hAnsi="Times New Roman" w:cs="Times New Roman"/>
        </w:rPr>
      </w:pPr>
    </w:p>
    <w:p>
      <w:pPr>
        <w:jc w:val="center"/>
        <w:rPr>
          <w:rFonts w:ascii="Times New Roman" w:hAnsi="Times New Roman" w:cs="Times New Roman"/>
        </w:rPr>
      </w:pPr>
      <w:r>
        <w:rPr>
          <w:rFonts w:ascii="Times New Roman" w:hAnsi="Times New Roman" w:eastAsia="AdvTTe692faf0" w:cs="Times New Roman"/>
          <w:color w:val="000000"/>
          <w:sz w:val="14"/>
          <w:szCs w:val="14"/>
          <w:lang w:eastAsia="zh"/>
        </w:rPr>
        <w:drawing>
          <wp:inline distT="0" distB="0" distL="114300" distR="114300">
            <wp:extent cx="4482465" cy="3348355"/>
            <wp:effectExtent l="0" t="0" r="13335"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5"/>
                    <a:stretch>
                      <a:fillRect/>
                    </a:stretch>
                  </pic:blipFill>
                  <pic:spPr>
                    <a:xfrm>
                      <a:off x="0" y="0"/>
                      <a:ext cx="4482465" cy="3348355"/>
                    </a:xfrm>
                    <a:prstGeom prst="rect">
                      <a:avLst/>
                    </a:prstGeom>
                  </pic:spPr>
                </pic:pic>
              </a:graphicData>
            </a:graphic>
          </wp:inline>
        </w:drawing>
      </w:r>
    </w:p>
    <w:p>
      <w:pPr>
        <w:jc w:val="center"/>
        <w:rPr>
          <w:rFonts w:ascii="Times New Roman" w:hAnsi="Times New Roman" w:cs="Times New Roman"/>
        </w:rPr>
      </w:pPr>
      <w:r>
        <w:rPr>
          <w:rFonts w:ascii="Times New Roman" w:hAnsi="Times New Roman" w:cs="Times New Roman"/>
          <w:b/>
        </w:rPr>
        <w:t xml:space="preserve">Supplementary Figure </w:t>
      </w:r>
      <w:r>
        <w:rPr>
          <w:rFonts w:ascii="Times New Roman" w:hAnsi="Times New Roman" w:eastAsia="宋体" w:cs="Times New Roman"/>
          <w:b/>
        </w:rPr>
        <w:t>11</w:t>
      </w:r>
      <w:r>
        <w:rPr>
          <w:rFonts w:ascii="Times New Roman" w:hAnsi="Times New Roman" w:cs="Times New Roman"/>
          <w:b/>
        </w:rPr>
        <w:t xml:space="preserve"> | Plot of the linear region on the N</w:t>
      </w:r>
      <w:r>
        <w:rPr>
          <w:rFonts w:ascii="Times New Roman" w:hAnsi="Times New Roman" w:cs="Times New Roman"/>
          <w:b/>
          <w:vertAlign w:val="subscript"/>
        </w:rPr>
        <w:t>2</w:t>
      </w:r>
      <w:r>
        <w:rPr>
          <w:rFonts w:ascii="Times New Roman" w:hAnsi="Times New Roman" w:cs="Times New Roman"/>
          <w:b/>
        </w:rPr>
        <w:t xml:space="preserve"> isotherm of </w:t>
      </w:r>
      <w:r>
        <w:rPr>
          <w:rFonts w:ascii="Times New Roman" w:hAnsi="Times New Roman" w:cs="Times New Roman"/>
          <w:b/>
          <w:lang w:eastAsia="zh"/>
        </w:rPr>
        <w:t>a)MOF-515,</w:t>
      </w:r>
      <w:r>
        <w:rPr>
          <w:rFonts w:ascii="Times New Roman" w:hAnsi="Times New Roman" w:cs="Times New Roman"/>
          <w:b/>
        </w:rPr>
        <w:t xml:space="preserve"> </w:t>
      </w:r>
      <w:r>
        <w:rPr>
          <w:rFonts w:ascii="Times New Roman" w:hAnsi="Times New Roman" w:cs="Times New Roman"/>
          <w:b/>
          <w:lang w:eastAsia="zh"/>
        </w:rPr>
        <w:t>b)</w:t>
      </w:r>
      <w:r>
        <w:rPr>
          <w:rFonts w:ascii="Times New Roman" w:hAnsi="Times New Roman" w:cs="Times New Roman"/>
          <w:b/>
        </w:rPr>
        <w:t>UiO-67-Me</w:t>
      </w:r>
      <w:r>
        <w:rPr>
          <w:rFonts w:ascii="Times New Roman" w:hAnsi="Times New Roman" w:cs="Times New Roman"/>
          <w:b/>
          <w:lang w:eastAsia="zh"/>
        </w:rPr>
        <w:t>, c)</w:t>
      </w:r>
      <w:r>
        <w:rPr>
          <w:rFonts w:ascii="Times New Roman" w:hAnsi="Times New Roman" w:cs="Times New Roman"/>
          <w:b/>
        </w:rPr>
        <w:t>NJU-Bai1</w:t>
      </w:r>
      <w:r>
        <w:rPr>
          <w:rFonts w:ascii="Times New Roman" w:hAnsi="Times New Roman" w:cs="Times New Roman"/>
          <w:b/>
          <w:lang w:eastAsia="zh"/>
        </w:rPr>
        <w:t>,</w:t>
      </w:r>
      <w:r>
        <w:rPr>
          <w:rFonts w:ascii="Times New Roman" w:hAnsi="Times New Roman" w:cs="Times New Roman"/>
          <w:b/>
        </w:rPr>
        <w:t xml:space="preserve"> </w:t>
      </w:r>
      <w:r>
        <w:rPr>
          <w:rFonts w:ascii="Times New Roman" w:hAnsi="Times New Roman" w:cs="Times New Roman"/>
          <w:b/>
          <w:lang w:eastAsia="zh"/>
        </w:rPr>
        <w:t>d)</w:t>
      </w:r>
      <w:r>
        <w:rPr>
          <w:rFonts w:ascii="Times New Roman" w:hAnsi="Times New Roman" w:cs="Times New Roman"/>
          <w:b/>
        </w:rPr>
        <w:t xml:space="preserve"> PCN-700-(CF</w:t>
      </w:r>
      <w:r>
        <w:rPr>
          <w:rFonts w:ascii="Times New Roman" w:hAnsi="Times New Roman" w:cs="Times New Roman"/>
          <w:b/>
          <w:vertAlign w:val="subscript"/>
        </w:rPr>
        <w:t>3</w:t>
      </w:r>
      <w:r>
        <w:rPr>
          <w:rFonts w:ascii="Times New Roman" w:hAnsi="Times New Roman" w:cs="Times New Roman"/>
          <w:b/>
        </w:rPr>
        <w:t>)</w:t>
      </w:r>
      <w:r>
        <w:rPr>
          <w:rFonts w:ascii="Times New Roman" w:hAnsi="Times New Roman" w:cs="Times New Roman"/>
          <w:b/>
          <w:vertAlign w:val="subscript"/>
        </w:rPr>
        <w:t>2</w:t>
      </w:r>
      <w:r>
        <w:rPr>
          <w:rFonts w:ascii="Times New Roman" w:hAnsi="Times New Roman" w:cs="Times New Roman"/>
          <w:b/>
        </w:rPr>
        <w:t xml:space="preserve"> for the BET equation.</w:t>
      </w:r>
    </w:p>
    <w:p>
      <w:pPr>
        <w:rPr>
          <w:rFonts w:ascii="Times New Roman" w:hAnsi="Times New Roman" w:cs="Times New Roman"/>
        </w:rPr>
      </w:pPr>
    </w:p>
    <w:p>
      <w:pPr>
        <w:jc w:val="center"/>
        <w:rPr>
          <w:rFonts w:ascii="Times New Roman" w:hAnsi="Times New Roman" w:cs="Times New Roman"/>
        </w:rPr>
      </w:pPr>
      <w:r>
        <w:rPr>
          <w:rFonts w:ascii="Times New Roman" w:hAnsi="Times New Roman" w:cs="Times New Roman"/>
        </w:rPr>
        <w:drawing>
          <wp:inline distT="0" distB="0" distL="114300" distR="114300">
            <wp:extent cx="4643120" cy="3455670"/>
            <wp:effectExtent l="0" t="0" r="508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6"/>
                    <a:stretch>
                      <a:fillRect/>
                    </a:stretch>
                  </pic:blipFill>
                  <pic:spPr>
                    <a:xfrm>
                      <a:off x="0" y="0"/>
                      <a:ext cx="4643120" cy="3455670"/>
                    </a:xfrm>
                    <a:prstGeom prst="rect">
                      <a:avLst/>
                    </a:prstGeom>
                  </pic:spPr>
                </pic:pic>
              </a:graphicData>
            </a:graphic>
          </wp:inline>
        </w:drawing>
      </w:r>
    </w:p>
    <w:p>
      <w:pPr>
        <w:jc w:val="center"/>
        <w:rPr>
          <w:rFonts w:ascii="Times New Roman" w:hAnsi="Times New Roman" w:cs="Times New Roman"/>
        </w:rPr>
      </w:pPr>
      <w:r>
        <w:rPr>
          <w:rFonts w:ascii="Times New Roman" w:hAnsi="Times New Roman" w:cs="Times New Roman"/>
          <w:b/>
        </w:rPr>
        <w:t xml:space="preserve">Supplementary Figure </w:t>
      </w:r>
      <w:r>
        <w:rPr>
          <w:rFonts w:ascii="Times New Roman" w:hAnsi="Times New Roman" w:eastAsia="宋体" w:cs="Times New Roman"/>
          <w:b/>
        </w:rPr>
        <w:t>12</w:t>
      </w:r>
      <w:r>
        <w:rPr>
          <w:rFonts w:ascii="Times New Roman" w:hAnsi="Times New Roman" w:cs="Times New Roman"/>
          <w:b/>
        </w:rPr>
        <w:t xml:space="preserve"> | The pore-size distribution for a)MOF-515, b)UiO-67-Me, c)NJU-Bai1,d) PCN-700-(CF</w:t>
      </w:r>
      <w:r>
        <w:rPr>
          <w:rFonts w:ascii="Times New Roman" w:hAnsi="Times New Roman" w:cs="Times New Roman"/>
          <w:b/>
          <w:vertAlign w:val="subscript"/>
        </w:rPr>
        <w:t>3</w:t>
      </w:r>
      <w:r>
        <w:rPr>
          <w:rFonts w:ascii="Times New Roman" w:hAnsi="Times New Roman" w:cs="Times New Roman"/>
          <w:b/>
        </w:rPr>
        <w:t>)</w:t>
      </w:r>
      <w:r>
        <w:rPr>
          <w:rFonts w:ascii="Times New Roman" w:hAnsi="Times New Roman" w:cs="Times New Roman"/>
          <w:b/>
          <w:vertAlign w:val="subscript"/>
        </w:rPr>
        <w:t>2</w:t>
      </w:r>
    </w:p>
    <w:p>
      <w:pPr>
        <w:rPr>
          <w:rFonts w:ascii="Times New Roman" w:hAnsi="Times New Roman" w:cs="Times New Roman"/>
        </w:rPr>
      </w:pPr>
    </w:p>
    <w:p>
      <w:pPr>
        <w:jc w:val="center"/>
        <w:rPr>
          <w:rFonts w:ascii="Times New Roman" w:hAnsi="Times New Roman" w:cs="Times New Roman"/>
        </w:rPr>
      </w:pPr>
      <w:r>
        <w:rPr>
          <w:rFonts w:ascii="Times New Roman" w:hAnsi="Times New Roman" w:cs="Times New Roman"/>
        </w:rPr>
        <w:drawing>
          <wp:inline distT="0" distB="0" distL="114300" distR="114300">
            <wp:extent cx="3060065" cy="2412365"/>
            <wp:effectExtent l="0" t="0" r="3175" b="10795"/>
            <wp:docPr id="11" name="图片 11" descr="D:/OneDrive/桌面/文章/5/data/Code/Code19-/SI/9/FTIR_submission.tifFTIR_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OneDrive/桌面/文章/5/data/Code/Code19-/SI/9/FTIR_submission.tifFTIR_submission"/>
                    <pic:cNvPicPr>
                      <a:picLocks noChangeAspect="1"/>
                    </pic:cNvPicPr>
                  </pic:nvPicPr>
                  <pic:blipFill>
                    <a:blip r:embed="rId17"/>
                    <a:srcRect/>
                    <a:stretch>
                      <a:fillRect/>
                    </a:stretch>
                  </pic:blipFill>
                  <pic:spPr>
                    <a:xfrm>
                      <a:off x="0" y="0"/>
                      <a:ext cx="3060065" cy="2412365"/>
                    </a:xfrm>
                    <a:prstGeom prst="rect">
                      <a:avLst/>
                    </a:prstGeom>
                  </pic:spPr>
                </pic:pic>
              </a:graphicData>
            </a:graphic>
          </wp:inline>
        </w:drawing>
      </w:r>
    </w:p>
    <w:p>
      <w:pPr>
        <w:jc w:val="center"/>
        <w:rPr>
          <w:rFonts w:ascii="Times New Roman" w:hAnsi="Times New Roman" w:cs="Times New Roman"/>
        </w:rPr>
      </w:pPr>
      <w:r>
        <w:rPr>
          <w:rFonts w:ascii="Times New Roman" w:hAnsi="Times New Roman" w:cs="Times New Roman"/>
          <w:b/>
        </w:rPr>
        <w:t xml:space="preserve">Supplementary Figure </w:t>
      </w:r>
      <w:r>
        <w:rPr>
          <w:rFonts w:ascii="Times New Roman" w:hAnsi="Times New Roman" w:eastAsia="宋体" w:cs="Times New Roman"/>
          <w:b/>
        </w:rPr>
        <w:t>13</w:t>
      </w:r>
      <w:r>
        <w:rPr>
          <w:rFonts w:ascii="Times New Roman" w:hAnsi="Times New Roman" w:cs="Times New Roman"/>
          <w:b/>
        </w:rPr>
        <w:t xml:space="preserve"> | FTIR spectra of the activated MOFs.</w:t>
      </w:r>
    </w:p>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rPr>
          <w:rFonts w:ascii="Times New Roman" w:hAnsi="Times New Roman" w:cs="Times New Roman"/>
          <w:b/>
          <w:bCs/>
          <w:sz w:val="24"/>
          <w:szCs w:val="24"/>
        </w:rPr>
      </w:pPr>
      <w:r>
        <w:rPr>
          <w:rFonts w:ascii="Times New Roman" w:hAnsi="Times New Roman" w:cs="Times New Roman"/>
          <w:b/>
          <w:bCs/>
          <w:sz w:val="24"/>
          <w:szCs w:val="24"/>
        </w:rPr>
        <w:t>References</w:t>
      </w:r>
    </w:p>
    <w:p>
      <w:pPr>
        <w:pStyle w:val="55"/>
        <w:rPr>
          <w:rFonts w:ascii="Times New Roman" w:hAnsi="Times New Roman" w:cs="Times New Roman"/>
        </w:rPr>
      </w:pPr>
      <w:r>
        <w:rPr>
          <w:rFonts w:ascii="Times New Roman" w:hAnsi="Times New Roman" w:cs="Times New Roman"/>
          <w:szCs w:val="24"/>
        </w:rPr>
        <w:fldChar w:fldCharType="begin"/>
      </w:r>
      <w:r>
        <w:rPr>
          <w:rFonts w:ascii="Times New Roman" w:hAnsi="Times New Roman" w:cs="Times New Roman"/>
          <w:szCs w:val="24"/>
        </w:rPr>
        <w:instrText xml:space="preserve"> ADDIN ZOTERO_BIBL {"uncited":[],"omitted":[],"custom":[]} CSL_BIBLIOGRAPHY </w:instrText>
      </w:r>
      <w:r>
        <w:rPr>
          <w:rFonts w:ascii="Times New Roman" w:hAnsi="Times New Roman" w:cs="Times New Roman"/>
          <w:szCs w:val="24"/>
        </w:rPr>
        <w:fldChar w:fldCharType="separate"/>
      </w:r>
      <w:r>
        <w:rPr>
          <w:rFonts w:ascii="Times New Roman" w:hAnsi="Times New Roman" w:cs="Times New Roman"/>
        </w:rPr>
        <w:t xml:space="preserve">1. </w:t>
      </w:r>
      <w:r>
        <w:rPr>
          <w:rFonts w:ascii="Times New Roman" w:hAnsi="Times New Roman" w:cs="Times New Roman"/>
        </w:rPr>
        <w:tab/>
      </w:r>
      <w:r>
        <w:rPr>
          <w:rFonts w:ascii="Times New Roman" w:hAnsi="Times New Roman" w:cs="Times New Roman"/>
        </w:rPr>
        <w:t xml:space="preserve">Chung, Y. G. </w:t>
      </w:r>
      <w:r>
        <w:rPr>
          <w:rFonts w:ascii="Times New Roman" w:hAnsi="Times New Roman" w:cs="Times New Roman"/>
          <w:i/>
          <w:iCs/>
        </w:rPr>
        <w:t>et al.</w:t>
      </w:r>
      <w:r>
        <w:rPr>
          <w:rFonts w:ascii="Times New Roman" w:hAnsi="Times New Roman" w:cs="Times New Roman"/>
        </w:rPr>
        <w:t xml:space="preserve"> Advances, Updates, and Analytics for the Computation-Ready, Experimental Metal–Organic Framework Database: CoRE MOF 2019. </w:t>
      </w:r>
      <w:r>
        <w:rPr>
          <w:rFonts w:ascii="Times New Roman" w:hAnsi="Times New Roman" w:cs="Times New Roman"/>
          <w:i/>
          <w:iCs/>
        </w:rPr>
        <w:t>J. Chem. Eng. Data</w:t>
      </w:r>
      <w:r>
        <w:rPr>
          <w:rFonts w:ascii="Times New Roman" w:hAnsi="Times New Roman" w:cs="Times New Roman"/>
        </w:rPr>
        <w:t xml:space="preserve"> </w:t>
      </w:r>
      <w:r>
        <w:rPr>
          <w:rFonts w:ascii="Times New Roman" w:hAnsi="Times New Roman" w:cs="Times New Roman"/>
          <w:b/>
          <w:bCs/>
        </w:rPr>
        <w:t>64</w:t>
      </w:r>
      <w:r>
        <w:rPr>
          <w:rFonts w:ascii="Times New Roman" w:hAnsi="Times New Roman" w:cs="Times New Roman"/>
        </w:rPr>
        <w:t>, 5985–5998 (2019).</w:t>
      </w:r>
    </w:p>
    <w:p>
      <w:pPr>
        <w:pStyle w:val="55"/>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ab/>
      </w:r>
      <w:r>
        <w:rPr>
          <w:rFonts w:ascii="Times New Roman" w:hAnsi="Times New Roman" w:cs="Times New Roman"/>
        </w:rPr>
        <w:t xml:space="preserve">Willems, T. F., Rycroft, C. H., Kazi, M., Meza, J. C. &amp; Haranczyk, M. Algorithms and tools for high-throughput geometry-based analysis of crystalline porous materials. </w:t>
      </w:r>
      <w:r>
        <w:rPr>
          <w:rFonts w:ascii="Times New Roman" w:hAnsi="Times New Roman" w:cs="Times New Roman"/>
          <w:i/>
          <w:iCs/>
        </w:rPr>
        <w:t>Microporous Mesoporous Mater.</w:t>
      </w:r>
      <w:r>
        <w:rPr>
          <w:rFonts w:ascii="Times New Roman" w:hAnsi="Times New Roman" w:cs="Times New Roman"/>
        </w:rPr>
        <w:t xml:space="preserve"> </w:t>
      </w:r>
      <w:r>
        <w:rPr>
          <w:rFonts w:ascii="Times New Roman" w:hAnsi="Times New Roman" w:cs="Times New Roman"/>
          <w:b/>
          <w:bCs/>
        </w:rPr>
        <w:t>149</w:t>
      </w:r>
      <w:r>
        <w:rPr>
          <w:rFonts w:ascii="Times New Roman" w:hAnsi="Times New Roman" w:cs="Times New Roman"/>
        </w:rPr>
        <w:t>, 134–141 (2012).</w:t>
      </w:r>
    </w:p>
    <w:p>
      <w:pPr>
        <w:pStyle w:val="55"/>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tab/>
      </w:r>
      <w:r>
        <w:rPr>
          <w:rFonts w:ascii="Times New Roman" w:hAnsi="Times New Roman" w:cs="Times New Roman"/>
        </w:rPr>
        <w:t xml:space="preserve">Dubbeldam, D., Calero, S., Ellis, D. E. &amp; Snurr, R. Q. RASPA: molecular simulation software for adsorption and diffusion in flexible nanoporous materials. </w:t>
      </w:r>
      <w:r>
        <w:rPr>
          <w:rFonts w:ascii="Times New Roman" w:hAnsi="Times New Roman" w:cs="Times New Roman"/>
          <w:i/>
          <w:iCs/>
        </w:rPr>
        <w:t>Mol. Simulat.</w:t>
      </w:r>
      <w:r>
        <w:rPr>
          <w:rFonts w:ascii="Times New Roman" w:hAnsi="Times New Roman" w:cs="Times New Roman"/>
        </w:rPr>
        <w:t xml:space="preserve"> </w:t>
      </w:r>
      <w:r>
        <w:rPr>
          <w:rFonts w:ascii="Times New Roman" w:hAnsi="Times New Roman" w:cs="Times New Roman"/>
          <w:b/>
          <w:bCs/>
        </w:rPr>
        <w:t>42</w:t>
      </w:r>
      <w:r>
        <w:rPr>
          <w:rFonts w:ascii="Times New Roman" w:hAnsi="Times New Roman" w:cs="Times New Roman"/>
        </w:rPr>
        <w:t>, 81–101 (2016).</w:t>
      </w:r>
    </w:p>
    <w:p>
      <w:pPr>
        <w:pStyle w:val="55"/>
        <w:rPr>
          <w:rFonts w:ascii="Times New Roman" w:hAnsi="Times New Roman" w:cs="Times New Roman"/>
        </w:rPr>
      </w:pPr>
      <w:r>
        <w:rPr>
          <w:rFonts w:ascii="Times New Roman" w:hAnsi="Times New Roman" w:cs="Times New Roman"/>
        </w:rPr>
        <w:t xml:space="preserve">4. </w:t>
      </w:r>
      <w:r>
        <w:rPr>
          <w:rFonts w:ascii="Times New Roman" w:hAnsi="Times New Roman" w:cs="Times New Roman"/>
        </w:rPr>
        <w:tab/>
      </w:r>
      <w:r>
        <w:rPr>
          <w:rFonts w:ascii="Times New Roman" w:hAnsi="Times New Roman" w:cs="Times New Roman"/>
        </w:rPr>
        <w:t xml:space="preserve">Ong, S. P. </w:t>
      </w:r>
      <w:r>
        <w:rPr>
          <w:rFonts w:ascii="Times New Roman" w:hAnsi="Times New Roman" w:cs="Times New Roman"/>
          <w:i/>
          <w:iCs/>
        </w:rPr>
        <w:t>et al.</w:t>
      </w:r>
      <w:r>
        <w:rPr>
          <w:rFonts w:ascii="Times New Roman" w:hAnsi="Times New Roman" w:cs="Times New Roman"/>
        </w:rPr>
        <w:t xml:space="preserve"> Python materials genomics (pymatgen): A robust, open-source python library for materials analysis. </w:t>
      </w:r>
      <w:r>
        <w:rPr>
          <w:rFonts w:ascii="Times New Roman" w:hAnsi="Times New Roman" w:cs="Times New Roman"/>
          <w:i/>
          <w:iCs/>
        </w:rPr>
        <w:t>Comput. Mater. Sci.</w:t>
      </w:r>
      <w:r>
        <w:rPr>
          <w:rFonts w:ascii="Times New Roman" w:hAnsi="Times New Roman" w:cs="Times New Roman"/>
        </w:rPr>
        <w:t xml:space="preserve"> </w:t>
      </w:r>
      <w:r>
        <w:rPr>
          <w:rFonts w:ascii="Times New Roman" w:hAnsi="Times New Roman" w:cs="Times New Roman"/>
          <w:b/>
          <w:bCs/>
        </w:rPr>
        <w:t>68</w:t>
      </w:r>
      <w:r>
        <w:rPr>
          <w:rFonts w:ascii="Times New Roman" w:hAnsi="Times New Roman" w:cs="Times New Roman"/>
        </w:rPr>
        <w:t>, 314–319 (2013).</w:t>
      </w:r>
    </w:p>
    <w:p>
      <w:pPr>
        <w:pStyle w:val="55"/>
        <w:rPr>
          <w:rFonts w:ascii="Times New Roman" w:hAnsi="Times New Roman" w:cs="Times New Roman"/>
        </w:rPr>
      </w:pPr>
      <w:r>
        <w:rPr>
          <w:rFonts w:ascii="Times New Roman" w:hAnsi="Times New Roman" w:cs="Times New Roman"/>
        </w:rPr>
        <w:t xml:space="preserve">5. </w:t>
      </w:r>
      <w:r>
        <w:rPr>
          <w:rFonts w:ascii="Times New Roman" w:hAnsi="Times New Roman" w:cs="Times New Roman"/>
        </w:rPr>
        <w:tab/>
      </w:r>
      <w:r>
        <w:rPr>
          <w:rFonts w:ascii="Times New Roman" w:hAnsi="Times New Roman" w:cs="Times New Roman"/>
        </w:rPr>
        <w:t xml:space="preserve">Pan, H. </w:t>
      </w:r>
      <w:r>
        <w:rPr>
          <w:rFonts w:ascii="Times New Roman" w:hAnsi="Times New Roman" w:cs="Times New Roman"/>
          <w:i/>
          <w:iCs/>
        </w:rPr>
        <w:t>et al.</w:t>
      </w:r>
      <w:r>
        <w:rPr>
          <w:rFonts w:ascii="Times New Roman" w:hAnsi="Times New Roman" w:cs="Times New Roman"/>
        </w:rPr>
        <w:t xml:space="preserve"> Benchmarking coordination number prediction algorithms on inorganic crystal structures. </w:t>
      </w:r>
      <w:r>
        <w:rPr>
          <w:rFonts w:ascii="Times New Roman" w:hAnsi="Times New Roman" w:cs="Times New Roman"/>
          <w:i/>
          <w:iCs/>
        </w:rPr>
        <w:t>Inorg. Chem.</w:t>
      </w:r>
      <w:r>
        <w:rPr>
          <w:rFonts w:ascii="Times New Roman" w:hAnsi="Times New Roman" w:cs="Times New Roman"/>
        </w:rPr>
        <w:t xml:space="preserve"> </w:t>
      </w:r>
      <w:r>
        <w:rPr>
          <w:rFonts w:ascii="Times New Roman" w:hAnsi="Times New Roman" w:cs="Times New Roman"/>
          <w:b/>
          <w:bCs/>
        </w:rPr>
        <w:t>60</w:t>
      </w:r>
      <w:r>
        <w:rPr>
          <w:rFonts w:ascii="Times New Roman" w:hAnsi="Times New Roman" w:cs="Times New Roman"/>
        </w:rPr>
        <w:t>, 1590–1603 (2021).</w:t>
      </w:r>
    </w:p>
    <w:p>
      <w:pPr>
        <w:pStyle w:val="55"/>
        <w:rPr>
          <w:rFonts w:ascii="Times New Roman" w:hAnsi="Times New Roman" w:cs="Times New Roman"/>
        </w:rPr>
      </w:pPr>
      <w:r>
        <w:rPr>
          <w:rFonts w:ascii="Times New Roman" w:hAnsi="Times New Roman" w:cs="Times New Roman"/>
        </w:rPr>
        <w:t xml:space="preserve">6. </w:t>
      </w:r>
      <w:r>
        <w:rPr>
          <w:rFonts w:ascii="Times New Roman" w:hAnsi="Times New Roman" w:cs="Times New Roman"/>
        </w:rPr>
        <w:tab/>
      </w:r>
      <w:r>
        <w:rPr>
          <w:rFonts w:ascii="Times New Roman" w:hAnsi="Times New Roman" w:cs="Times New Roman"/>
        </w:rPr>
        <w:t xml:space="preserve">Kraß, H., Huang, J. &amp; Moosavi, S. M. MOFSimBench: Evaluating universal machine learning interatomic potentials in metal-organic framework molecular modeling. </w:t>
      </w:r>
      <w:r>
        <w:rPr>
          <w:rFonts w:ascii="Times New Roman" w:hAnsi="Times New Roman" w:cs="Times New Roman"/>
          <w:i/>
          <w:iCs/>
        </w:rPr>
        <w:t>npj Comput. Mater.</w:t>
      </w:r>
      <w:r>
        <w:rPr>
          <w:rFonts w:ascii="Times New Roman" w:hAnsi="Times New Roman" w:cs="Times New Roman"/>
        </w:rPr>
        <w:t xml:space="preserve"> </w:t>
      </w:r>
      <w:r>
        <w:rPr>
          <w:rFonts w:ascii="Times New Roman" w:hAnsi="Times New Roman" w:cs="Times New Roman"/>
          <w:b/>
          <w:bCs/>
        </w:rPr>
        <w:t>12</w:t>
      </w:r>
      <w:r>
        <w:rPr>
          <w:rFonts w:ascii="Times New Roman" w:hAnsi="Times New Roman" w:cs="Times New Roman"/>
        </w:rPr>
        <w:t>, 4 (2025).</w:t>
      </w:r>
    </w:p>
    <w:p>
      <w:pPr>
        <w:pStyle w:val="55"/>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ab/>
      </w:r>
      <w:r>
        <w:rPr>
          <w:rFonts w:ascii="Times New Roman" w:hAnsi="Times New Roman" w:cs="Times New Roman"/>
        </w:rPr>
        <w:t xml:space="preserve">Rappe, A. K., Casewit, C. J., Colwell, K. S., Goddard, W. A. &amp; Skiff, W. M. UFF, a Full Periodic Table Force Field for Molecular Mechanics and Molecular Dynamics Simulations. </w:t>
      </w:r>
      <w:r>
        <w:rPr>
          <w:rFonts w:ascii="Times New Roman" w:hAnsi="Times New Roman" w:cs="Times New Roman"/>
          <w:i/>
          <w:iCs/>
        </w:rPr>
        <w:t>J. Am. Chem. Soc.</w:t>
      </w:r>
      <w:r>
        <w:rPr>
          <w:rFonts w:ascii="Times New Roman" w:hAnsi="Times New Roman" w:cs="Times New Roman"/>
        </w:rPr>
        <w:t xml:space="preserve"> </w:t>
      </w:r>
      <w:r>
        <w:rPr>
          <w:rFonts w:ascii="Times New Roman" w:hAnsi="Times New Roman" w:cs="Times New Roman"/>
          <w:b/>
          <w:bCs/>
        </w:rPr>
        <w:t>114</w:t>
      </w:r>
      <w:r>
        <w:rPr>
          <w:rFonts w:ascii="Times New Roman" w:hAnsi="Times New Roman" w:cs="Times New Roman"/>
        </w:rPr>
        <w:t>, 10024–10035 (1992).</w:t>
      </w:r>
    </w:p>
    <w:p>
      <w:pPr>
        <w:pStyle w:val="55"/>
        <w:rPr>
          <w:rFonts w:ascii="Times New Roman" w:hAnsi="Times New Roman" w:cs="Times New Roman"/>
        </w:rPr>
      </w:pPr>
      <w:r>
        <w:rPr>
          <w:rFonts w:ascii="Times New Roman" w:hAnsi="Times New Roman" w:cs="Times New Roman"/>
        </w:rPr>
        <w:t xml:space="preserve">8. </w:t>
      </w:r>
      <w:r>
        <w:rPr>
          <w:rFonts w:ascii="Times New Roman" w:hAnsi="Times New Roman" w:cs="Times New Roman"/>
        </w:rPr>
        <w:tab/>
      </w:r>
      <w:r>
        <w:rPr>
          <w:rFonts w:ascii="Times New Roman" w:hAnsi="Times New Roman" w:cs="Times New Roman"/>
        </w:rPr>
        <w:t xml:space="preserve">Wilmer, C. E., Kim, K. C. &amp; Snurr, R. Q. An Extended Charge Equilibration Method. </w:t>
      </w:r>
      <w:r>
        <w:rPr>
          <w:rFonts w:ascii="Times New Roman" w:hAnsi="Times New Roman" w:cs="Times New Roman"/>
          <w:i/>
          <w:iCs/>
        </w:rPr>
        <w:t>J. Phys. Chem. Lett.</w:t>
      </w:r>
      <w:r>
        <w:rPr>
          <w:rFonts w:ascii="Times New Roman" w:hAnsi="Times New Roman" w:cs="Times New Roman"/>
        </w:rPr>
        <w:t xml:space="preserve"> </w:t>
      </w:r>
      <w:r>
        <w:rPr>
          <w:rFonts w:ascii="Times New Roman" w:hAnsi="Times New Roman" w:cs="Times New Roman"/>
          <w:b/>
          <w:bCs/>
        </w:rPr>
        <w:t>3</w:t>
      </w:r>
      <w:r>
        <w:rPr>
          <w:rFonts w:ascii="Times New Roman" w:hAnsi="Times New Roman" w:cs="Times New Roman"/>
        </w:rPr>
        <w:t>, 2506–2511 (2012).</w:t>
      </w:r>
    </w:p>
    <w:p>
      <w:pPr>
        <w:pStyle w:val="55"/>
        <w:rPr>
          <w:rFonts w:ascii="Times New Roman" w:hAnsi="Times New Roman" w:cs="Times New Roman"/>
        </w:rPr>
      </w:pPr>
      <w:r>
        <w:rPr>
          <w:rFonts w:ascii="Times New Roman" w:hAnsi="Times New Roman" w:cs="Times New Roman"/>
        </w:rPr>
        <w:t xml:space="preserve">9. </w:t>
      </w:r>
      <w:r>
        <w:rPr>
          <w:rFonts w:ascii="Times New Roman" w:hAnsi="Times New Roman" w:cs="Times New Roman"/>
        </w:rPr>
        <w:tab/>
      </w:r>
      <w:r>
        <w:rPr>
          <w:rFonts w:ascii="Times New Roman" w:hAnsi="Times New Roman" w:cs="Times New Roman"/>
        </w:rPr>
        <w:t xml:space="preserve">Potoff, J. J. &amp; Siepmann, J. I. Vapor–liquid equilibria of mixtures containing alkanes, carbon dioxide, and nitrogen. </w:t>
      </w:r>
      <w:r>
        <w:rPr>
          <w:rFonts w:ascii="Times New Roman" w:hAnsi="Times New Roman" w:cs="Times New Roman"/>
          <w:i/>
          <w:iCs/>
        </w:rPr>
        <w:t>AIChE J.</w:t>
      </w:r>
      <w:r>
        <w:rPr>
          <w:rFonts w:ascii="Times New Roman" w:hAnsi="Times New Roman" w:cs="Times New Roman"/>
        </w:rPr>
        <w:t xml:space="preserve"> </w:t>
      </w:r>
      <w:r>
        <w:rPr>
          <w:rFonts w:ascii="Times New Roman" w:hAnsi="Times New Roman" w:cs="Times New Roman"/>
          <w:b/>
          <w:bCs/>
        </w:rPr>
        <w:t>47</w:t>
      </w:r>
      <w:r>
        <w:rPr>
          <w:rFonts w:ascii="Times New Roman" w:hAnsi="Times New Roman" w:cs="Times New Roman"/>
        </w:rPr>
        <w:t>, 1676–1682 (2001).</w:t>
      </w:r>
    </w:p>
    <w:p>
      <w:pPr>
        <w:pStyle w:val="55"/>
        <w:rPr>
          <w:rFonts w:ascii="Times New Roman" w:hAnsi="Times New Roman" w:cs="Times New Roman"/>
        </w:rPr>
      </w:pPr>
      <w:r>
        <w:rPr>
          <w:rFonts w:ascii="Times New Roman" w:hAnsi="Times New Roman" w:cs="Times New Roman"/>
        </w:rPr>
        <w:t xml:space="preserve">10. </w:t>
      </w:r>
      <w:r>
        <w:rPr>
          <w:rFonts w:ascii="Times New Roman" w:hAnsi="Times New Roman" w:cs="Times New Roman"/>
        </w:rPr>
        <w:tab/>
      </w:r>
      <w:r>
        <w:rPr>
          <w:rFonts w:ascii="Times New Roman" w:hAnsi="Times New Roman" w:cs="Times New Roman"/>
        </w:rPr>
        <w:t xml:space="preserve">Hansen, N., Agbor, F. A. B. &amp; Keil, F. J. New force fields for nitrous oxide and oxygen and their application to phase equilibria simulations. </w:t>
      </w:r>
      <w:r>
        <w:rPr>
          <w:rFonts w:ascii="Times New Roman" w:hAnsi="Times New Roman" w:cs="Times New Roman"/>
          <w:i/>
          <w:iCs/>
        </w:rPr>
        <w:t>Fluid Phase Equilib.</w:t>
      </w:r>
      <w:r>
        <w:rPr>
          <w:rFonts w:ascii="Times New Roman" w:hAnsi="Times New Roman" w:cs="Times New Roman"/>
        </w:rPr>
        <w:t xml:space="preserve"> </w:t>
      </w:r>
      <w:r>
        <w:rPr>
          <w:rFonts w:ascii="Times New Roman" w:hAnsi="Times New Roman" w:cs="Times New Roman"/>
          <w:b/>
          <w:bCs/>
        </w:rPr>
        <w:t>259</w:t>
      </w:r>
      <w:r>
        <w:rPr>
          <w:rFonts w:ascii="Times New Roman" w:hAnsi="Times New Roman" w:cs="Times New Roman"/>
        </w:rPr>
        <w:t>, 181–188 (2007).</w:t>
      </w:r>
    </w:p>
    <w:p>
      <w:pPr>
        <w:pStyle w:val="55"/>
        <w:rPr>
          <w:rFonts w:ascii="Times New Roman" w:hAnsi="Times New Roman" w:cs="Times New Roman"/>
        </w:rPr>
      </w:pPr>
      <w:r>
        <w:rPr>
          <w:rFonts w:ascii="Times New Roman" w:hAnsi="Times New Roman" w:cs="Times New Roman"/>
        </w:rPr>
        <w:t xml:space="preserve">11. </w:t>
      </w:r>
      <w:r>
        <w:rPr>
          <w:rFonts w:ascii="Times New Roman" w:hAnsi="Times New Roman" w:cs="Times New Roman"/>
        </w:rPr>
        <w:tab/>
      </w:r>
      <w:r>
        <w:rPr>
          <w:rFonts w:ascii="Times New Roman" w:hAnsi="Times New Roman" w:cs="Times New Roman"/>
        </w:rPr>
        <w:t xml:space="preserve">Yang, X. </w:t>
      </w:r>
      <w:r>
        <w:rPr>
          <w:rFonts w:ascii="Times New Roman" w:hAnsi="Times New Roman" w:cs="Times New Roman"/>
          <w:i/>
          <w:iCs/>
        </w:rPr>
        <w:t>et al.</w:t>
      </w:r>
      <w:r>
        <w:rPr>
          <w:rFonts w:ascii="Times New Roman" w:hAnsi="Times New Roman" w:cs="Times New Roman"/>
        </w:rPr>
        <w:t xml:space="preserve"> Computational screening and machine learning of hydrophobic metal-organic frameworks for removal of chemical warfare agents from air. </w:t>
      </w:r>
      <w:r>
        <w:rPr>
          <w:rFonts w:ascii="Times New Roman" w:hAnsi="Times New Roman" w:cs="Times New Roman"/>
          <w:i/>
          <w:iCs/>
        </w:rPr>
        <w:t>Appl. Mater. Today</w:t>
      </w:r>
      <w:r>
        <w:rPr>
          <w:rFonts w:ascii="Times New Roman" w:hAnsi="Times New Roman" w:cs="Times New Roman"/>
        </w:rPr>
        <w:t xml:space="preserve"> </w:t>
      </w:r>
      <w:r>
        <w:rPr>
          <w:rFonts w:ascii="Times New Roman" w:hAnsi="Times New Roman" w:cs="Times New Roman"/>
          <w:b/>
          <w:bCs/>
        </w:rPr>
        <w:t>31</w:t>
      </w:r>
      <w:r>
        <w:rPr>
          <w:rFonts w:ascii="Times New Roman" w:hAnsi="Times New Roman" w:cs="Times New Roman"/>
        </w:rPr>
        <w:t>, 101738 (2023).</w:t>
      </w:r>
    </w:p>
    <w:p>
      <w:pPr>
        <w:pStyle w:val="55"/>
        <w:rPr>
          <w:rFonts w:ascii="Times New Roman" w:hAnsi="Times New Roman" w:cs="Times New Roman"/>
        </w:rPr>
      </w:pPr>
      <w:r>
        <w:rPr>
          <w:rFonts w:ascii="Times New Roman" w:hAnsi="Times New Roman" w:cs="Times New Roman"/>
        </w:rPr>
        <w:t xml:space="preserve">12. </w:t>
      </w:r>
      <w:r>
        <w:rPr>
          <w:rFonts w:ascii="Times New Roman" w:hAnsi="Times New Roman" w:cs="Times New Roman"/>
        </w:rPr>
        <w:tab/>
      </w:r>
      <w:r>
        <w:rPr>
          <w:rFonts w:ascii="Times New Roman" w:hAnsi="Times New Roman" w:cs="Times New Roman"/>
        </w:rPr>
        <w:t xml:space="preserve">Sokkalingam, N., Kamath, G., Coscione, M. &amp; Potoff, J. J. Extension of the transferable potentials for phase equilibria force field to dimethylmethyl phosphonate, sarin, and soman. </w:t>
      </w:r>
      <w:r>
        <w:rPr>
          <w:rFonts w:ascii="Times New Roman" w:hAnsi="Times New Roman" w:cs="Times New Roman"/>
          <w:i/>
          <w:iCs/>
        </w:rPr>
        <w:t>J. Phys. Chem. B</w:t>
      </w:r>
      <w:r>
        <w:rPr>
          <w:rFonts w:ascii="Times New Roman" w:hAnsi="Times New Roman" w:cs="Times New Roman"/>
        </w:rPr>
        <w:t xml:space="preserve"> </w:t>
      </w:r>
      <w:r>
        <w:rPr>
          <w:rFonts w:ascii="Times New Roman" w:hAnsi="Times New Roman" w:cs="Times New Roman"/>
          <w:b/>
          <w:bCs/>
        </w:rPr>
        <w:t>113</w:t>
      </w:r>
      <w:r>
        <w:rPr>
          <w:rFonts w:ascii="Times New Roman" w:hAnsi="Times New Roman" w:cs="Times New Roman"/>
        </w:rPr>
        <w:t>, 10292–10297 (2009).</w:t>
      </w:r>
    </w:p>
    <w:p>
      <w:pPr>
        <w:pStyle w:val="55"/>
        <w:rPr>
          <w:rFonts w:ascii="Times New Roman" w:hAnsi="Times New Roman" w:cs="Times New Roman"/>
        </w:rPr>
      </w:pPr>
      <w:r>
        <w:rPr>
          <w:rFonts w:ascii="Times New Roman" w:hAnsi="Times New Roman" w:cs="Times New Roman"/>
        </w:rPr>
        <w:t xml:space="preserve">13. </w:t>
      </w:r>
      <w:r>
        <w:rPr>
          <w:rFonts w:ascii="Times New Roman" w:hAnsi="Times New Roman" w:cs="Times New Roman"/>
        </w:rPr>
        <w:tab/>
      </w:r>
      <w:r>
        <w:rPr>
          <w:rFonts w:ascii="Times New Roman" w:hAnsi="Times New Roman" w:cs="Times New Roman"/>
        </w:rPr>
        <w:t xml:space="preserve">Herdes, C. </w:t>
      </w:r>
      <w:r>
        <w:rPr>
          <w:rFonts w:ascii="Times New Roman" w:hAnsi="Times New Roman" w:cs="Times New Roman"/>
          <w:i/>
          <w:iCs/>
        </w:rPr>
        <w:t>et al.</w:t>
      </w:r>
      <w:r>
        <w:rPr>
          <w:rFonts w:ascii="Times New Roman" w:hAnsi="Times New Roman" w:cs="Times New Roman"/>
        </w:rPr>
        <w:t xml:space="preserve"> Selective adsorption of volatile organic compounds in micropore aluminum methylphosphonate-α: A combined molecular simulation−experimental approach. </w:t>
      </w:r>
      <w:r>
        <w:rPr>
          <w:rFonts w:ascii="Times New Roman" w:hAnsi="Times New Roman" w:cs="Times New Roman"/>
          <w:i/>
          <w:iCs/>
        </w:rPr>
        <w:t>Langmuir</w:t>
      </w:r>
      <w:r>
        <w:rPr>
          <w:rFonts w:ascii="Times New Roman" w:hAnsi="Times New Roman" w:cs="Times New Roman"/>
        </w:rPr>
        <w:t xml:space="preserve"> </w:t>
      </w:r>
      <w:r>
        <w:rPr>
          <w:rFonts w:ascii="Times New Roman" w:hAnsi="Times New Roman" w:cs="Times New Roman"/>
          <w:b/>
          <w:bCs/>
        </w:rPr>
        <w:t>23</w:t>
      </w:r>
      <w:r>
        <w:rPr>
          <w:rFonts w:ascii="Times New Roman" w:hAnsi="Times New Roman" w:cs="Times New Roman"/>
        </w:rPr>
        <w:t>, 7299–7305 (2007).</w:t>
      </w:r>
    </w:p>
    <w:p>
      <w:pPr>
        <w:pStyle w:val="55"/>
        <w:rPr>
          <w:rFonts w:ascii="Times New Roman" w:hAnsi="Times New Roman" w:cs="Times New Roman"/>
        </w:rPr>
      </w:pPr>
      <w:r>
        <w:rPr>
          <w:rFonts w:ascii="Times New Roman" w:hAnsi="Times New Roman" w:cs="Times New Roman"/>
        </w:rPr>
        <w:t xml:space="preserve">14. </w:t>
      </w:r>
      <w:r>
        <w:rPr>
          <w:rFonts w:ascii="Times New Roman" w:hAnsi="Times New Roman" w:cs="Times New Roman"/>
        </w:rPr>
        <w:tab/>
      </w:r>
      <w:r>
        <w:rPr>
          <w:rFonts w:ascii="Times New Roman" w:hAnsi="Times New Roman" w:cs="Times New Roman"/>
        </w:rPr>
        <w:t xml:space="preserve">Park, H., Kang, Y. &amp; Kim, J. Enhancing structure–property relationships in porous materials through transfer learning and cross-material few-shot learning. </w:t>
      </w:r>
      <w:r>
        <w:rPr>
          <w:rFonts w:ascii="Times New Roman" w:hAnsi="Times New Roman" w:cs="Times New Roman"/>
          <w:i/>
          <w:iCs/>
        </w:rPr>
        <w:t>ACS Appl. Mater. Interfaces</w:t>
      </w:r>
      <w:r>
        <w:rPr>
          <w:rFonts w:ascii="Times New Roman" w:hAnsi="Times New Roman" w:cs="Times New Roman"/>
        </w:rPr>
        <w:t xml:space="preserve"> </w:t>
      </w:r>
      <w:r>
        <w:rPr>
          <w:rFonts w:ascii="Times New Roman" w:hAnsi="Times New Roman" w:cs="Times New Roman"/>
          <w:b/>
          <w:bCs/>
        </w:rPr>
        <w:t>15</w:t>
      </w:r>
      <w:r>
        <w:rPr>
          <w:rFonts w:ascii="Times New Roman" w:hAnsi="Times New Roman" w:cs="Times New Roman"/>
        </w:rPr>
        <w:t>, 56375–56385 (2023).</w:t>
      </w:r>
    </w:p>
    <w:p>
      <w:pPr>
        <w:pStyle w:val="55"/>
        <w:rPr>
          <w:rFonts w:ascii="Times New Roman" w:hAnsi="Times New Roman" w:cs="Times New Roman"/>
        </w:rPr>
      </w:pPr>
      <w:r>
        <w:rPr>
          <w:rFonts w:ascii="Times New Roman" w:hAnsi="Times New Roman" w:cs="Times New Roman"/>
        </w:rPr>
        <w:t xml:space="preserve">15. </w:t>
      </w:r>
      <w:r>
        <w:rPr>
          <w:rFonts w:ascii="Times New Roman" w:hAnsi="Times New Roman" w:cs="Times New Roman"/>
        </w:rPr>
        <w:tab/>
      </w:r>
      <w:r>
        <w:rPr>
          <w:rFonts w:ascii="Times New Roman" w:hAnsi="Times New Roman" w:cs="Times New Roman"/>
        </w:rPr>
        <w:t xml:space="preserve">Pedregosa, F. </w:t>
      </w:r>
      <w:r>
        <w:rPr>
          <w:rFonts w:ascii="Times New Roman" w:hAnsi="Times New Roman" w:cs="Times New Roman"/>
          <w:i/>
          <w:iCs/>
        </w:rPr>
        <w:t>et al.</w:t>
      </w:r>
      <w:r>
        <w:rPr>
          <w:rFonts w:ascii="Times New Roman" w:hAnsi="Times New Roman" w:cs="Times New Roman"/>
        </w:rPr>
        <w:t xml:space="preserve"> Scikit-learn: Machine learning in python. </w:t>
      </w:r>
      <w:r>
        <w:rPr>
          <w:rFonts w:ascii="Times New Roman" w:hAnsi="Times New Roman" w:cs="Times New Roman"/>
          <w:i/>
          <w:iCs/>
        </w:rPr>
        <w:t>J. Mach. Learn. Res.</w:t>
      </w:r>
      <w:r>
        <w:rPr>
          <w:rFonts w:ascii="Times New Roman" w:hAnsi="Times New Roman" w:cs="Times New Roman"/>
        </w:rPr>
        <w:t xml:space="preserve"> </w:t>
      </w:r>
      <w:r>
        <w:rPr>
          <w:rFonts w:ascii="Times New Roman" w:hAnsi="Times New Roman" w:cs="Times New Roman"/>
          <w:b/>
          <w:bCs/>
        </w:rPr>
        <w:t>12</w:t>
      </w:r>
      <w:r>
        <w:rPr>
          <w:rFonts w:ascii="Times New Roman" w:hAnsi="Times New Roman" w:cs="Times New Roman"/>
        </w:rPr>
        <w:t>, 2825–2830 (2011).</w:t>
      </w:r>
    </w:p>
    <w:p>
      <w:pPr>
        <w:pStyle w:val="55"/>
        <w:rPr>
          <w:rFonts w:ascii="Times New Roman" w:hAnsi="Times New Roman" w:cs="Times New Roman"/>
        </w:rPr>
      </w:pPr>
      <w:r>
        <w:rPr>
          <w:rFonts w:ascii="Times New Roman" w:hAnsi="Times New Roman" w:cs="Times New Roman"/>
        </w:rPr>
        <w:t xml:space="preserve">16. </w:t>
      </w:r>
      <w:r>
        <w:rPr>
          <w:rFonts w:ascii="Times New Roman" w:hAnsi="Times New Roman" w:cs="Times New Roman"/>
        </w:rPr>
        <w:tab/>
      </w:r>
      <w:r>
        <w:rPr>
          <w:rFonts w:ascii="Times New Roman" w:hAnsi="Times New Roman" w:cs="Times New Roman"/>
        </w:rPr>
        <w:t xml:space="preserve">Bergstra, J. S., Bardenet, R., Bengio, Y. &amp; Kégl, B. Algorithms for hyper-parameter optimization. in </w:t>
      </w:r>
      <w:r>
        <w:rPr>
          <w:rFonts w:ascii="Times New Roman" w:hAnsi="Times New Roman" w:cs="Times New Roman"/>
          <w:i/>
          <w:iCs/>
        </w:rPr>
        <w:t>Advances in Neural Information Processing Systems</w:t>
      </w:r>
      <w:r>
        <w:rPr>
          <w:rFonts w:ascii="Times New Roman" w:hAnsi="Times New Roman" w:cs="Times New Roman"/>
        </w:rPr>
        <w:t xml:space="preserve"> vol. 24 2546–2554 (Curran Associates, Inc., Red Hook, NY, USA, 2011).</w:t>
      </w:r>
    </w:p>
    <w:p>
      <w:pPr>
        <w:pStyle w:val="55"/>
        <w:rPr>
          <w:rFonts w:ascii="Times New Roman" w:hAnsi="Times New Roman" w:cs="Times New Roman"/>
        </w:rPr>
      </w:pPr>
      <w:r>
        <w:rPr>
          <w:rFonts w:ascii="Times New Roman" w:hAnsi="Times New Roman" w:cs="Times New Roman"/>
        </w:rPr>
        <w:t xml:space="preserve">17. </w:t>
      </w:r>
      <w:r>
        <w:rPr>
          <w:rFonts w:ascii="Times New Roman" w:hAnsi="Times New Roman" w:cs="Times New Roman"/>
        </w:rPr>
        <w:tab/>
      </w:r>
      <w:r>
        <w:rPr>
          <w:rFonts w:ascii="Times New Roman" w:hAnsi="Times New Roman" w:cs="Times New Roman"/>
        </w:rPr>
        <w:t xml:space="preserve">Balandat, M. </w:t>
      </w:r>
      <w:r>
        <w:rPr>
          <w:rFonts w:ascii="Times New Roman" w:hAnsi="Times New Roman" w:cs="Times New Roman"/>
          <w:i/>
          <w:iCs/>
        </w:rPr>
        <w:t>et al.</w:t>
      </w:r>
      <w:r>
        <w:rPr>
          <w:rFonts w:ascii="Times New Roman" w:hAnsi="Times New Roman" w:cs="Times New Roman"/>
        </w:rPr>
        <w:t xml:space="preserve"> BoTorch: A framework for efficient Monte-Carlo Bayesian optimization. in </w:t>
      </w:r>
      <w:r>
        <w:rPr>
          <w:rFonts w:ascii="Times New Roman" w:hAnsi="Times New Roman" w:cs="Times New Roman"/>
          <w:i/>
          <w:iCs/>
        </w:rPr>
        <w:t>Advances in Neural Information Processing Systems</w:t>
      </w:r>
      <w:r>
        <w:rPr>
          <w:rFonts w:ascii="Times New Roman" w:hAnsi="Times New Roman" w:cs="Times New Roman"/>
        </w:rPr>
        <w:t xml:space="preserve"> vol. 33 21524–21538 (Curran Associates, Inc., 2020).</w:t>
      </w:r>
    </w:p>
    <w:p>
      <w:pPr>
        <w:pStyle w:val="55"/>
        <w:rPr>
          <w:rFonts w:ascii="Times New Roman" w:hAnsi="Times New Roman" w:cs="Times New Roman"/>
        </w:rPr>
      </w:pPr>
      <w:r>
        <w:rPr>
          <w:rFonts w:ascii="Times New Roman" w:hAnsi="Times New Roman" w:cs="Times New Roman"/>
        </w:rPr>
        <w:t xml:space="preserve">18. </w:t>
      </w:r>
      <w:r>
        <w:rPr>
          <w:rFonts w:ascii="Times New Roman" w:hAnsi="Times New Roman" w:cs="Times New Roman"/>
        </w:rPr>
        <w:tab/>
      </w:r>
      <w:r>
        <w:rPr>
          <w:rFonts w:ascii="Times New Roman" w:hAnsi="Times New Roman" w:cs="Times New Roman"/>
        </w:rPr>
        <w:t xml:space="preserve">Ioffe, S. Improved consistent sampling, weighted minhash and L1 sketching. in </w:t>
      </w:r>
      <w:r>
        <w:rPr>
          <w:rFonts w:ascii="Times New Roman" w:hAnsi="Times New Roman" w:cs="Times New Roman"/>
          <w:i/>
          <w:iCs/>
        </w:rPr>
        <w:t>2010 IEEE International Conference on Data Mining</w:t>
      </w:r>
      <w:r>
        <w:rPr>
          <w:rFonts w:ascii="Times New Roman" w:hAnsi="Times New Roman" w:cs="Times New Roman"/>
        </w:rPr>
        <w:t xml:space="preserve"> 246–255 (IEEE, Sydney, Australia, 2010). doi:10.1109/ICDM.2010.80.</w:t>
      </w:r>
    </w:p>
    <w:p>
      <w:pPr>
        <w:pStyle w:val="55"/>
        <w:rPr>
          <w:rFonts w:ascii="Times New Roman" w:hAnsi="Times New Roman" w:cs="Times New Roman"/>
        </w:rPr>
      </w:pPr>
      <w:r>
        <w:rPr>
          <w:rFonts w:ascii="Times New Roman" w:hAnsi="Times New Roman" w:cs="Times New Roman"/>
        </w:rPr>
        <w:t xml:space="preserve">19. </w:t>
      </w:r>
      <w:r>
        <w:rPr>
          <w:rFonts w:ascii="Times New Roman" w:hAnsi="Times New Roman" w:cs="Times New Roman"/>
        </w:rPr>
        <w:tab/>
      </w:r>
      <w:r>
        <w:rPr>
          <w:rFonts w:ascii="Times New Roman" w:hAnsi="Times New Roman" w:cs="Times New Roman"/>
        </w:rPr>
        <w:t xml:space="preserve">Zhao, X. </w:t>
      </w:r>
      <w:r>
        <w:rPr>
          <w:rFonts w:ascii="Times New Roman" w:hAnsi="Times New Roman" w:cs="Times New Roman"/>
          <w:i/>
          <w:iCs/>
        </w:rPr>
        <w:t>et al.</w:t>
      </w:r>
      <w:r>
        <w:rPr>
          <w:rFonts w:ascii="Times New Roman" w:hAnsi="Times New Roman" w:cs="Times New Roman"/>
        </w:rPr>
        <w:t xml:space="preserve"> Novel metal–organic framework based on cubic and trisoctahedral supermolecular building blocks: Topological analysis and photoluminescent property. </w:t>
      </w:r>
      <w:r>
        <w:rPr>
          <w:rFonts w:ascii="Times New Roman" w:hAnsi="Times New Roman" w:cs="Times New Roman"/>
          <w:i/>
          <w:iCs/>
        </w:rPr>
        <w:t>Cryst. Growth Des.</w:t>
      </w:r>
      <w:r>
        <w:rPr>
          <w:rFonts w:ascii="Times New Roman" w:hAnsi="Times New Roman" w:cs="Times New Roman"/>
        </w:rPr>
        <w:t xml:space="preserve"> </w:t>
      </w:r>
      <w:r>
        <w:rPr>
          <w:rFonts w:ascii="Times New Roman" w:hAnsi="Times New Roman" w:cs="Times New Roman"/>
          <w:b/>
          <w:bCs/>
        </w:rPr>
        <w:t>12</w:t>
      </w:r>
      <w:r>
        <w:rPr>
          <w:rFonts w:ascii="Times New Roman" w:hAnsi="Times New Roman" w:cs="Times New Roman"/>
        </w:rPr>
        <w:t>, 2736–2739 (2012).</w:t>
      </w:r>
    </w:p>
    <w:p>
      <w:pPr>
        <w:pStyle w:val="55"/>
        <w:rPr>
          <w:rFonts w:ascii="Times New Roman" w:hAnsi="Times New Roman" w:cs="Times New Roman"/>
        </w:rPr>
      </w:pPr>
      <w:r>
        <w:rPr>
          <w:rFonts w:ascii="Times New Roman" w:hAnsi="Times New Roman" w:cs="Times New Roman"/>
        </w:rPr>
        <w:t xml:space="preserve">20. </w:t>
      </w:r>
      <w:r>
        <w:rPr>
          <w:rFonts w:ascii="Times New Roman" w:hAnsi="Times New Roman" w:cs="Times New Roman"/>
        </w:rPr>
        <w:tab/>
      </w:r>
      <w:r>
        <w:rPr>
          <w:rFonts w:ascii="Times New Roman" w:hAnsi="Times New Roman" w:cs="Times New Roman"/>
        </w:rPr>
        <w:t xml:space="preserve">Yang, J. </w:t>
      </w:r>
      <w:r>
        <w:rPr>
          <w:rFonts w:ascii="Times New Roman" w:hAnsi="Times New Roman" w:cs="Times New Roman"/>
          <w:i/>
          <w:iCs/>
        </w:rPr>
        <w:t>et al.</w:t>
      </w:r>
      <w:r>
        <w:rPr>
          <w:rFonts w:ascii="Times New Roman" w:hAnsi="Times New Roman" w:cs="Times New Roman"/>
        </w:rPr>
        <w:t xml:space="preserve"> Improving the porosity and catalytic capacity of a zinc paddlewheel metal-organic framework (MOF) through metal-ion metathesis in a single-crystal-to-single-crystal fashion. </w:t>
      </w:r>
      <w:r>
        <w:rPr>
          <w:rFonts w:ascii="Times New Roman" w:hAnsi="Times New Roman" w:cs="Times New Roman"/>
          <w:i/>
          <w:iCs/>
        </w:rPr>
        <w:t>Inorg. Chem.</w:t>
      </w:r>
      <w:r>
        <w:rPr>
          <w:rFonts w:ascii="Times New Roman" w:hAnsi="Times New Roman" w:cs="Times New Roman"/>
        </w:rPr>
        <w:t xml:space="preserve"> </w:t>
      </w:r>
      <w:r>
        <w:rPr>
          <w:rFonts w:ascii="Times New Roman" w:hAnsi="Times New Roman" w:cs="Times New Roman"/>
          <w:b/>
          <w:bCs/>
        </w:rPr>
        <w:t>53</w:t>
      </w:r>
      <w:r>
        <w:rPr>
          <w:rFonts w:ascii="Times New Roman" w:hAnsi="Times New Roman" w:cs="Times New Roman"/>
        </w:rPr>
        <w:t>, 10649–10653 (2014).</w:t>
      </w:r>
    </w:p>
    <w:p>
      <w:pPr>
        <w:pStyle w:val="55"/>
        <w:rPr>
          <w:rFonts w:ascii="Times New Roman" w:hAnsi="Times New Roman" w:cs="Times New Roman"/>
        </w:rPr>
      </w:pPr>
      <w:r>
        <w:rPr>
          <w:rFonts w:ascii="Times New Roman" w:hAnsi="Times New Roman" w:cs="Times New Roman"/>
        </w:rPr>
        <w:t xml:space="preserve">21. </w:t>
      </w:r>
      <w:r>
        <w:rPr>
          <w:rFonts w:ascii="Times New Roman" w:hAnsi="Times New Roman" w:cs="Times New Roman"/>
        </w:rPr>
        <w:tab/>
      </w:r>
      <w:r>
        <w:rPr>
          <w:rFonts w:ascii="Times New Roman" w:hAnsi="Times New Roman" w:cs="Times New Roman"/>
        </w:rPr>
        <w:t xml:space="preserve">Liu, C.-S. </w:t>
      </w:r>
      <w:r>
        <w:rPr>
          <w:rFonts w:ascii="Times New Roman" w:hAnsi="Times New Roman" w:cs="Times New Roman"/>
          <w:i/>
          <w:iCs/>
        </w:rPr>
        <w:t>et al.</w:t>
      </w:r>
      <w:r>
        <w:rPr>
          <w:rFonts w:ascii="Times New Roman" w:hAnsi="Times New Roman" w:cs="Times New Roman"/>
        </w:rPr>
        <w:t xml:space="preserve"> Highly stable aluminum-based metal-organic frameworks as biosensing platforms for assessment of food safety. </w:t>
      </w:r>
      <w:r>
        <w:rPr>
          <w:rFonts w:ascii="Times New Roman" w:hAnsi="Times New Roman" w:cs="Times New Roman"/>
          <w:i/>
          <w:iCs/>
        </w:rPr>
        <w:t>Biosens. Bioelectron.</w:t>
      </w:r>
      <w:r>
        <w:rPr>
          <w:rFonts w:ascii="Times New Roman" w:hAnsi="Times New Roman" w:cs="Times New Roman"/>
        </w:rPr>
        <w:t xml:space="preserve"> </w:t>
      </w:r>
      <w:r>
        <w:rPr>
          <w:rFonts w:ascii="Times New Roman" w:hAnsi="Times New Roman" w:cs="Times New Roman"/>
          <w:b/>
          <w:bCs/>
        </w:rPr>
        <w:t>91</w:t>
      </w:r>
      <w:r>
        <w:rPr>
          <w:rFonts w:ascii="Times New Roman" w:hAnsi="Times New Roman" w:cs="Times New Roman"/>
        </w:rPr>
        <w:t>, 804–810 (2017).</w:t>
      </w:r>
    </w:p>
    <w:p>
      <w:pPr>
        <w:pStyle w:val="55"/>
        <w:rPr>
          <w:rFonts w:ascii="Times New Roman" w:hAnsi="Times New Roman" w:cs="Times New Roman"/>
        </w:rPr>
      </w:pPr>
      <w:r>
        <w:rPr>
          <w:rFonts w:ascii="Times New Roman" w:hAnsi="Times New Roman" w:cs="Times New Roman"/>
        </w:rPr>
        <w:t xml:space="preserve">22. </w:t>
      </w:r>
      <w:r>
        <w:rPr>
          <w:rFonts w:ascii="Times New Roman" w:hAnsi="Times New Roman" w:cs="Times New Roman"/>
        </w:rPr>
        <w:tab/>
      </w:r>
      <w:r>
        <w:rPr>
          <w:rFonts w:ascii="Times New Roman" w:hAnsi="Times New Roman" w:cs="Times New Roman"/>
        </w:rPr>
        <w:t xml:space="preserve">Øien-Ødegaard, S. </w:t>
      </w:r>
      <w:r>
        <w:rPr>
          <w:rFonts w:ascii="Times New Roman" w:hAnsi="Times New Roman" w:cs="Times New Roman"/>
          <w:i/>
          <w:iCs/>
        </w:rPr>
        <w:t>et al.</w:t>
      </w:r>
      <w:r>
        <w:rPr>
          <w:rFonts w:ascii="Times New Roman" w:hAnsi="Times New Roman" w:cs="Times New Roman"/>
        </w:rPr>
        <w:t xml:space="preserve"> UiO-67-type metal–organic frameworks with enhanced water stability and methane adsorption capacity. </w:t>
      </w:r>
      <w:r>
        <w:rPr>
          <w:rFonts w:ascii="Times New Roman" w:hAnsi="Times New Roman" w:cs="Times New Roman"/>
          <w:i/>
          <w:iCs/>
        </w:rPr>
        <w:t>Inorg. Chem.</w:t>
      </w:r>
      <w:r>
        <w:rPr>
          <w:rFonts w:ascii="Times New Roman" w:hAnsi="Times New Roman" w:cs="Times New Roman"/>
        </w:rPr>
        <w:t xml:space="preserve"> </w:t>
      </w:r>
      <w:r>
        <w:rPr>
          <w:rFonts w:ascii="Times New Roman" w:hAnsi="Times New Roman" w:cs="Times New Roman"/>
          <w:b/>
          <w:bCs/>
        </w:rPr>
        <w:t>55</w:t>
      </w:r>
      <w:r>
        <w:rPr>
          <w:rFonts w:ascii="Times New Roman" w:hAnsi="Times New Roman" w:cs="Times New Roman"/>
        </w:rPr>
        <w:t>, 1986–1991 (2016).</w:t>
      </w:r>
    </w:p>
    <w:p>
      <w:pPr>
        <w:pStyle w:val="55"/>
        <w:rPr>
          <w:rFonts w:ascii="Times New Roman" w:hAnsi="Times New Roman" w:cs="Times New Roman"/>
        </w:rPr>
      </w:pPr>
      <w:r>
        <w:rPr>
          <w:rFonts w:ascii="Times New Roman" w:hAnsi="Times New Roman" w:cs="Times New Roman"/>
        </w:rPr>
        <w:t xml:space="preserve">23. </w:t>
      </w:r>
      <w:r>
        <w:rPr>
          <w:rFonts w:ascii="Times New Roman" w:hAnsi="Times New Roman" w:cs="Times New Roman"/>
        </w:rPr>
        <w:tab/>
      </w:r>
      <w:r>
        <w:rPr>
          <w:rFonts w:ascii="Times New Roman" w:hAnsi="Times New Roman" w:cs="Times New Roman"/>
        </w:rPr>
        <w:t xml:space="preserve">Yuan, S. </w:t>
      </w:r>
      <w:r>
        <w:rPr>
          <w:rFonts w:ascii="Times New Roman" w:hAnsi="Times New Roman" w:cs="Times New Roman"/>
          <w:i/>
          <w:iCs/>
        </w:rPr>
        <w:t>et al.</w:t>
      </w:r>
      <w:r>
        <w:rPr>
          <w:rFonts w:ascii="Times New Roman" w:hAnsi="Times New Roman" w:cs="Times New Roman"/>
        </w:rPr>
        <w:t xml:space="preserve"> Flexible zirconium metal‐organic frameworks as bioinspired switchable catalysts. </w:t>
      </w:r>
      <w:r>
        <w:rPr>
          <w:rFonts w:ascii="Times New Roman" w:hAnsi="Times New Roman" w:cs="Times New Roman"/>
          <w:i/>
          <w:iCs/>
        </w:rPr>
        <w:t>Angew. Chem. Int. Ed.</w:t>
      </w:r>
      <w:r>
        <w:rPr>
          <w:rFonts w:ascii="Times New Roman" w:hAnsi="Times New Roman" w:cs="Times New Roman"/>
        </w:rPr>
        <w:t xml:space="preserve"> </w:t>
      </w:r>
      <w:r>
        <w:rPr>
          <w:rFonts w:ascii="Times New Roman" w:hAnsi="Times New Roman" w:cs="Times New Roman"/>
          <w:b/>
          <w:bCs/>
        </w:rPr>
        <w:t>55</w:t>
      </w:r>
      <w:r>
        <w:rPr>
          <w:rFonts w:ascii="Times New Roman" w:hAnsi="Times New Roman" w:cs="Times New Roman"/>
        </w:rPr>
        <w:t>, 10776–10780 (2016).</w:t>
      </w:r>
    </w:p>
    <w:p>
      <w:pPr>
        <w:pStyle w:val="55"/>
        <w:rPr>
          <w:rFonts w:ascii="Times New Roman" w:hAnsi="Times New Roman" w:cs="Times New Roman"/>
        </w:rPr>
      </w:pPr>
      <w:r>
        <w:rPr>
          <w:rFonts w:ascii="Times New Roman" w:hAnsi="Times New Roman" w:cs="Times New Roman"/>
        </w:rPr>
        <w:t xml:space="preserve">24. </w:t>
      </w:r>
      <w:r>
        <w:rPr>
          <w:rFonts w:ascii="Times New Roman" w:hAnsi="Times New Roman" w:cs="Times New Roman"/>
        </w:rPr>
        <w:tab/>
      </w:r>
      <w:r>
        <w:rPr>
          <w:rFonts w:ascii="Times New Roman" w:hAnsi="Times New Roman" w:cs="Times New Roman"/>
        </w:rPr>
        <w:t xml:space="preserve">Duan, J., Bai, J., Zheng, B., Li, Y. &amp; Ren, W. Controlling the shifting degree of interpenetrated metal–organic frameworks by modulator and temperature and their hydrogen adsorption properties. </w:t>
      </w:r>
      <w:r>
        <w:rPr>
          <w:rFonts w:ascii="Times New Roman" w:hAnsi="Times New Roman" w:cs="Times New Roman"/>
          <w:i/>
          <w:iCs/>
        </w:rPr>
        <w:t>Chem. Commun.</w:t>
      </w:r>
      <w:r>
        <w:rPr>
          <w:rFonts w:ascii="Times New Roman" w:hAnsi="Times New Roman" w:cs="Times New Roman"/>
        </w:rPr>
        <w:t xml:space="preserve"> </w:t>
      </w:r>
      <w:r>
        <w:rPr>
          <w:rFonts w:ascii="Times New Roman" w:hAnsi="Times New Roman" w:cs="Times New Roman"/>
          <w:b/>
          <w:bCs/>
        </w:rPr>
        <w:t>47</w:t>
      </w:r>
      <w:r>
        <w:rPr>
          <w:rFonts w:ascii="Times New Roman" w:hAnsi="Times New Roman" w:cs="Times New Roman"/>
        </w:rPr>
        <w:t>, 2556 (2011).</w:t>
      </w:r>
    </w:p>
    <w:p>
      <w:pPr>
        <w:rPr>
          <w:rFonts w:ascii="Times New Roman" w:hAnsi="Times New Roman" w:cs="Times New Roman"/>
          <w:sz w:val="24"/>
          <w:szCs w:val="24"/>
        </w:rPr>
      </w:pPr>
      <w:r>
        <w:rPr>
          <w:rFonts w:ascii="Times New Roman" w:hAnsi="Times New Roman" w:cs="Times New Roman"/>
          <w:sz w:val="24"/>
          <w:szCs w:val="24"/>
        </w:rPr>
        <w:fldChar w:fldCharType="end"/>
      </w:r>
    </w:p>
    <w:sectPr>
      <w:footerReference r:id="rId3" w:type="default"/>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AdvTTe692faf0">
    <w:altName w:val="Times New Roman"/>
    <w:panose1 w:val="00000000000000000000"/>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0"/>
        <w:szCs w:val="20"/>
      </w:rPr>
      <w:id w:val="-676113263"/>
      <w:docPartObj>
        <w:docPartGallery w:val="AutoText"/>
      </w:docPartObj>
    </w:sdtPr>
    <w:sdtEndPr>
      <w:rPr>
        <w:rFonts w:ascii="Times New Roman" w:hAnsi="Times New Roman" w:cs="Times New Roman"/>
        <w:sz w:val="20"/>
        <w:szCs w:val="20"/>
      </w:rPr>
    </w:sdtEndPr>
    <w:sdtContent>
      <w:p>
        <w:pPr>
          <w:pStyle w:val="14"/>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w:instrText>
        </w:r>
        <w:r>
          <w:rPr>
            <w:rFonts w:ascii="Times New Roman" w:hAnsi="Times New Roman" w:cs="Times New Roman"/>
            <w:sz w:val="20"/>
            <w:szCs w:val="20"/>
          </w:rPr>
          <w:fldChar w:fldCharType="separate"/>
        </w:r>
        <w:r>
          <w:rPr>
            <w:rFonts w:ascii="Times New Roman" w:hAnsi="Times New Roman" w:cs="Times New Roman"/>
            <w:sz w:val="20"/>
            <w:szCs w:val="20"/>
            <w:lang w:val="zh-CN"/>
          </w:rPr>
          <w:t>2</w:t>
        </w:r>
        <w:r>
          <w:rPr>
            <w:rFonts w:ascii="Times New Roman" w:hAnsi="Times New Roman" w:cs="Times New Roman"/>
            <w:sz w:val="20"/>
            <w:szCs w:val="20"/>
          </w:rPr>
          <w:fldChar w:fldCharType="end"/>
        </w:r>
      </w:p>
    </w:sdtContent>
  </w:sdt>
  <w:p>
    <w:pPr>
      <w:pStyle w:val="14"/>
      <w:ind w:left="3073"/>
      <w:rPr>
        <w:rFonts w:ascii="Times New Roman" w:hAnsi="Times New Roman" w:cs="Times New Roman"/>
        <w:sz w:val="20"/>
        <w:szCs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QxNDAwZTNjNGQ4NzJmNGQyODRlNzZhODVmNmEzZDkifQ=="/>
    <w:docVar w:name="currentStyleCount" w:val="5"/>
  </w:docVars>
  <w:rsids>
    <w:rsidRoot w:val="00B77593"/>
    <w:rsid w:val="000002FC"/>
    <w:rsid w:val="000055B8"/>
    <w:rsid w:val="000512B9"/>
    <w:rsid w:val="00080687"/>
    <w:rsid w:val="00094C6B"/>
    <w:rsid w:val="000D6C1E"/>
    <w:rsid w:val="000F1F45"/>
    <w:rsid w:val="000F7764"/>
    <w:rsid w:val="00104FF0"/>
    <w:rsid w:val="00111974"/>
    <w:rsid w:val="00133960"/>
    <w:rsid w:val="001465D2"/>
    <w:rsid w:val="00153679"/>
    <w:rsid w:val="00186E59"/>
    <w:rsid w:val="001A6A18"/>
    <w:rsid w:val="001B1661"/>
    <w:rsid w:val="001C0BA8"/>
    <w:rsid w:val="001D7A5C"/>
    <w:rsid w:val="001D7E31"/>
    <w:rsid w:val="001F4DC0"/>
    <w:rsid w:val="00203393"/>
    <w:rsid w:val="00216147"/>
    <w:rsid w:val="0022015A"/>
    <w:rsid w:val="00232CF9"/>
    <w:rsid w:val="002616E6"/>
    <w:rsid w:val="00281995"/>
    <w:rsid w:val="0028567E"/>
    <w:rsid w:val="0028659D"/>
    <w:rsid w:val="002A00C2"/>
    <w:rsid w:val="002A2A7E"/>
    <w:rsid w:val="002A4166"/>
    <w:rsid w:val="002A56D3"/>
    <w:rsid w:val="002D3F8B"/>
    <w:rsid w:val="002D46CD"/>
    <w:rsid w:val="00311D64"/>
    <w:rsid w:val="003365EB"/>
    <w:rsid w:val="00336F31"/>
    <w:rsid w:val="003630E9"/>
    <w:rsid w:val="00372C79"/>
    <w:rsid w:val="003B489D"/>
    <w:rsid w:val="003B5879"/>
    <w:rsid w:val="003B5E6F"/>
    <w:rsid w:val="003B701C"/>
    <w:rsid w:val="003C27F4"/>
    <w:rsid w:val="003C2C2F"/>
    <w:rsid w:val="003C4514"/>
    <w:rsid w:val="003D023C"/>
    <w:rsid w:val="003D7C5C"/>
    <w:rsid w:val="003F6529"/>
    <w:rsid w:val="00400C3F"/>
    <w:rsid w:val="00400C4A"/>
    <w:rsid w:val="00411399"/>
    <w:rsid w:val="0041431A"/>
    <w:rsid w:val="0042483B"/>
    <w:rsid w:val="00434D4E"/>
    <w:rsid w:val="00443087"/>
    <w:rsid w:val="00446ECA"/>
    <w:rsid w:val="00460CD0"/>
    <w:rsid w:val="00480CF9"/>
    <w:rsid w:val="004A2063"/>
    <w:rsid w:val="004B5FB9"/>
    <w:rsid w:val="004C4959"/>
    <w:rsid w:val="004C661A"/>
    <w:rsid w:val="004E227B"/>
    <w:rsid w:val="00510B88"/>
    <w:rsid w:val="0053502E"/>
    <w:rsid w:val="0053684C"/>
    <w:rsid w:val="00536D2D"/>
    <w:rsid w:val="00541577"/>
    <w:rsid w:val="00543A33"/>
    <w:rsid w:val="00547EDC"/>
    <w:rsid w:val="00552815"/>
    <w:rsid w:val="00553EF4"/>
    <w:rsid w:val="00560042"/>
    <w:rsid w:val="005676AC"/>
    <w:rsid w:val="00582314"/>
    <w:rsid w:val="005845EC"/>
    <w:rsid w:val="00586A4E"/>
    <w:rsid w:val="00595354"/>
    <w:rsid w:val="005B4575"/>
    <w:rsid w:val="005B6BB0"/>
    <w:rsid w:val="005C236B"/>
    <w:rsid w:val="006077A1"/>
    <w:rsid w:val="00616AC5"/>
    <w:rsid w:val="00617C64"/>
    <w:rsid w:val="006519A3"/>
    <w:rsid w:val="00682EC6"/>
    <w:rsid w:val="00683835"/>
    <w:rsid w:val="00693381"/>
    <w:rsid w:val="006A4F05"/>
    <w:rsid w:val="006C4758"/>
    <w:rsid w:val="006E081A"/>
    <w:rsid w:val="006E2195"/>
    <w:rsid w:val="00704AC5"/>
    <w:rsid w:val="0071217D"/>
    <w:rsid w:val="007130AB"/>
    <w:rsid w:val="0071607A"/>
    <w:rsid w:val="00722A7B"/>
    <w:rsid w:val="007447C8"/>
    <w:rsid w:val="00753729"/>
    <w:rsid w:val="0076161F"/>
    <w:rsid w:val="007A1130"/>
    <w:rsid w:val="007B1DE2"/>
    <w:rsid w:val="007B787F"/>
    <w:rsid w:val="007C56EF"/>
    <w:rsid w:val="007E44FF"/>
    <w:rsid w:val="007F6428"/>
    <w:rsid w:val="007F7ADC"/>
    <w:rsid w:val="008051DB"/>
    <w:rsid w:val="00826722"/>
    <w:rsid w:val="00827B0C"/>
    <w:rsid w:val="008413F9"/>
    <w:rsid w:val="00846A11"/>
    <w:rsid w:val="00855AAF"/>
    <w:rsid w:val="00881612"/>
    <w:rsid w:val="00882AB0"/>
    <w:rsid w:val="008A2FEE"/>
    <w:rsid w:val="008B30EC"/>
    <w:rsid w:val="008B6464"/>
    <w:rsid w:val="008C2102"/>
    <w:rsid w:val="008E3CE0"/>
    <w:rsid w:val="008F12A0"/>
    <w:rsid w:val="008F7772"/>
    <w:rsid w:val="00910DCA"/>
    <w:rsid w:val="00910F5F"/>
    <w:rsid w:val="0091260F"/>
    <w:rsid w:val="00922334"/>
    <w:rsid w:val="009247AC"/>
    <w:rsid w:val="00927E56"/>
    <w:rsid w:val="009306DE"/>
    <w:rsid w:val="0093518D"/>
    <w:rsid w:val="00946439"/>
    <w:rsid w:val="009475F0"/>
    <w:rsid w:val="00955E11"/>
    <w:rsid w:val="009640A8"/>
    <w:rsid w:val="009A19CE"/>
    <w:rsid w:val="009B0824"/>
    <w:rsid w:val="009C2AA6"/>
    <w:rsid w:val="009D51BD"/>
    <w:rsid w:val="009E0C3C"/>
    <w:rsid w:val="009F6EB2"/>
    <w:rsid w:val="00A00EBA"/>
    <w:rsid w:val="00A15E59"/>
    <w:rsid w:val="00A16D85"/>
    <w:rsid w:val="00A33714"/>
    <w:rsid w:val="00A36C4C"/>
    <w:rsid w:val="00A433F7"/>
    <w:rsid w:val="00A4403C"/>
    <w:rsid w:val="00A54472"/>
    <w:rsid w:val="00A80657"/>
    <w:rsid w:val="00AA0E21"/>
    <w:rsid w:val="00AA1D25"/>
    <w:rsid w:val="00AA71F1"/>
    <w:rsid w:val="00AB5F11"/>
    <w:rsid w:val="00AE797B"/>
    <w:rsid w:val="00B2119E"/>
    <w:rsid w:val="00B309AE"/>
    <w:rsid w:val="00B42F0C"/>
    <w:rsid w:val="00B459AF"/>
    <w:rsid w:val="00B53A9D"/>
    <w:rsid w:val="00B77593"/>
    <w:rsid w:val="00B77F42"/>
    <w:rsid w:val="00B81E2C"/>
    <w:rsid w:val="00B82207"/>
    <w:rsid w:val="00B82ACF"/>
    <w:rsid w:val="00B84998"/>
    <w:rsid w:val="00B85605"/>
    <w:rsid w:val="00B870CC"/>
    <w:rsid w:val="00B9269B"/>
    <w:rsid w:val="00B9796A"/>
    <w:rsid w:val="00BA6DA1"/>
    <w:rsid w:val="00BB2CD4"/>
    <w:rsid w:val="00BE6365"/>
    <w:rsid w:val="00BE7F88"/>
    <w:rsid w:val="00C06F46"/>
    <w:rsid w:val="00C2010E"/>
    <w:rsid w:val="00C311A2"/>
    <w:rsid w:val="00C37A57"/>
    <w:rsid w:val="00C8106E"/>
    <w:rsid w:val="00C911E5"/>
    <w:rsid w:val="00C91791"/>
    <w:rsid w:val="00CD1E29"/>
    <w:rsid w:val="00CD5048"/>
    <w:rsid w:val="00CE1967"/>
    <w:rsid w:val="00CF75BA"/>
    <w:rsid w:val="00D1562A"/>
    <w:rsid w:val="00D35362"/>
    <w:rsid w:val="00D529DA"/>
    <w:rsid w:val="00D679B4"/>
    <w:rsid w:val="00D771B1"/>
    <w:rsid w:val="00D80300"/>
    <w:rsid w:val="00D876C5"/>
    <w:rsid w:val="00DA13EA"/>
    <w:rsid w:val="00DA1E84"/>
    <w:rsid w:val="00DB750D"/>
    <w:rsid w:val="00DC3BE5"/>
    <w:rsid w:val="00DE0B3A"/>
    <w:rsid w:val="00E01273"/>
    <w:rsid w:val="00E11345"/>
    <w:rsid w:val="00E27DBD"/>
    <w:rsid w:val="00E27E92"/>
    <w:rsid w:val="00E402CA"/>
    <w:rsid w:val="00E40566"/>
    <w:rsid w:val="00E415E5"/>
    <w:rsid w:val="00E54F2D"/>
    <w:rsid w:val="00E60785"/>
    <w:rsid w:val="00E94B44"/>
    <w:rsid w:val="00EB4B7B"/>
    <w:rsid w:val="00ED29F2"/>
    <w:rsid w:val="00ED68F4"/>
    <w:rsid w:val="00EE31C7"/>
    <w:rsid w:val="00EF2316"/>
    <w:rsid w:val="00F02AB0"/>
    <w:rsid w:val="00F06EEC"/>
    <w:rsid w:val="00F07DD6"/>
    <w:rsid w:val="00F12E5D"/>
    <w:rsid w:val="00F16F6A"/>
    <w:rsid w:val="00F17C5F"/>
    <w:rsid w:val="00F33FD1"/>
    <w:rsid w:val="00F35F0B"/>
    <w:rsid w:val="00F4098D"/>
    <w:rsid w:val="00F42AFE"/>
    <w:rsid w:val="00F44ECE"/>
    <w:rsid w:val="00F478A0"/>
    <w:rsid w:val="00F74542"/>
    <w:rsid w:val="00F76F02"/>
    <w:rsid w:val="00F851C0"/>
    <w:rsid w:val="00F90250"/>
    <w:rsid w:val="00F9641C"/>
    <w:rsid w:val="00F973BD"/>
    <w:rsid w:val="00FA1AD0"/>
    <w:rsid w:val="00FA1DC9"/>
    <w:rsid w:val="00FA5050"/>
    <w:rsid w:val="00FA545F"/>
    <w:rsid w:val="00FB43BE"/>
    <w:rsid w:val="00FC6B16"/>
    <w:rsid w:val="00FF2B70"/>
    <w:rsid w:val="045B70AB"/>
    <w:rsid w:val="04F75026"/>
    <w:rsid w:val="0648609D"/>
    <w:rsid w:val="06506C80"/>
    <w:rsid w:val="08DC58E8"/>
    <w:rsid w:val="09AE3225"/>
    <w:rsid w:val="0F2A2C71"/>
    <w:rsid w:val="11FC78F2"/>
    <w:rsid w:val="12EE0AEA"/>
    <w:rsid w:val="14177869"/>
    <w:rsid w:val="141B2394"/>
    <w:rsid w:val="1C8F204C"/>
    <w:rsid w:val="202E0FB9"/>
    <w:rsid w:val="228757E3"/>
    <w:rsid w:val="25A16141"/>
    <w:rsid w:val="27782DB1"/>
    <w:rsid w:val="31D40201"/>
    <w:rsid w:val="35135598"/>
    <w:rsid w:val="365F5E83"/>
    <w:rsid w:val="36E564F3"/>
    <w:rsid w:val="37074D33"/>
    <w:rsid w:val="377834F5"/>
    <w:rsid w:val="3AD31D0F"/>
    <w:rsid w:val="3E0F20D3"/>
    <w:rsid w:val="3E5D5270"/>
    <w:rsid w:val="3EDC0F31"/>
    <w:rsid w:val="3F1C4C59"/>
    <w:rsid w:val="409A272E"/>
    <w:rsid w:val="431D4C02"/>
    <w:rsid w:val="44C4421D"/>
    <w:rsid w:val="488B164F"/>
    <w:rsid w:val="4A6B0D24"/>
    <w:rsid w:val="4B04204A"/>
    <w:rsid w:val="4FB00E0A"/>
    <w:rsid w:val="503E0540"/>
    <w:rsid w:val="532D075E"/>
    <w:rsid w:val="532D317F"/>
    <w:rsid w:val="54693363"/>
    <w:rsid w:val="5DA7290E"/>
    <w:rsid w:val="5F1958CF"/>
    <w:rsid w:val="5FCF310B"/>
    <w:rsid w:val="60F5672B"/>
    <w:rsid w:val="616B1851"/>
    <w:rsid w:val="63393185"/>
    <w:rsid w:val="666D1BC7"/>
    <w:rsid w:val="66B10FE8"/>
    <w:rsid w:val="672518FA"/>
    <w:rsid w:val="69B23269"/>
    <w:rsid w:val="6A413436"/>
    <w:rsid w:val="6BFF512A"/>
    <w:rsid w:val="6C676941"/>
    <w:rsid w:val="718F2D1C"/>
    <w:rsid w:val="722D7953"/>
    <w:rsid w:val="728E7604"/>
    <w:rsid w:val="73905147"/>
    <w:rsid w:val="74DF1EE2"/>
    <w:rsid w:val="751D2F20"/>
    <w:rsid w:val="79C048B7"/>
    <w:rsid w:val="79F83D0B"/>
    <w:rsid w:val="7A1D300F"/>
    <w:rsid w:val="7C43544C"/>
    <w:rsid w:val="7D9A0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8"/>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9"/>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1"/>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35"/>
    <w:pPr>
      <w:spacing w:before="160" w:after="60"/>
    </w:pPr>
    <w:rPr>
      <w:rFonts w:ascii="Times New Roman" w:hAnsi="Times New Roman" w:eastAsia="Times New Roman"/>
      <w:bCs/>
      <w:color w:val="156082" w:themeColor="accent1"/>
      <w:sz w:val="18"/>
      <w:szCs w:val="18"/>
      <w14:textFill>
        <w14:solidFill>
          <w14:schemeClr w14:val="accent1"/>
        </w14:solidFill>
      </w14:textFill>
    </w:rPr>
  </w:style>
  <w:style w:type="paragraph" w:styleId="12">
    <w:name w:val="annotation text"/>
    <w:basedOn w:val="1"/>
    <w:semiHidden/>
    <w:unhideWhenUsed/>
    <w:qFormat/>
    <w:uiPriority w:val="99"/>
    <w:pPr>
      <w:jc w:val="left"/>
    </w:pPr>
  </w:style>
  <w:style w:type="paragraph" w:styleId="13">
    <w:name w:val="Body Text"/>
    <w:basedOn w:val="1"/>
    <w:qFormat/>
    <w:uiPriority w:val="0"/>
    <w:pPr>
      <w:spacing w:before="180" w:after="180"/>
    </w:pPr>
  </w:style>
  <w:style w:type="paragraph" w:styleId="14">
    <w:name w:val="footer"/>
    <w:basedOn w:val="1"/>
    <w:link w:val="49"/>
    <w:unhideWhenUsed/>
    <w:qFormat/>
    <w:uiPriority w:val="99"/>
    <w:pPr>
      <w:tabs>
        <w:tab w:val="center" w:pos="4153"/>
        <w:tab w:val="right" w:pos="8306"/>
      </w:tabs>
      <w:snapToGrid w:val="0"/>
      <w:jc w:val="left"/>
    </w:pPr>
    <w:rPr>
      <w:sz w:val="18"/>
      <w:szCs w:val="18"/>
    </w:rPr>
  </w:style>
  <w:style w:type="paragraph" w:styleId="15">
    <w:name w:val="header"/>
    <w:basedOn w:val="1"/>
    <w:link w:val="48"/>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HTML Preformatted"/>
    <w:basedOn w:val="1"/>
    <w:link w:val="46"/>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1">
    <w:name w:val="Table Grid"/>
    <w:basedOn w:val="20"/>
    <w:qFormat/>
    <w:uiPriority w:val="39"/>
    <w:rPr>
      <w:sz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Emphasis"/>
    <w:basedOn w:val="22"/>
    <w:qFormat/>
    <w:uiPriority w:val="20"/>
    <w:rPr>
      <w:i/>
    </w:rPr>
  </w:style>
  <w:style w:type="character" w:styleId="25">
    <w:name w:val="Hyperlink"/>
    <w:basedOn w:val="22"/>
    <w:unhideWhenUsed/>
    <w:qFormat/>
    <w:uiPriority w:val="99"/>
    <w:rPr>
      <w:color w:val="0000FF"/>
      <w:u w:val="single"/>
    </w:rPr>
  </w:style>
  <w:style w:type="character" w:styleId="26">
    <w:name w:val="HTML Code"/>
    <w:basedOn w:val="22"/>
    <w:semiHidden/>
    <w:unhideWhenUsed/>
    <w:qFormat/>
    <w:uiPriority w:val="99"/>
    <w:rPr>
      <w:rFonts w:ascii="宋体" w:hAnsi="宋体" w:eastAsia="宋体" w:cs="宋体"/>
      <w:sz w:val="24"/>
      <w:szCs w:val="24"/>
    </w:rPr>
  </w:style>
  <w:style w:type="character" w:customStyle="1" w:styleId="27">
    <w:name w:val="标题 1 字符"/>
    <w:basedOn w:val="22"/>
    <w:link w:val="2"/>
    <w:qFormat/>
    <w:uiPriority w:val="9"/>
    <w:rPr>
      <w:rFonts w:asciiTheme="majorHAnsi" w:hAnsiTheme="majorHAnsi" w:eastAsiaTheme="majorEastAsia" w:cstheme="majorBidi"/>
      <w:color w:val="104862" w:themeColor="accent1" w:themeShade="BF"/>
      <w:sz w:val="48"/>
      <w:szCs w:val="48"/>
    </w:rPr>
  </w:style>
  <w:style w:type="character" w:customStyle="1" w:styleId="28">
    <w:name w:val="标题 2 字符"/>
    <w:basedOn w:val="22"/>
    <w:link w:val="3"/>
    <w:qFormat/>
    <w:uiPriority w:val="9"/>
    <w:rPr>
      <w:rFonts w:asciiTheme="majorHAnsi" w:hAnsiTheme="majorHAnsi" w:eastAsiaTheme="majorEastAsia" w:cstheme="majorBidi"/>
      <w:color w:val="104862" w:themeColor="accent1" w:themeShade="BF"/>
      <w:sz w:val="40"/>
      <w:szCs w:val="40"/>
    </w:rPr>
  </w:style>
  <w:style w:type="character" w:customStyle="1" w:styleId="29">
    <w:name w:val="标题 3 字符"/>
    <w:basedOn w:val="22"/>
    <w:link w:val="4"/>
    <w:qFormat/>
    <w:uiPriority w:val="9"/>
    <w:rPr>
      <w:rFonts w:asciiTheme="majorHAnsi" w:hAnsiTheme="majorHAnsi" w:eastAsiaTheme="majorEastAsia" w:cstheme="majorBidi"/>
      <w:color w:val="104862" w:themeColor="accent1" w:themeShade="BF"/>
      <w:sz w:val="32"/>
      <w:szCs w:val="32"/>
    </w:rPr>
  </w:style>
  <w:style w:type="character" w:customStyle="1" w:styleId="30">
    <w:name w:val="标题 4 字符"/>
    <w:basedOn w:val="22"/>
    <w:link w:val="5"/>
    <w:semiHidden/>
    <w:qFormat/>
    <w:uiPriority w:val="9"/>
    <w:rPr>
      <w:rFonts w:cstheme="majorBidi"/>
      <w:color w:val="104862" w:themeColor="accent1" w:themeShade="BF"/>
      <w:sz w:val="28"/>
      <w:szCs w:val="28"/>
    </w:rPr>
  </w:style>
  <w:style w:type="character" w:customStyle="1" w:styleId="31">
    <w:name w:val="标题 5 字符"/>
    <w:basedOn w:val="22"/>
    <w:link w:val="6"/>
    <w:semiHidden/>
    <w:qFormat/>
    <w:uiPriority w:val="9"/>
    <w:rPr>
      <w:rFonts w:cstheme="majorBidi"/>
      <w:color w:val="104862" w:themeColor="accent1" w:themeShade="BF"/>
      <w:sz w:val="24"/>
      <w:szCs w:val="24"/>
    </w:rPr>
  </w:style>
  <w:style w:type="character" w:customStyle="1" w:styleId="32">
    <w:name w:val="标题 6 字符"/>
    <w:basedOn w:val="22"/>
    <w:link w:val="7"/>
    <w:semiHidden/>
    <w:qFormat/>
    <w:uiPriority w:val="9"/>
    <w:rPr>
      <w:rFonts w:cstheme="majorBidi"/>
      <w:b/>
      <w:bCs/>
      <w:color w:val="104862" w:themeColor="accent1" w:themeShade="BF"/>
    </w:rPr>
  </w:style>
  <w:style w:type="character" w:customStyle="1" w:styleId="33">
    <w:name w:val="标题 7 字符"/>
    <w:basedOn w:val="22"/>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22"/>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22"/>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22"/>
    <w:link w:val="19"/>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22"/>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22"/>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明显强调1"/>
    <w:basedOn w:val="22"/>
    <w:qFormat/>
    <w:uiPriority w:val="21"/>
    <w:rPr>
      <w:i/>
      <w:iCs/>
      <w:color w:val="104862" w:themeColor="accent1" w:themeShade="BF"/>
    </w:rPr>
  </w:style>
  <w:style w:type="paragraph" w:styleId="42">
    <w:name w:val="Intense Quote"/>
    <w:basedOn w:val="1"/>
    <w:next w:val="1"/>
    <w:link w:val="4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3">
    <w:name w:val="明显引用 字符"/>
    <w:basedOn w:val="22"/>
    <w:link w:val="42"/>
    <w:qFormat/>
    <w:uiPriority w:val="30"/>
    <w:rPr>
      <w:i/>
      <w:iCs/>
      <w:color w:val="104862" w:themeColor="accent1" w:themeShade="BF"/>
    </w:rPr>
  </w:style>
  <w:style w:type="character" w:customStyle="1" w:styleId="44">
    <w:name w:val="明显参考1"/>
    <w:basedOn w:val="22"/>
    <w:qFormat/>
    <w:uiPriority w:val="32"/>
    <w:rPr>
      <w:b/>
      <w:bCs/>
      <w:smallCaps/>
      <w:color w:val="104862" w:themeColor="accent1" w:themeShade="BF"/>
      <w:spacing w:val="5"/>
    </w:rPr>
  </w:style>
  <w:style w:type="paragraph" w:customStyle="1" w:styleId="45">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46">
    <w:name w:val="HTML 预设格式 字符"/>
    <w:basedOn w:val="22"/>
    <w:link w:val="17"/>
    <w:semiHidden/>
    <w:qFormat/>
    <w:uiPriority w:val="99"/>
    <w:rPr>
      <w:rFonts w:ascii="宋体" w:hAnsi="宋体" w:eastAsia="宋体" w:cs="宋体"/>
      <w:kern w:val="0"/>
      <w:sz w:val="24"/>
      <w:szCs w:val="24"/>
    </w:rPr>
  </w:style>
  <w:style w:type="character" w:customStyle="1" w:styleId="47">
    <w:name w:val="未处理的提及1"/>
    <w:basedOn w:val="22"/>
    <w:semiHidden/>
    <w:unhideWhenUsed/>
    <w:qFormat/>
    <w:uiPriority w:val="99"/>
    <w:rPr>
      <w:color w:val="605E5C"/>
      <w:shd w:val="clear" w:color="auto" w:fill="E1DFDD"/>
    </w:rPr>
  </w:style>
  <w:style w:type="character" w:customStyle="1" w:styleId="48">
    <w:name w:val="页眉 字符"/>
    <w:basedOn w:val="22"/>
    <w:link w:val="15"/>
    <w:qFormat/>
    <w:uiPriority w:val="99"/>
    <w:rPr>
      <w:sz w:val="18"/>
      <w:szCs w:val="18"/>
    </w:rPr>
  </w:style>
  <w:style w:type="character" w:customStyle="1" w:styleId="49">
    <w:name w:val="页脚 字符"/>
    <w:basedOn w:val="22"/>
    <w:link w:val="14"/>
    <w:qFormat/>
    <w:uiPriority w:val="99"/>
    <w:rPr>
      <w:sz w:val="18"/>
      <w:szCs w:val="18"/>
    </w:rPr>
  </w:style>
  <w:style w:type="paragraph" w:customStyle="1" w:styleId="50">
    <w:name w:val="CaptionLike"/>
    <w:qFormat/>
    <w:uiPriority w:val="0"/>
    <w:pPr>
      <w:spacing w:before="160" w:after="60"/>
    </w:pPr>
    <w:rPr>
      <w:rFonts w:ascii="Times New Roman" w:hAnsi="Times New Roman" w:eastAsia="Times New Roman" w:cstheme="minorBidi"/>
      <w:szCs w:val="22"/>
      <w:lang w:val="en-US" w:eastAsia="en-US" w:bidi="ar-SA"/>
    </w:rPr>
  </w:style>
  <w:style w:type="paragraph" w:customStyle="1" w:styleId="51">
    <w:name w:val="First Paragraph"/>
    <w:basedOn w:val="13"/>
    <w:next w:val="13"/>
    <w:qFormat/>
    <w:uiPriority w:val="0"/>
  </w:style>
  <w:style w:type="paragraph" w:customStyle="1" w:styleId="52">
    <w:name w:val="Compact"/>
    <w:basedOn w:val="13"/>
    <w:qFormat/>
    <w:uiPriority w:val="0"/>
    <w:pPr>
      <w:spacing w:before="36" w:after="36"/>
    </w:pPr>
  </w:style>
  <w:style w:type="table" w:customStyle="1" w:styleId="53">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character" w:styleId="54">
    <w:name w:val="Placeholder Text"/>
    <w:basedOn w:val="22"/>
    <w:unhideWhenUsed/>
    <w:qFormat/>
    <w:uiPriority w:val="99"/>
    <w:rPr>
      <w:color w:val="666666"/>
    </w:rPr>
  </w:style>
  <w:style w:type="paragraph" w:customStyle="1" w:styleId="55">
    <w:name w:val="Bibliography"/>
    <w:basedOn w:val="1"/>
    <w:next w:val="1"/>
    <w:unhideWhenUsed/>
    <w:qFormat/>
    <w:uiPriority w:val="37"/>
    <w:pPr>
      <w:tabs>
        <w:tab w:val="left" w:pos="384"/>
      </w:tabs>
      <w:spacing w:line="480" w:lineRule="auto"/>
      <w:ind w:left="384" w:hanging="384"/>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tiff"/><Relationship Id="rId7" Type="http://schemas.openxmlformats.org/officeDocument/2006/relationships/image" Target="media/image3.png"/><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3.tiff"/><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tiff"/><Relationship Id="rId13" Type="http://schemas.openxmlformats.org/officeDocument/2006/relationships/image" Target="media/image9.tiff"/><Relationship Id="rId12" Type="http://schemas.openxmlformats.org/officeDocument/2006/relationships/image" Target="media/image8.png"/><Relationship Id="rId11" Type="http://schemas.openxmlformats.org/officeDocument/2006/relationships/image" Target="media/image7.tiff"/><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B073D-157B-445D-9781-C65D5405FA15}">
  <ds:schemaRefs/>
</ds:datastoreItem>
</file>

<file path=docProps/app.xml><?xml version="1.0" encoding="utf-8"?>
<Properties xmlns="http://schemas.openxmlformats.org/officeDocument/2006/extended-properties" xmlns:vt="http://schemas.openxmlformats.org/officeDocument/2006/docPropsVTypes">
  <Template>Normal.dotm</Template>
  <Pages>56</Pages>
  <Words>25565</Words>
  <Characters>145723</Characters>
  <Lines>1214</Lines>
  <Paragraphs>341</Paragraphs>
  <TotalTime>95</TotalTime>
  <ScaleCrop>false</ScaleCrop>
  <LinksUpToDate>false</LinksUpToDate>
  <CharactersWithSpaces>170947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2026-04-25T14:54:00Z</dcterms:created>
  <dc:creator>忠源 明</dc:creator>
  <cp:lastModifiedBy>A</cp:lastModifiedBy>
  <dcterms:modified xsi:type="dcterms:W3CDTF">2026-09-06T07:45:17Z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993C9BABC0B543AC8FE269D2F69DF742_12</vt:lpwstr>
  </property>
  <property fmtid="{D5CDD505-2E9C-101B-9397-08002B2CF9AE}" pid="4" name="ZOTERO_PREF_1">
    <vt:lpwstr>&lt;data data-version="3" zotero-version="10.0-beta.26+7c52e3013"&gt;&lt;session id="AHgvDaGI"/&gt;&lt;style id="http://www.zotero.org/styles/nature" hasBibliography="1" bibliographyStyleHasBeenSet="1"/&gt;&lt;prefs&gt;&lt;pref name="fieldType" value="Field"/&gt;&lt;/prefs&gt;&lt;/data&gt;</vt:lpwstr>
  </property>
</Properties>
</file>