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rFonts w:ascii="Times New Roman" w:hAnsi="Times New Roman" w:cs="Times New Roman"/>
          <w:b/>
          <w:b/>
          <w:bCs/>
          <w:lang w:val="en-GB"/>
        </w:rPr>
      </w:pPr>
      <w:r>
        <w:rPr>
          <w:rFonts w:cs="Times New Roman" w:ascii="Times New Roman" w:hAnsi="Times New Roman"/>
          <w:b/>
          <w:bCs/>
          <w:lang w:val="en-GB"/>
        </w:rPr>
        <w:t>Supplementary Methods</w:t>
      </w:r>
    </w:p>
    <w:p>
      <w:pPr>
        <w:pStyle w:val="Normal"/>
        <w:spacing w:lineRule="auto" w:line="276"/>
        <w:jc w:val="both"/>
        <w:rPr>
          <w:rFonts w:ascii="Times New Roman" w:hAnsi="Times New Roman" w:cs="Times New Roman"/>
          <w:b/>
          <w:b/>
          <w:bCs/>
          <w:lang w:val="en-GB"/>
        </w:rPr>
      </w:pPr>
      <w:r>
        <w:rPr>
          <w:rFonts w:cs="Times New Roman" w:ascii="Times New Roman" w:hAnsi="Times New Roman"/>
          <w:b/>
          <w:bCs/>
          <w:lang w:val="en-GB"/>
        </w:rPr>
      </w:r>
    </w:p>
    <w:p>
      <w:pPr>
        <w:pStyle w:val="Normal"/>
        <w:spacing w:lineRule="auto" w:line="276"/>
        <w:jc w:val="both"/>
        <w:rPr>
          <w:rFonts w:ascii="Times New Roman" w:hAnsi="Times New Roman" w:cs="Times New Roman"/>
          <w:b/>
          <w:b/>
          <w:bCs/>
          <w:lang w:val="en-GB"/>
        </w:rPr>
      </w:pPr>
      <w:r>
        <w:rPr>
          <w:rFonts w:cs="Times New Roman" w:ascii="Times New Roman" w:hAnsi="Times New Roman"/>
          <w:b/>
          <w:bCs/>
          <w:lang w:val="en-GB"/>
        </w:rPr>
      </w:r>
    </w:p>
    <w:p>
      <w:pPr>
        <w:pStyle w:val="Normal"/>
        <w:overflowPunct w:val="false"/>
        <w:spacing w:lineRule="auto" w:line="276"/>
        <w:rPr>
          <w:rFonts w:ascii="Times New Roman" w:hAnsi="Times New Roman"/>
          <w:b/>
          <w:b/>
        </w:rPr>
      </w:pPr>
      <w:r>
        <w:rPr>
          <w:rFonts w:ascii="Times New Roman" w:hAnsi="Times New Roman"/>
          <w:b/>
          <w:bCs/>
        </w:rPr>
        <w:t xml:space="preserve">Title: </w:t>
      </w:r>
      <w:r>
        <w:rPr>
          <w:rFonts w:ascii="Times New Roman" w:hAnsi="Times New Roman"/>
          <w:b/>
        </w:rPr>
        <w:t>Seasonal turnover and diet breadth shape long-term occurrence patterns of oil-collecting bees in the Brazilian Cerrado</w:t>
      </w:r>
    </w:p>
    <w:p>
      <w:pPr>
        <w:pStyle w:val="Normal"/>
        <w:overflowPunct w:val="false"/>
        <w:spacing w:lineRule="auto" w:line="276"/>
        <w:rPr>
          <w:rFonts w:ascii="Times New Roman" w:hAnsi="Times New Roman"/>
          <w:b/>
          <w:b/>
        </w:rPr>
      </w:pPr>
      <w:r>
        <w:rPr>
          <w:rFonts w:ascii="Times New Roman" w:hAnsi="Times New Roman"/>
          <w:b/>
        </w:rPr>
      </w:r>
    </w:p>
    <w:p>
      <w:pPr>
        <w:pStyle w:val="Normal"/>
        <w:overflowPunct w:val="false"/>
        <w:spacing w:lineRule="auto" w:line="276"/>
        <w:jc w:val="both"/>
        <w:rPr/>
      </w:pPr>
      <w:r>
        <w:rPr>
          <w:rFonts w:ascii="Times New Roman" w:hAnsi="Times New Roman"/>
        </w:rPr>
        <w:t xml:space="preserve"> </w:t>
      </w:r>
    </w:p>
    <w:p>
      <w:pPr>
        <w:pStyle w:val="Normal"/>
        <w:overflowPunct w:val="false"/>
        <w:spacing w:lineRule="auto" w:line="276"/>
        <w:jc w:val="both"/>
        <w:rPr/>
      </w:pPr>
      <w:r>
        <w:rPr>
          <w:rFonts w:eastAsia="Times New Roman" w:cs="Times New Roman" w:ascii="Times New Roman" w:hAnsi="Times New Roman"/>
          <w:lang w:val="pt-BR"/>
        </w:rPr>
        <w:t>Paulo M. Sousa</w:t>
      </w:r>
      <w:r>
        <w:rPr>
          <w:rFonts w:eastAsia="Times New Roman" w:cs="Times New Roman" w:ascii="Times New Roman" w:hAnsi="Times New Roman"/>
          <w:vertAlign w:val="superscript"/>
          <w:lang w:val="pt-BR"/>
        </w:rPr>
        <w:t>*</w:t>
      </w:r>
      <w:r>
        <w:rPr>
          <w:rFonts w:eastAsia="Times New Roman" w:cs="Times New Roman" w:ascii="Times New Roman" w:hAnsi="Times New Roman"/>
          <w:lang w:val="pt-BR"/>
        </w:rPr>
        <w:t>, Akira Shibata, Guilherme Durães, Antonio J. C. Aguiar, Panagiotis Theodorou, Aline C. Martins,  Belinda Kahnt</w:t>
      </w:r>
    </w:p>
    <w:p>
      <w:pPr>
        <w:pStyle w:val="Normal"/>
        <w:overflowPunct w:val="false"/>
        <w:spacing w:lineRule="auto" w:line="276"/>
        <w:jc w:val="both"/>
        <w:rPr>
          <w:rFonts w:ascii="Times New Roman" w:hAnsi="Times New Roman" w:eastAsia="Times New Roman" w:cs="Times New Roman"/>
        </w:rPr>
      </w:pPr>
      <w:r>
        <w:rPr>
          <w:rFonts w:eastAsia="Times New Roman" w:cs="Times New Roman" w:ascii="Times New Roman" w:hAnsi="Times New Roman"/>
        </w:rPr>
      </w:r>
    </w:p>
    <w:p>
      <w:pPr>
        <w:pStyle w:val="Normal"/>
        <w:overflowPunct w:val="false"/>
        <w:spacing w:lineRule="auto" w:line="276"/>
        <w:jc w:val="both"/>
        <w:rPr/>
      </w:pPr>
      <w:r>
        <w:rPr>
          <w:rFonts w:eastAsia="Times New Roman" w:cs="Times New Roman" w:ascii="Times New Roman" w:hAnsi="Times New Roman"/>
        </w:rPr>
        <w:t xml:space="preserve">* Corresponding author: Martin-Luther-University Halle-Wittenberg, Hoher Weg 8, 06120 Halle (Saale), Germany, email: </w:t>
      </w:r>
      <w:hyperlink r:id="rId2">
        <w:r>
          <w:rPr>
            <w:rFonts w:eastAsia="Times New Roman" w:cs="Times New Roman" w:ascii="Times New Roman" w:hAnsi="Times New Roman"/>
            <w:color w:val="000080"/>
            <w:u w:val="single"/>
          </w:rPr>
          <w:t>sousapaulo16@gmail.com</w:t>
        </w:r>
      </w:hyperlink>
      <w:r>
        <w:rPr>
          <w:rFonts w:eastAsia="Times New Roman" w:cs="Times New Roman" w:ascii="Times New Roman" w:hAnsi="Times New Roman"/>
        </w:rPr>
        <w:t xml:space="preserve"> </w:t>
      </w:r>
    </w:p>
    <w:p>
      <w:pPr>
        <w:pStyle w:val="Normal"/>
        <w:spacing w:lineRule="auto" w:line="276"/>
        <w:jc w:val="both"/>
        <w:rPr>
          <w:rFonts w:ascii="Times New Roman" w:hAnsi="Times New Roman" w:cs="Times New Roman"/>
          <w:b/>
          <w:b/>
          <w:bCs/>
        </w:rPr>
      </w:pPr>
      <w:r>
        <w:rPr>
          <w:rFonts w:cs="Times New Roman" w:ascii="Times New Roman" w:hAnsi="Times New Roman"/>
          <w:b/>
          <w:bCs/>
        </w:rPr>
      </w:r>
    </w:p>
    <w:p>
      <w:pPr>
        <w:pStyle w:val="Normal"/>
        <w:spacing w:lineRule="auto" w:line="276"/>
        <w:jc w:val="both"/>
        <w:rPr>
          <w:rFonts w:ascii="Times New Roman" w:hAnsi="Times New Roman" w:cs="Times New Roman"/>
          <w:b/>
          <w:b/>
          <w:bCs/>
        </w:rPr>
      </w:pPr>
      <w:r>
        <w:rPr>
          <w:rFonts w:cs="Times New Roman" w:ascii="Times New Roman" w:hAnsi="Times New Roman"/>
          <w:b/>
          <w:bCs/>
        </w:rPr>
      </w:r>
      <w:r>
        <w:br w:type="page"/>
      </w:r>
    </w:p>
    <w:p>
      <w:pPr>
        <w:pStyle w:val="Normal"/>
        <w:spacing w:lineRule="auto" w:line="276"/>
        <w:jc w:val="both"/>
        <w:rPr>
          <w:rFonts w:ascii="Times New Roman" w:hAnsi="Times New Roman" w:cs="Times New Roman"/>
          <w:b/>
          <w:b/>
          <w:bCs/>
        </w:rPr>
      </w:pPr>
      <w:r>
        <w:rPr>
          <w:rFonts w:cs="Times New Roman" w:ascii="Times New Roman" w:hAnsi="Times New Roman"/>
          <w:b/>
          <w:bCs/>
        </w:rPr>
        <w:t>Supplementary Tables</w:t>
      </w:r>
    </w:p>
    <w:p>
      <w:pPr>
        <w:pStyle w:val="Normal"/>
        <w:jc w:val="both"/>
        <w:rPr>
          <w:rFonts w:ascii="Times New Roman" w:hAnsi="Times New Roman"/>
          <w:b/>
          <w:b/>
          <w:bCs/>
          <w:color w:val="000000"/>
        </w:rPr>
      </w:pPr>
      <w:r>
        <w:rPr>
          <w:rFonts w:ascii="Times New Roman" w:hAnsi="Times New Roman"/>
          <w:b/>
          <w:bCs/>
          <w:color w:val="000000"/>
        </w:rPr>
      </w:r>
    </w:p>
    <w:p>
      <w:pPr>
        <w:pStyle w:val="Normal"/>
        <w:spacing w:lineRule="auto" w:line="276"/>
        <w:jc w:val="both"/>
        <w:rPr>
          <w:rFonts w:ascii="Times New Roman" w:hAnsi="Times New Roman" w:cs="Times New Roman"/>
          <w:szCs w:val="20"/>
        </w:rPr>
      </w:pPr>
      <w:r>
        <w:rPr>
          <w:rFonts w:cs="Times New Roman" w:ascii="Times New Roman" w:hAnsi="Times New Roman"/>
          <w:b/>
          <w:bCs/>
          <w:szCs w:val="20"/>
        </w:rPr>
        <w:t xml:space="preserve">Table S1: </w:t>
      </w:r>
      <w:r>
        <w:rPr>
          <w:rFonts w:cs="Times New Roman" w:ascii="Times New Roman" w:hAnsi="Times New Roman"/>
          <w:szCs w:val="20"/>
        </w:rPr>
        <w:t xml:space="preserve">Number of unique collection events for </w:t>
      </w:r>
      <w:r>
        <w:rPr>
          <w:rFonts w:cs="Times New Roman" w:ascii="Times New Roman" w:hAnsi="Times New Roman"/>
          <w:i/>
          <w:szCs w:val="20"/>
        </w:rPr>
        <w:t>Centris</w:t>
      </w:r>
      <w:r>
        <w:rPr>
          <w:rFonts w:cs="Times New Roman" w:ascii="Times New Roman" w:hAnsi="Times New Roman"/>
          <w:szCs w:val="20"/>
        </w:rPr>
        <w:t xml:space="preserve"> and </w:t>
      </w:r>
      <w:r>
        <w:rPr>
          <w:rFonts w:cs="Times New Roman" w:ascii="Times New Roman" w:hAnsi="Times New Roman"/>
          <w:i/>
          <w:szCs w:val="20"/>
        </w:rPr>
        <w:t>Epicharis</w:t>
      </w:r>
      <w:r>
        <w:rPr>
          <w:rFonts w:cs="Times New Roman" w:ascii="Times New Roman" w:hAnsi="Times New Roman"/>
          <w:szCs w:val="20"/>
        </w:rPr>
        <w:t xml:space="preserve"> per season within each decade.</w:t>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tbl>
      <w:tblPr>
        <w:tblW w:w="7375"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2525"/>
        <w:gridCol w:w="2425"/>
        <w:gridCol w:w="2425"/>
      </w:tblGrid>
      <w:tr>
        <w:trPr/>
        <w:tc>
          <w:tcPr>
            <w:tcW w:w="25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Decade</w:t>
            </w:r>
          </w:p>
        </w:tc>
        <w:tc>
          <w:tcPr>
            <w:tcW w:w="24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Season</w:t>
            </w:r>
          </w:p>
        </w:tc>
        <w:tc>
          <w:tcPr>
            <w:tcW w:w="24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Collection events</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70’s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81</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62</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143</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80’s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53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29</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82</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90’s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69</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40</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109</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2000’s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35</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44</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79</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2010’s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43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35</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78</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r>
          </w:p>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2020’s</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72</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86</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158</w:t>
            </w:r>
          </w:p>
        </w:tc>
      </w:tr>
      <w:tr>
        <w:trPr/>
        <w:tc>
          <w:tcPr>
            <w:tcW w:w="2525" w:type="dxa"/>
            <w:vMerge w:val="restart"/>
            <w:tcBorders/>
          </w:tcPr>
          <w:p>
            <w:pPr>
              <w:pStyle w:val="Normal"/>
              <w:widowControl w:val="false"/>
              <w:spacing w:lineRule="auto" w:line="276"/>
              <w:rPr>
                <w:rFonts w:ascii="Times New Roman" w:hAnsi="Times New Roman" w:cs="Times New Roman"/>
                <w:b/>
                <w:b/>
                <w:bCs/>
              </w:rPr>
            </w:pPr>
            <w:r>
              <w:rPr>
                <w:rFonts w:cs="Times New Roman" w:ascii="Times New Roman" w:hAnsi="Times New Roman"/>
                <w:b/>
                <w:bCs/>
              </w:rPr>
              <w:t>Sum</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353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296</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649</w:t>
            </w:r>
          </w:p>
        </w:tc>
      </w:tr>
      <w:tr>
        <w:trPr/>
        <w:tc>
          <w:tcPr>
            <w:tcW w:w="2525" w:type="dxa"/>
            <w:vMerge w:val="restart"/>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color w:val="000000"/>
              </w:rPr>
              <w:t>Average ± SD</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color w:val="000000"/>
              </w:rPr>
              <w:t>58.8 ± 18.0</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color w:val="000000"/>
              </w:rPr>
              <w:t>49.3 ± 21.2</w:t>
            </w:r>
          </w:p>
        </w:tc>
      </w:tr>
      <w:tr>
        <w:trPr>
          <w:trHeight w:val="282" w:hRule="atLeast"/>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color w:val="000000"/>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color w:val="000000"/>
              </w:rPr>
              <w:t>108.17 ± 35.05</w:t>
            </w:r>
          </w:p>
        </w:tc>
      </w:tr>
    </w:tbl>
    <w:p>
      <w:pPr>
        <w:pStyle w:val="Normal"/>
        <w:spacing w:lineRule="auto" w:line="276"/>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jc w:val="both"/>
        <w:rPr>
          <w:rFonts w:ascii="Times New Roman" w:hAnsi="Times New Roman" w:cs="Times New Roman"/>
          <w:color w:val="000000"/>
        </w:rPr>
      </w:pPr>
      <w:r>
        <w:rPr>
          <w:rFonts w:cs="Times New Roman" w:ascii="Times New Roman" w:hAnsi="Times New Roman"/>
          <w:color w:val="000000"/>
        </w:rPr>
      </w:r>
    </w:p>
    <w:p>
      <w:pPr>
        <w:pStyle w:val="Normal"/>
        <w:spacing w:lineRule="auto" w:line="276"/>
        <w:jc w:val="both"/>
        <w:rPr>
          <w:rFonts w:ascii="Times New Roman" w:hAnsi="Times New Roman" w:cs="Times New Roman"/>
          <w:szCs w:val="20"/>
        </w:rPr>
      </w:pPr>
      <w:r>
        <w:rPr>
          <w:rFonts w:cs="Times New Roman" w:ascii="Times New Roman" w:hAnsi="Times New Roman"/>
          <w:b/>
          <w:bCs/>
          <w:szCs w:val="20"/>
        </w:rPr>
        <w:t xml:space="preserve">Table S2: </w:t>
      </w:r>
      <w:r>
        <w:rPr>
          <w:rFonts w:cs="Times New Roman" w:ascii="Times New Roman" w:hAnsi="Times New Roman"/>
          <w:szCs w:val="20"/>
        </w:rPr>
        <w:t xml:space="preserve">Number of unique collection events for </w:t>
      </w:r>
      <w:r>
        <w:rPr>
          <w:rFonts w:cs="Times New Roman" w:ascii="Times New Roman" w:hAnsi="Times New Roman"/>
          <w:i/>
          <w:szCs w:val="20"/>
        </w:rPr>
        <w:t>Centris</w:t>
      </w:r>
      <w:r>
        <w:rPr>
          <w:rFonts w:cs="Times New Roman" w:ascii="Times New Roman" w:hAnsi="Times New Roman"/>
          <w:szCs w:val="20"/>
        </w:rPr>
        <w:t xml:space="preserve"> and </w:t>
      </w:r>
      <w:r>
        <w:rPr>
          <w:rFonts w:cs="Times New Roman" w:ascii="Times New Roman" w:hAnsi="Times New Roman"/>
          <w:i/>
          <w:szCs w:val="20"/>
        </w:rPr>
        <w:t>Epicharis</w:t>
      </w:r>
      <w:r>
        <w:rPr>
          <w:rFonts w:cs="Times New Roman" w:ascii="Times New Roman" w:hAnsi="Times New Roman"/>
          <w:szCs w:val="20"/>
        </w:rPr>
        <w:t xml:space="preserve"> per season within each five-year time bin.</w:t>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tbl>
      <w:tblPr>
        <w:tblW w:w="7375"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2525"/>
        <w:gridCol w:w="2425"/>
        <w:gridCol w:w="2425"/>
      </w:tblGrid>
      <w:tr>
        <w:trPr/>
        <w:tc>
          <w:tcPr>
            <w:tcW w:w="25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Time period</w:t>
            </w:r>
          </w:p>
        </w:tc>
        <w:tc>
          <w:tcPr>
            <w:tcW w:w="24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Season</w:t>
            </w:r>
          </w:p>
        </w:tc>
        <w:tc>
          <w:tcPr>
            <w:tcW w:w="242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Collection events</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1976-1979</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81</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62</w:t>
            </w:r>
          </w:p>
        </w:tc>
      </w:tr>
      <w:tr>
        <w:trPr>
          <w:trHeight w:val="99" w:hRule="atLeast"/>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143</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1980-1984</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27</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12</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39</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1985-1989</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26</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17</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43</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1990-1994</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6</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8</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1995-1999</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63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38</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2525" w:type="dxa"/>
            <w:vMerge w:val="restart"/>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2000-2004</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5</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18</w:t>
            </w:r>
          </w:p>
        </w:tc>
      </w:tr>
      <w:tr>
        <w:trPr>
          <w:trHeight w:val="338" w:hRule="atLeast"/>
        </w:trPr>
        <w:tc>
          <w:tcPr>
            <w:tcW w:w="2525" w:type="dxa"/>
            <w:vMerge w:val="restart"/>
            <w:tcBorders/>
          </w:tcPr>
          <w:p>
            <w:pPr>
              <w:pStyle w:val="Normal"/>
              <w:widowControl w:val="false"/>
              <w:spacing w:lineRule="auto" w:line="276"/>
              <w:rPr>
                <w:rFonts w:ascii="Times New Roman" w:hAnsi="Times New Roman" w:cs="Times New Roman"/>
              </w:rPr>
            </w:pPr>
            <w:r>
              <w:rPr>
                <w:rFonts w:cs="Times New Roman" w:ascii="Times New Roman" w:hAnsi="Times New Roman"/>
              </w:rPr>
              <w:t>2005-2009</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59</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81</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140</w:t>
            </w:r>
          </w:p>
        </w:tc>
      </w:tr>
      <w:tr>
        <w:trPr/>
        <w:tc>
          <w:tcPr>
            <w:tcW w:w="2525" w:type="dxa"/>
            <w:vMerge w:val="restart"/>
            <w:tcBorders/>
          </w:tcPr>
          <w:p>
            <w:pPr>
              <w:pStyle w:val="Normal"/>
              <w:widowControl w:val="false"/>
              <w:spacing w:lineRule="auto" w:line="276"/>
              <w:rPr>
                <w:rFonts w:ascii="Times New Roman" w:hAnsi="Times New Roman" w:cs="Times New Roman"/>
              </w:rPr>
            </w:pPr>
            <w:r>
              <w:rPr>
                <w:rFonts w:cs="Times New Roman" w:ascii="Times New Roman" w:hAnsi="Times New Roman"/>
              </w:rPr>
              <w:t>2010-2014</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18</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31</w:t>
            </w:r>
          </w:p>
        </w:tc>
      </w:tr>
      <w:tr>
        <w:trPr/>
        <w:tc>
          <w:tcPr>
            <w:tcW w:w="2525" w:type="dxa"/>
            <w:vMerge w:val="restart"/>
            <w:tcBorders/>
          </w:tcPr>
          <w:p>
            <w:pPr>
              <w:pStyle w:val="Normal"/>
              <w:widowControl w:val="false"/>
              <w:spacing w:lineRule="auto" w:line="276"/>
              <w:rPr>
                <w:rFonts w:ascii="Times New Roman" w:hAnsi="Times New Roman" w:cs="Times New Roman"/>
              </w:rPr>
            </w:pPr>
            <w:r>
              <w:rPr>
                <w:rFonts w:cs="Times New Roman" w:ascii="Times New Roman" w:hAnsi="Times New Roman"/>
              </w:rPr>
              <w:t>2015-2019</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25</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22</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47</w:t>
            </w:r>
          </w:p>
        </w:tc>
      </w:tr>
      <w:tr>
        <w:trPr/>
        <w:tc>
          <w:tcPr>
            <w:tcW w:w="2525" w:type="dxa"/>
            <w:vMerge w:val="restart"/>
            <w:tcBorders/>
          </w:tcPr>
          <w:p>
            <w:pPr>
              <w:pStyle w:val="Normal"/>
              <w:widowControl w:val="false"/>
              <w:spacing w:lineRule="auto" w:line="276"/>
              <w:rPr>
                <w:rFonts w:ascii="Times New Roman" w:hAnsi="Times New Roman" w:cs="Times New Roman"/>
              </w:rPr>
            </w:pPr>
            <w:r>
              <w:rPr>
                <w:rFonts w:cs="Times New Roman" w:ascii="Times New Roman" w:hAnsi="Times New Roman"/>
              </w:rPr>
              <w:t>2020-2023</w:t>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Dry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35</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Rainy</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44</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79</w:t>
            </w:r>
          </w:p>
        </w:tc>
      </w:tr>
      <w:tr>
        <w:trPr/>
        <w:tc>
          <w:tcPr>
            <w:tcW w:w="2525" w:type="dxa"/>
            <w:vMerge w:val="restart"/>
            <w:tcBorders/>
          </w:tcPr>
          <w:p>
            <w:pPr>
              <w:pStyle w:val="Normal"/>
              <w:widowControl w:val="false"/>
              <w:spacing w:lineRule="auto" w:line="276"/>
              <w:rPr>
                <w:rFonts w:ascii="Times New Roman" w:hAnsi="Times New Roman" w:cs="Times New Roman"/>
                <w:b/>
                <w:b/>
                <w:bCs/>
              </w:rPr>
            </w:pPr>
            <w:r>
              <w:rPr>
                <w:rFonts w:cs="Times New Roman" w:ascii="Times New Roman" w:hAnsi="Times New Roman"/>
                <w:b/>
                <w:bCs/>
              </w:rPr>
              <w:t>Sum</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c>
          <w:tcPr>
            <w:tcW w:w="2425" w:type="dxa"/>
            <w:tcBorders/>
          </w:tcPr>
          <w:p>
            <w:pPr>
              <w:pStyle w:val="TableContents"/>
              <w:widowControl w:val="false"/>
              <w:spacing w:lineRule="auto" w:line="276"/>
              <w:rPr/>
            </w:pPr>
            <w:r>
              <w:rPr>
                <w:rFonts w:cs="Times New Roman" w:ascii="Times New Roman" w:hAnsi="Times New Roman"/>
                <w:color w:val="000000"/>
              </w:rPr>
              <w:t>353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2425" w:type="dxa"/>
            <w:tcBorders/>
          </w:tcPr>
          <w:p>
            <w:pPr>
              <w:pStyle w:val="TableContents"/>
              <w:widowControl w:val="false"/>
              <w:spacing w:lineRule="auto" w:line="276"/>
              <w:rPr/>
            </w:pPr>
            <w:r>
              <w:rPr>
                <w:rFonts w:cs="Times New Roman" w:ascii="Times New Roman" w:hAnsi="Times New Roman"/>
                <w:color w:val="000000"/>
              </w:rPr>
              <w:t>296</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pPr>
            <w:r>
              <w:rPr>
                <w:rFonts w:cs="Times New Roman" w:ascii="Times New Roman" w:hAnsi="Times New Roman"/>
              </w:rPr>
              <w:t>649</w:t>
            </w:r>
          </w:p>
        </w:tc>
      </w:tr>
      <w:tr>
        <w:trPr/>
        <w:tc>
          <w:tcPr>
            <w:tcW w:w="2525" w:type="dxa"/>
            <w:vMerge w:val="restart"/>
            <w:tcBorders/>
          </w:tcPr>
          <w:p>
            <w:pPr>
              <w:pStyle w:val="Normal"/>
              <w:widowControl w:val="false"/>
              <w:spacing w:lineRule="auto" w:line="276"/>
              <w:rPr>
                <w:rFonts w:ascii="Times New Roman" w:hAnsi="Times New Roman" w:cs="Times New Roman"/>
              </w:rPr>
            </w:pPr>
            <w:r>
              <w:rPr>
                <w:rFonts w:cs="Times New Roman" w:ascii="Times New Roman" w:hAnsi="Times New Roman"/>
                <w:b/>
                <w:bCs/>
              </w:rPr>
              <w:t>Average</w:t>
            </w:r>
            <w:r>
              <w:rPr>
                <w:rFonts w:cs="Times New Roman" w:ascii="Times New Roman" w:hAnsi="Times New Roman"/>
              </w:rPr>
              <w:t xml:space="preserve"> </w:t>
            </w:r>
            <w:r>
              <w:rPr>
                <w:rFonts w:cs="Times New Roman" w:ascii="Times New Roman" w:hAnsi="Times New Roman"/>
                <w:b/>
                <w:color w:val="000000"/>
              </w:rPr>
              <w:t>± SD</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c>
          <w:tcPr>
            <w:tcW w:w="2425" w:type="dxa"/>
            <w:tcBorders/>
          </w:tcPr>
          <w:p>
            <w:pPr>
              <w:pStyle w:val="TableContents"/>
              <w:widowControl w:val="false"/>
              <w:spacing w:lineRule="auto" w:line="276"/>
              <w:rPr/>
            </w:pPr>
            <w:r>
              <w:rPr>
                <w:rFonts w:cs="Times New Roman" w:ascii="Times New Roman" w:hAnsi="Times New Roman"/>
                <w:color w:val="000000"/>
              </w:rPr>
              <w:t>35.3 ± 24.3</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2425" w:type="dxa"/>
            <w:tcBorders/>
          </w:tcPr>
          <w:p>
            <w:pPr>
              <w:pStyle w:val="TableContents"/>
              <w:widowControl w:val="false"/>
              <w:spacing w:lineRule="auto" w:line="276"/>
              <w:rPr/>
            </w:pPr>
            <w:r>
              <w:rPr>
                <w:rFonts w:cs="Times New Roman" w:ascii="Times New Roman" w:hAnsi="Times New Roman"/>
                <w:color w:val="000000"/>
              </w:rPr>
              <w:t>29.6 ± 26.1</w:t>
            </w:r>
          </w:p>
        </w:tc>
      </w:tr>
      <w:tr>
        <w:trPr/>
        <w:tc>
          <w:tcPr>
            <w:tcW w:w="2525" w:type="dxa"/>
            <w:vMerge w:val="continue"/>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Total</w:t>
            </w:r>
          </w:p>
        </w:tc>
        <w:tc>
          <w:tcPr>
            <w:tcW w:w="242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color w:val="000000"/>
              </w:rPr>
              <w:t>32.45 ± 24.75</w:t>
            </w:r>
          </w:p>
        </w:tc>
      </w:tr>
    </w:tbl>
    <w:p>
      <w:pPr>
        <w:pStyle w:val="Normal"/>
        <w:jc w:val="both"/>
        <w:rPr>
          <w:rFonts w:ascii="Times New Roman" w:hAnsi="Times New Roman" w:cs="Times New Roman"/>
          <w:color w:val="000000"/>
        </w:rPr>
      </w:pPr>
      <w:r>
        <w:rPr>
          <w:rFonts w:ascii="Times New Roman" w:hAnsi="Times New Roman"/>
          <w:b/>
          <w:bCs/>
          <w:color w:val="000000"/>
        </w:rPr>
        <w:t>Table S3:</w:t>
      </w:r>
      <w:r>
        <w:rPr>
          <w:rFonts w:ascii="Times New Roman" w:hAnsi="Times New Roman"/>
          <w:color w:val="000000"/>
        </w:rPr>
        <w:t xml:space="preserve"> For each species included in the study the total number of collection events is given. For species that met filtering thresholds to be analysed (bold) the m</w:t>
      </w:r>
      <w:r>
        <w:rPr>
          <w:rFonts w:cs="Times New Roman" w:ascii="Times New Roman" w:hAnsi="Times New Roman"/>
          <w:color w:val="000000"/>
        </w:rPr>
        <w:t xml:space="preserve">ean and standard deviation of relative occurrence across all seasons and decades is given. Discrete and continuous diet classifications </w:t>
      </w:r>
      <w:r>
        <w:rPr>
          <w:rFonts w:ascii="Times New Roman" w:hAnsi="Times New Roman"/>
          <w:color w:val="000000"/>
        </w:rPr>
        <w:t>are also given</w:t>
      </w:r>
      <w:r>
        <w:rPr>
          <w:rFonts w:cs="Times New Roman" w:ascii="Times New Roman" w:hAnsi="Times New Roman"/>
          <w:color w:val="000000"/>
        </w:rPr>
        <w:t xml:space="preserve">. Species were either classified as generalists specialist (discrete) or assigned a continuous score in which higher values indicate a broader oil-host range. Species marked with † met the filtering thresholds for five-year time bins but not for decadal bins. </w:t>
      </w:r>
    </w:p>
    <w:p>
      <w:pPr>
        <w:pStyle w:val="Normal"/>
        <w:jc w:val="both"/>
        <w:rPr>
          <w:rFonts w:ascii="Times New Roman" w:hAnsi="Times New Roman" w:cs="Times New Roman"/>
          <w:color w:val="000000"/>
        </w:rPr>
      </w:pPr>
      <w:r>
        <w:rPr>
          <w:rFonts w:cs="Times New Roman" w:ascii="Times New Roman" w:hAnsi="Times New Roman"/>
          <w:color w:val="000000"/>
        </w:rPr>
      </w:r>
    </w:p>
    <w:tbl>
      <w:tblPr>
        <w:tblW w:w="9900"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3762"/>
        <w:gridCol w:w="1089"/>
        <w:gridCol w:w="1584"/>
        <w:gridCol w:w="1919"/>
        <w:gridCol w:w="1546"/>
      </w:tblGrid>
      <w:tr>
        <w:trPr/>
        <w:tc>
          <w:tcPr>
            <w:tcW w:w="3762" w:type="dxa"/>
            <w:tcBorders>
              <w:top w:val="single" w:sz="6" w:space="0" w:color="000000"/>
              <w:bottom w:val="single" w:sz="6" w:space="0" w:color="000000"/>
            </w:tcBorders>
          </w:tcPr>
          <w:p>
            <w:pPr>
              <w:pStyle w:val="TableContents"/>
              <w:widowControl w:val="false"/>
              <w:spacing w:lineRule="auto" w:line="276"/>
              <w:rPr>
                <w:color w:val="000000"/>
              </w:rPr>
            </w:pPr>
            <w:r>
              <w:rPr>
                <w:rFonts w:cs="Times New Roman" w:ascii="Times New Roman" w:hAnsi="Times New Roman"/>
                <w:color w:val="000000"/>
              </w:rPr>
              <w:t>Scientific name</w:t>
            </w:r>
          </w:p>
        </w:tc>
        <w:tc>
          <w:tcPr>
            <w:tcW w:w="1089" w:type="dxa"/>
            <w:tcBorders>
              <w:top w:val="single" w:sz="6" w:space="0" w:color="000000"/>
              <w:bottom w:val="single" w:sz="6" w:space="0" w:color="000000"/>
            </w:tcBorders>
          </w:tcPr>
          <w:p>
            <w:pPr>
              <w:pStyle w:val="TableContents"/>
              <w:widowControl w:val="false"/>
              <w:spacing w:lineRule="auto" w:line="276"/>
              <w:jc w:val="right"/>
              <w:rPr>
                <w:color w:val="000000"/>
              </w:rPr>
            </w:pPr>
            <w:r>
              <w:rPr>
                <w:rFonts w:cs="Times New Roman" w:ascii="Times New Roman" w:hAnsi="Times New Roman"/>
                <w:color w:val="000000"/>
              </w:rPr>
              <w:t>Collection events</w:t>
            </w:r>
          </w:p>
        </w:tc>
        <w:tc>
          <w:tcPr>
            <w:tcW w:w="1584" w:type="dxa"/>
            <w:tcBorders>
              <w:top w:val="single" w:sz="6" w:space="0" w:color="000000"/>
              <w:bottom w:val="single" w:sz="6" w:space="0" w:color="000000"/>
            </w:tcBorders>
          </w:tcPr>
          <w:p>
            <w:pPr>
              <w:pStyle w:val="TableContents"/>
              <w:widowControl w:val="false"/>
              <w:spacing w:lineRule="auto" w:line="276"/>
              <w:jc w:val="right"/>
              <w:rPr>
                <w:rFonts w:cs="Times New Roman"/>
                <w:color w:val="000000"/>
              </w:rPr>
            </w:pPr>
            <w:r>
              <w:rPr>
                <w:rFonts w:cs="Times New Roman"/>
                <w:color w:val="000000"/>
              </w:rPr>
              <w:t>Relative occurrence</w:t>
            </w:r>
          </w:p>
        </w:tc>
        <w:tc>
          <w:tcPr>
            <w:tcW w:w="1919" w:type="dxa"/>
            <w:tcBorders>
              <w:top w:val="single" w:sz="6" w:space="0" w:color="000000"/>
              <w:bottom w:val="single" w:sz="6" w:space="0" w:color="000000"/>
            </w:tcBorders>
          </w:tcPr>
          <w:p>
            <w:pPr>
              <w:pStyle w:val="TableContents"/>
              <w:widowControl w:val="false"/>
              <w:spacing w:lineRule="auto" w:line="276"/>
              <w:jc w:val="right"/>
              <w:rPr>
                <w:rFonts w:cs="Times New Roman"/>
                <w:color w:val="000000"/>
              </w:rPr>
            </w:pPr>
            <w:r>
              <w:rPr>
                <w:rFonts w:cs="Times New Roman"/>
                <w:color w:val="000000"/>
              </w:rPr>
              <w:t>Discrete classification</w:t>
            </w:r>
          </w:p>
        </w:tc>
        <w:tc>
          <w:tcPr>
            <w:tcW w:w="1546" w:type="dxa"/>
            <w:tcBorders>
              <w:top w:val="single" w:sz="6" w:space="0" w:color="000000"/>
              <w:bottom w:val="single" w:sz="6" w:space="0" w:color="000000"/>
            </w:tcBorders>
          </w:tcPr>
          <w:p>
            <w:pPr>
              <w:pStyle w:val="TableContents"/>
              <w:widowControl w:val="false"/>
              <w:spacing w:lineRule="auto" w:line="276"/>
              <w:jc w:val="right"/>
              <w:rPr>
                <w:rFonts w:cs="Times New Roman"/>
                <w:color w:val="000000"/>
              </w:rPr>
            </w:pPr>
            <w:r>
              <w:rPr>
                <w:rFonts w:cs="Times New Roman"/>
                <w:color w:val="000000"/>
              </w:rPr>
              <w:t>Continuous classification</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C. aenea</w:t>
            </w:r>
            <w:r>
              <w:rPr>
                <w:rFonts w:cs="Times New Roman" w:ascii="Times New Roman" w:hAnsi="Times New Roman"/>
                <w:b/>
                <w:bCs/>
                <w:color w:val="000000"/>
                <w:sz w:val="22"/>
                <w:szCs w:val="22"/>
              </w:rPr>
              <w:t xml:space="preserve"> 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70</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0.11 ± 0.07</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2.79</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americana </w:t>
            </w:r>
            <w:r>
              <w:rPr>
                <w:rFonts w:cs="Times New Roman" w:ascii="Times New Roman" w:hAnsi="Times New Roman"/>
                <w:color w:val="000000"/>
                <w:sz w:val="22"/>
                <w:szCs w:val="22"/>
              </w:rPr>
              <w:t>(Klug, 1810)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eastAsia="Liberation Serif" w:cs="Liberation Serif"/>
              </w:rPr>
            </w:pPr>
            <w:r>
              <w:rPr>
                <w:rFonts w:cs="Times New Roman" w:ascii="Times New Roman" w:hAnsi="Times New Roman"/>
                <w:b/>
                <w:bCs/>
                <w:i/>
                <w:iCs/>
                <w:color w:val="000000"/>
                <w:sz w:val="22"/>
                <w:szCs w:val="22"/>
              </w:rPr>
              <w:t xml:space="preserve">C. analis </w:t>
            </w:r>
            <w:r>
              <w:rPr>
                <w:rFonts w:cs="Times New Roman" w:ascii="Times New Roman" w:hAnsi="Times New Roman"/>
                <w:b/>
                <w:bCs/>
                <w:color w:val="000000"/>
                <w:sz w:val="22"/>
                <w:szCs w:val="22"/>
              </w:rPr>
              <w:t>(Fabricius, 1984)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22</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0.04 ± 0.03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1.71</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aurantis </w:t>
            </w:r>
            <w:r>
              <w:rPr>
                <w:rFonts w:cs="Times New Roman" w:ascii="Times New Roman" w:hAnsi="Times New Roman"/>
                <w:color w:val="000000"/>
                <w:sz w:val="22"/>
                <w:szCs w:val="22"/>
              </w:rPr>
              <w:t>Vivallo, 2022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auriger </w:t>
            </w:r>
            <w:r>
              <w:rPr>
                <w:rFonts w:cs="Times New Roman" w:ascii="Times New Roman" w:hAnsi="Times New Roman"/>
                <w:color w:val="000000"/>
                <w:sz w:val="22"/>
                <w:szCs w:val="22"/>
              </w:rPr>
              <w:t>Vivallo, 2022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brasilictis </w:t>
            </w:r>
            <w:r>
              <w:rPr>
                <w:rFonts w:cs="Times New Roman" w:ascii="Times New Roman" w:hAnsi="Times New Roman"/>
                <w:color w:val="000000"/>
                <w:sz w:val="22"/>
                <w:szCs w:val="22"/>
              </w:rPr>
              <w:t>Vivallo, 2022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C. burgdorfi</w:t>
            </w:r>
            <w:r>
              <w:rPr>
                <w:rFonts w:cs="Times New Roman" w:ascii="Times New Roman" w:hAnsi="Times New Roman"/>
                <w:color w:val="000000"/>
                <w:sz w:val="22"/>
                <w:szCs w:val="22"/>
              </w:rPr>
              <w:t xml:space="preserve"> Friese, 1901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eastAsia="Liberation Serif" w:cs="Liberation Serif"/>
              </w:rPr>
            </w:pPr>
            <w:r>
              <w:rPr>
                <w:rFonts w:cs="Times New Roman" w:ascii="Times New Roman" w:hAnsi="Times New Roman"/>
                <w:b/>
                <w:bCs/>
                <w:i/>
                <w:iCs/>
                <w:color w:val="000000"/>
                <w:sz w:val="22"/>
                <w:szCs w:val="22"/>
              </w:rPr>
              <w:t xml:space="preserve">C. collaris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44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0.06 ± 0.05</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0.9</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dentata </w:t>
            </w:r>
            <w:r>
              <w:rPr>
                <w:rFonts w:cs="Times New Roman" w:ascii="Times New Roman" w:hAnsi="Times New Roman"/>
                <w:color w:val="000000"/>
                <w:sz w:val="22"/>
                <w:szCs w:val="22"/>
              </w:rPr>
              <w:t>Smith, 1854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denudans </w:t>
            </w:r>
            <w:r>
              <w:rPr>
                <w:rFonts w:cs="Times New Roman" w:ascii="Times New Roman" w:hAnsi="Times New Roman"/>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5</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dorsata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19</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0.02 ± 0.03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0.67</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C. flamigera</w:t>
            </w:r>
            <w:r>
              <w:rPr>
                <w:rFonts w:cs="Times New Roman" w:ascii="Times New Roman" w:hAnsi="Times New Roman"/>
                <w:color w:val="000000"/>
                <w:sz w:val="22"/>
                <w:szCs w:val="22"/>
              </w:rPr>
              <w:t xml:space="preserve"> Vivallo, 2022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flavifrons </w:t>
            </w:r>
            <w:r>
              <w:rPr>
                <w:rFonts w:cs="Times New Roman" w:ascii="Times New Roman" w:hAnsi="Times New Roman"/>
                <w:color w:val="000000"/>
                <w:sz w:val="22"/>
                <w:szCs w:val="22"/>
              </w:rPr>
              <w:t>(Fabricius, 1775)</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fuscata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102</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0.15 ± 0.13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2.81</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klugii </w:t>
            </w:r>
            <w:r>
              <w:rPr>
                <w:rFonts w:cs="Times New Roman" w:ascii="Times New Roman" w:hAnsi="Times New Roman"/>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longimana </w:t>
            </w:r>
            <w:r>
              <w:rPr>
                <w:rFonts w:cs="Times New Roman" w:ascii="Times New Roman" w:hAnsi="Times New Roman"/>
                <w:b/>
                <w:bCs/>
                <w:color w:val="000000"/>
                <w:sz w:val="22"/>
                <w:szCs w:val="22"/>
              </w:rPr>
              <w:t>Fabricius, 1804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0.03 ± 0.03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0.75</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lutea </w:t>
            </w:r>
            <w:r>
              <w:rPr>
                <w:rFonts w:cs="Times New Roman" w:ascii="Times New Roman" w:hAnsi="Times New Roman"/>
                <w:b/>
                <w:bCs/>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0.06 ± 0.05</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0.75</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machadoi </w:t>
            </w:r>
            <w:r>
              <w:rPr>
                <w:rFonts w:cs="Times New Roman" w:ascii="Times New Roman" w:hAnsi="Times New Roman"/>
                <w:b/>
                <w:bCs/>
                <w:color w:val="000000"/>
                <w:sz w:val="22"/>
                <w:szCs w:val="22"/>
              </w:rPr>
              <w:t>Azevedo &amp; Silveira, 2005</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26</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0.03 ± 0.04</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0.5</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maranhensis </w:t>
            </w:r>
            <w:r>
              <w:rPr>
                <w:rFonts w:cs="Times New Roman" w:ascii="Times New Roman" w:hAnsi="Times New Roman"/>
                <w:color w:val="000000"/>
                <w:sz w:val="22"/>
                <w:szCs w:val="22"/>
              </w:rPr>
              <w:t>Ducke, 1911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mocsary </w:t>
            </w:r>
            <w:r>
              <w:rPr>
                <w:rFonts w:cs="Times New Roman" w:ascii="Times New Roman" w:hAnsi="Times New Roman"/>
                <w:b/>
                <w:bCs/>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0.03 ± 0.03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0.88</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morens </w:t>
            </w:r>
            <w:r>
              <w:rPr>
                <w:rFonts w:cs="Times New Roman" w:ascii="Times New Roman" w:hAnsi="Times New Roman"/>
                <w:color w:val="000000"/>
                <w:sz w:val="22"/>
                <w:szCs w:val="22"/>
              </w:rPr>
              <w:t>(Perty, 1833)</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nitens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65</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0.10 ± 0.07</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1.71</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quadrimaculata </w:t>
            </w:r>
            <w:r>
              <w:rPr>
                <w:rFonts w:cs="Times New Roman" w:ascii="Times New Roman" w:hAnsi="Times New Roman"/>
                <w:color w:val="000000"/>
                <w:sz w:val="22"/>
                <w:szCs w:val="22"/>
              </w:rPr>
              <w:t>Packard, 1869</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rupestris </w:t>
            </w:r>
            <w:r>
              <w:rPr>
                <w:rFonts w:cs="Times New Roman" w:ascii="Times New Roman" w:hAnsi="Times New Roman"/>
                <w:b/>
                <w:bCs/>
                <w:color w:val="000000"/>
                <w:sz w:val="22"/>
                <w:szCs w:val="22"/>
              </w:rPr>
              <w:t>Azevedo &amp; Silveira, 2005</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6</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0.01 ± 0.02</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scopipes </w:t>
            </w:r>
            <w:r>
              <w:rPr>
                <w:rFonts w:cs="Times New Roman" w:ascii="Times New Roman" w:hAnsi="Times New Roman"/>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spilopoda </w:t>
            </w:r>
            <w:r>
              <w:rPr>
                <w:rFonts w:cs="Times New Roman" w:ascii="Times New Roman" w:hAnsi="Times New Roman"/>
                <w:b/>
                <w:bCs/>
                <w:color w:val="000000"/>
                <w:sz w:val="22"/>
                <w:szCs w:val="22"/>
              </w:rPr>
              <w:t>Moure, 1969</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29</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0.06 ± 0.09</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1.5</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tarsata </w:t>
            </w:r>
            <w:r>
              <w:rPr>
                <w:rFonts w:cs="Times New Roman" w:ascii="Times New Roman" w:hAnsi="Times New Roman"/>
                <w:b/>
                <w:bCs/>
                <w:color w:val="000000"/>
                <w:sz w:val="22"/>
                <w:szCs w:val="22"/>
              </w:rPr>
              <w:t>Smith, 1874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92</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0.14 ± 0.08</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2.8</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terminata </w:t>
            </w:r>
            <w:r>
              <w:rPr>
                <w:rFonts w:cs="Times New Roman" w:ascii="Times New Roman" w:hAnsi="Times New Roman"/>
                <w:b/>
                <w:bCs/>
                <w:color w:val="000000"/>
                <w:sz w:val="22"/>
                <w:szCs w:val="22"/>
              </w:rPr>
              <w:t>Smith, 1874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8</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0.02 ± 0.03</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tetrazona </w:t>
            </w:r>
            <w:r>
              <w:rPr>
                <w:rFonts w:cs="Times New Roman" w:ascii="Times New Roman" w:hAnsi="Times New Roman"/>
                <w:color w:val="000000"/>
                <w:sz w:val="22"/>
                <w:szCs w:val="22"/>
              </w:rPr>
              <w:t xml:space="preserve">Moure &amp; Seabra 1962  </w:t>
            </w:r>
            <w:r>
              <w:rPr>
                <w:rFonts w:eastAsia="Liberation Serif" w:cs="Times New Roman" w:ascii="Times New Roman" w:hAnsi="Times New Roman"/>
                <w:color w:val="000000"/>
                <w:sz w:val="22"/>
                <w:szCs w:val="22"/>
              </w:rPr>
              <w:t>†</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6</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trigonoides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27</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0.04 ± 0.04</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3.64</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varia </w:t>
            </w:r>
            <w:r>
              <w:rPr>
                <w:rFonts w:cs="Times New Roman" w:ascii="Times New Roman" w:hAnsi="Times New Roman"/>
                <w:b/>
                <w:bCs/>
                <w:color w:val="000000"/>
                <w:sz w:val="22"/>
                <w:szCs w:val="22"/>
              </w:rPr>
              <w:t>(Erichson, 1848)</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12</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0.02 ± 0.02</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Generalistc</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1.5</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C. violacea</w:t>
            </w:r>
            <w:r>
              <w:rPr>
                <w:rFonts w:cs="Times New Roman" w:ascii="Times New Roman" w:hAnsi="Times New Roman"/>
                <w:b/>
                <w:bCs/>
                <w:color w:val="000000"/>
                <w:sz w:val="22"/>
                <w:szCs w:val="22"/>
              </w:rPr>
              <w:t xml:space="preserve"> 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25</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0.03 ± 0.05</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0.75</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vittata </w:t>
            </w:r>
            <w:r>
              <w:rPr>
                <w:rFonts w:cs="Times New Roman" w:ascii="Times New Roman" w:hAnsi="Times New Roman"/>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C. xanthobapta </w:t>
            </w:r>
            <w:r>
              <w:rPr>
                <w:rFonts w:cs="Times New Roman" w:ascii="Times New Roman" w:hAnsi="Times New Roman"/>
                <w:color w:val="000000"/>
                <w:sz w:val="22"/>
                <w:szCs w:val="22"/>
              </w:rPr>
              <w:t>Vivallo, 2022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C. xanthocnemis </w:t>
            </w:r>
            <w:r>
              <w:rPr>
                <w:rFonts w:cs="Times New Roman" w:ascii="Times New Roman" w:hAnsi="Times New Roman"/>
                <w:b/>
                <w:bCs/>
                <w:color w:val="000000"/>
                <w:sz w:val="22"/>
                <w:szCs w:val="22"/>
              </w:rPr>
              <w:t>(Perty, 1833)</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8</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0.01 ± 0.02</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E. albofasciata </w:t>
            </w:r>
            <w:r>
              <w:rPr>
                <w:rFonts w:cs="Times New Roman" w:ascii="Times New Roman" w:hAnsi="Times New Roman"/>
                <w:color w:val="000000"/>
                <w:sz w:val="22"/>
                <w:szCs w:val="22"/>
              </w:rPr>
              <w:t>Smith, 1854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E. analis </w:t>
            </w:r>
            <w:r>
              <w:rPr>
                <w:rFonts w:cs="Times New Roman" w:ascii="Times New Roman" w:hAnsi="Times New Roman"/>
                <w:b/>
                <w:bCs/>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34</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0.04 ± 0.07</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0.8</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E. bicolor </w:t>
            </w:r>
            <w:r>
              <w:rPr>
                <w:rFonts w:cs="Times New Roman" w:ascii="Times New Roman" w:hAnsi="Times New Roman"/>
                <w:b/>
                <w:bCs/>
                <w:color w:val="000000"/>
                <w:sz w:val="22"/>
                <w:szCs w:val="22"/>
              </w:rPr>
              <w:t>Smith, 1854</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38</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0.06 ± 0.05</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0.75</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E. cockerelli </w:t>
            </w:r>
            <w:r>
              <w:rPr>
                <w:rFonts w:cs="Times New Roman" w:ascii="Times New Roman" w:hAnsi="Times New Roman"/>
                <w:b/>
                <w:bCs/>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0.03 ± 0.06</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0.5</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E. dejeanii </w:t>
            </w:r>
            <w:r>
              <w:rPr>
                <w:rFonts w:cs="Times New Roman" w:ascii="Times New Roman" w:hAnsi="Times New Roman"/>
                <w:color w:val="000000"/>
                <w:sz w:val="22"/>
                <w:szCs w:val="22"/>
              </w:rPr>
              <w:t>Lepeletier, 1841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3</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E. flava </w:t>
            </w:r>
            <w:r>
              <w:rPr>
                <w:rFonts w:cs="Times New Roman" w:ascii="Times New Roman" w:hAnsi="Times New Roman"/>
                <w:b/>
                <w:bCs/>
                <w:color w:val="000000"/>
                <w:sz w:val="22"/>
                <w:szCs w:val="22"/>
              </w:rPr>
              <w:t>(Friese, 1901)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107</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0.17 ± 0.1</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Specialist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0.83</w:t>
            </w:r>
          </w:p>
        </w:tc>
      </w:tr>
      <w:tr>
        <w:trPr/>
        <w:tc>
          <w:tcPr>
            <w:tcW w:w="3762" w:type="dxa"/>
            <w:tcBorders/>
          </w:tcPr>
          <w:p>
            <w:pPr>
              <w:pStyle w:val="TableContents"/>
              <w:widowControl w:val="false"/>
              <w:spacing w:lineRule="auto" w:line="276"/>
              <w:rPr>
                <w:rFonts w:ascii="Times New Roman" w:hAnsi="Times New Roman"/>
                <w:b/>
                <w:b/>
                <w:bCs/>
                <w:color w:val="000000"/>
                <w:sz w:val="22"/>
                <w:szCs w:val="22"/>
              </w:rPr>
            </w:pPr>
            <w:r>
              <w:rPr>
                <w:rFonts w:cs="Times New Roman" w:ascii="Times New Roman" w:hAnsi="Times New Roman"/>
                <w:b/>
                <w:bCs/>
                <w:i/>
                <w:iCs/>
                <w:color w:val="000000"/>
                <w:sz w:val="22"/>
                <w:szCs w:val="22"/>
              </w:rPr>
              <w:t xml:space="preserve">E. iheringi </w:t>
            </w:r>
            <w:r>
              <w:rPr>
                <w:rFonts w:cs="Times New Roman" w:ascii="Times New Roman" w:hAnsi="Times New Roman"/>
                <w:b/>
                <w:bCs/>
                <w:color w:val="000000"/>
                <w:sz w:val="22"/>
                <w:szCs w:val="22"/>
              </w:rPr>
              <w:t>Friese, 1900</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24</w:t>
            </w:r>
          </w:p>
        </w:tc>
        <w:tc>
          <w:tcPr>
            <w:tcW w:w="1584"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0.03 ± 0.06</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E. sp1</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E. sp2</w:t>
            </w:r>
          </w:p>
        </w:tc>
        <w:tc>
          <w:tcPr>
            <w:tcW w:w="1089" w:type="dxa"/>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r>
        <w:trPr/>
        <w:tc>
          <w:tcPr>
            <w:tcW w:w="3762" w:type="dxa"/>
            <w:tcBorders>
              <w:bottom w:val="single" w:sz="6" w:space="0" w:color="000000"/>
            </w:tcBorders>
          </w:tcPr>
          <w:p>
            <w:pPr>
              <w:pStyle w:val="TableContents"/>
              <w:widowControl w:val="false"/>
              <w:spacing w:lineRule="auto" w:line="276"/>
              <w:rPr>
                <w:rFonts w:ascii="Times New Roman" w:hAnsi="Times New Roman"/>
                <w:color w:val="000000"/>
                <w:sz w:val="22"/>
                <w:szCs w:val="22"/>
              </w:rPr>
            </w:pPr>
            <w:r>
              <w:rPr>
                <w:rFonts w:cs="Times New Roman" w:ascii="Times New Roman" w:hAnsi="Times New Roman"/>
                <w:i/>
                <w:iCs/>
                <w:color w:val="000000"/>
                <w:sz w:val="22"/>
                <w:szCs w:val="22"/>
              </w:rPr>
              <w:t xml:space="preserve">E. xanthogastra </w:t>
            </w:r>
            <w:r>
              <w:rPr>
                <w:rFonts w:cs="Times New Roman" w:ascii="Times New Roman" w:hAnsi="Times New Roman"/>
                <w:color w:val="000000"/>
                <w:sz w:val="22"/>
                <w:szCs w:val="22"/>
              </w:rPr>
              <w:t>Moure &amp; Seabra, 1959</w:t>
            </w:r>
          </w:p>
        </w:tc>
        <w:tc>
          <w:tcPr>
            <w:tcW w:w="1089" w:type="dxa"/>
            <w:tcBorders>
              <w:bottom w:val="single" w:sz="6" w:space="0" w:color="000000"/>
            </w:tcBorders>
          </w:tcPr>
          <w:p>
            <w:pPr>
              <w:pStyle w:val="TableContents"/>
              <w:widowControl w:val="false"/>
              <w:spacing w:lineRule="auto" w:line="276"/>
              <w:jc w:val="right"/>
              <w:rPr>
                <w:rFonts w:ascii="Times New Roman" w:hAnsi="Times New Roman"/>
                <w:color w:val="000000"/>
                <w:sz w:val="22"/>
                <w:szCs w:val="22"/>
              </w:rPr>
            </w:pPr>
            <w:r>
              <w:rPr>
                <w:rFonts w:cs="Times New Roman" w:ascii="Times New Roman" w:hAnsi="Times New Roman"/>
                <w:color w:val="000000"/>
                <w:sz w:val="22"/>
                <w:szCs w:val="22"/>
              </w:rPr>
              <w:t>1</w:t>
            </w:r>
          </w:p>
        </w:tc>
        <w:tc>
          <w:tcPr>
            <w:tcW w:w="1584" w:type="dxa"/>
            <w:tcBorders>
              <w:bottom w:val="single" w:sz="6" w:space="0" w:color="000000"/>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919" w:type="dxa"/>
            <w:tcBorders>
              <w:bottom w:val="single" w:sz="6" w:space="0" w:color="000000"/>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c>
          <w:tcPr>
            <w:tcW w:w="1546" w:type="dxa"/>
            <w:tcBorders>
              <w:bottom w:val="single" w:sz="6" w:space="0" w:color="000000"/>
            </w:tcBorders>
          </w:tcPr>
          <w:p>
            <w:pPr>
              <w:pStyle w:val="TableContents"/>
              <w:widowControl w:val="false"/>
              <w:spacing w:lineRule="auto" w:line="276"/>
              <w:jc w:val="right"/>
              <w:rPr>
                <w:rFonts w:ascii="Times New Roman" w:hAnsi="Times New Roman" w:cs="Times New Roman"/>
                <w:color w:val="000000"/>
                <w:sz w:val="22"/>
                <w:szCs w:val="22"/>
              </w:rPr>
            </w:pPr>
            <w:r>
              <w:rPr>
                <w:rFonts w:cs="Times New Roman" w:ascii="Times New Roman" w:hAnsi="Times New Roman"/>
                <w:color w:val="000000"/>
                <w:sz w:val="22"/>
                <w:szCs w:val="22"/>
              </w:rPr>
              <w:t>-</w:t>
            </w:r>
          </w:p>
        </w:tc>
      </w:tr>
    </w:tbl>
    <w:p>
      <w:pPr>
        <w:pStyle w:val="Normal"/>
        <w:spacing w:lineRule="auto" w:line="276"/>
        <w:jc w:val="both"/>
        <w:rPr>
          <w:rFonts w:ascii="Times New Roman" w:hAnsi="Times New Roman"/>
          <w:b/>
          <w:b/>
          <w:bCs/>
          <w:color w:val="000000"/>
        </w:rPr>
      </w:pPr>
      <w:r>
        <w:rPr>
          <w:rFonts w:ascii="Times New Roman" w:hAnsi="Times New Roman"/>
          <w:b/>
          <w:bCs/>
          <w:color w:val="00000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b/>
          <w:bCs/>
          <w:szCs w:val="20"/>
        </w:rPr>
        <w:t>Table S4</w:t>
      </w:r>
      <w:r>
        <w:rPr>
          <w:rFonts w:cs="Times New Roman" w:ascii="Times New Roman" w:hAnsi="Times New Roman"/>
          <w:szCs w:val="20"/>
        </w:rPr>
        <w:t>: Generalised linear model results for relative occurrence and seasonality trends for each species. For each predictor (time and season), β estimates, z values, and p values are reported. Statistically significant effects (p &lt; 0.05) are highlighted in bold.</w:t>
      </w:r>
    </w:p>
    <w:p>
      <w:pPr>
        <w:pStyle w:val="Normal"/>
        <w:spacing w:lineRule="auto" w:line="276"/>
        <w:jc w:val="both"/>
        <w:rPr>
          <w:rFonts w:ascii="Times New Roman" w:hAnsi="Times New Roman" w:cs="Times New Roman"/>
        </w:rPr>
      </w:pPr>
      <w:r>
        <w:rPr>
          <w:rFonts w:cs="Times New Roman" w:ascii="Times New Roman" w:hAnsi="Times New Roman"/>
        </w:rPr>
      </w:r>
    </w:p>
    <w:tbl>
      <w:tblPr>
        <w:tblW w:w="9072"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1701"/>
        <w:gridCol w:w="1278"/>
        <w:gridCol w:w="1273"/>
        <w:gridCol w:w="1134"/>
        <w:gridCol w:w="1281"/>
        <w:gridCol w:w="1134"/>
        <w:gridCol w:w="1270"/>
      </w:tblGrid>
      <w:tr>
        <w:trPr/>
        <w:tc>
          <w:tcPr>
            <w:tcW w:w="1701" w:type="dxa"/>
            <w:vMerge w:val="restart"/>
            <w:tcBorders>
              <w:top w:val="single" w:sz="6" w:space="0" w:color="000000"/>
              <w:bottom w:val="single" w:sz="6" w:space="0" w:color="000000"/>
            </w:tcBorders>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Species</w:t>
            </w:r>
          </w:p>
        </w:tc>
        <w:tc>
          <w:tcPr>
            <w:tcW w:w="3685" w:type="dxa"/>
            <w:gridSpan w:val="3"/>
            <w:tcBorders>
              <w:top w:val="single" w:sz="4" w:space="0" w:color="000000"/>
            </w:tcBorders>
            <w:tcMar>
              <w:top w:w="55" w:type="dxa"/>
              <w:left w:w="55" w:type="dxa"/>
              <w:bottom w:w="55" w:type="dxa"/>
              <w:right w:w="55" w:type="dxa"/>
            </w:tcMar>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Time</w:t>
            </w:r>
          </w:p>
        </w:tc>
        <w:tc>
          <w:tcPr>
            <w:tcW w:w="3685" w:type="dxa"/>
            <w:gridSpan w:val="3"/>
            <w:tcBorders>
              <w:top w:val="single" w:sz="4" w:space="0" w:color="000000"/>
            </w:tcBorders>
            <w:tcMar>
              <w:top w:w="55" w:type="dxa"/>
              <w:left w:w="55" w:type="dxa"/>
              <w:bottom w:w="55" w:type="dxa"/>
              <w:right w:w="55" w:type="dxa"/>
            </w:tcMar>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Season</w:t>
            </w:r>
          </w:p>
        </w:tc>
      </w:tr>
      <w:tr>
        <w:trPr/>
        <w:tc>
          <w:tcPr>
            <w:tcW w:w="1701" w:type="dxa"/>
            <w:vMerge w:val="continue"/>
            <w:tcBorders>
              <w:top w:val="single" w:sz="6" w:space="0" w:color="000000"/>
              <w:bottom w:val="single" w:sz="6" w:space="0" w:color="000000"/>
            </w:tcBorders>
          </w:tcPr>
          <w:p>
            <w:pPr>
              <w:pStyle w:val="Normal"/>
              <w:widowControl w:val="false"/>
              <w:spacing w:lineRule="auto" w:line="276"/>
              <w:rPr>
                <w:rFonts w:ascii="Times New Roman" w:hAnsi="Times New Roman" w:cs="Times New Roman"/>
                <w:b/>
                <w:b/>
              </w:rPr>
            </w:pPr>
            <w:r>
              <w:rPr>
                <w:rFonts w:cs="Times New Roman" w:ascii="Times New Roman" w:hAnsi="Times New Roman"/>
                <w:b/>
              </w:rPr>
            </w:r>
          </w:p>
        </w:tc>
        <w:tc>
          <w:tcPr>
            <w:tcW w:w="1278"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Β estimate</w:t>
            </w:r>
          </w:p>
        </w:tc>
        <w:tc>
          <w:tcPr>
            <w:tcW w:w="1273"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Z value</w:t>
            </w:r>
          </w:p>
        </w:tc>
        <w:tc>
          <w:tcPr>
            <w:tcW w:w="1134"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P value</w:t>
            </w:r>
          </w:p>
        </w:tc>
        <w:tc>
          <w:tcPr>
            <w:tcW w:w="1281"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Β estimate</w:t>
            </w:r>
          </w:p>
        </w:tc>
        <w:tc>
          <w:tcPr>
            <w:tcW w:w="1134"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Z value</w:t>
            </w:r>
          </w:p>
        </w:tc>
        <w:tc>
          <w:tcPr>
            <w:tcW w:w="1270"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P value</w:t>
            </w:r>
          </w:p>
        </w:tc>
      </w:tr>
      <w:tr>
        <w:trPr/>
        <w:tc>
          <w:tcPr>
            <w:tcW w:w="1701" w:type="dxa"/>
            <w:tcBorders/>
          </w:tcPr>
          <w:p>
            <w:pPr>
              <w:pStyle w:val="TableContents"/>
              <w:widowControl w:val="false"/>
              <w:spacing w:lineRule="auto" w:line="276"/>
              <w:rPr/>
            </w:pPr>
            <w:r>
              <w:rPr>
                <w:rFonts w:cs="Times New Roman" w:ascii="Times New Roman" w:hAnsi="Times New Roman"/>
                <w:i/>
                <w:iCs/>
              </w:rPr>
              <w:t>C. aenea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0.19</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2.38</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0.02</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-0.25</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-0.98</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0.33</w:t>
            </w:r>
          </w:p>
        </w:tc>
      </w:tr>
      <w:tr>
        <w:trPr/>
        <w:tc>
          <w:tcPr>
            <w:tcW w:w="1701" w:type="dxa"/>
            <w:tcBorders/>
          </w:tcPr>
          <w:p>
            <w:pPr>
              <w:pStyle w:val="TableContents"/>
              <w:widowControl w:val="false"/>
              <w:spacing w:lineRule="auto" w:line="276"/>
              <w:rPr/>
            </w:pPr>
            <w:r>
              <w:rPr>
                <w:rFonts w:cs="Times New Roman" w:ascii="Times New Roman" w:hAnsi="Times New Roman"/>
                <w:i/>
                <w:iCs/>
              </w:rPr>
              <w:t>C. analis</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0.18</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1.37</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0.17</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0.12</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0.28</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0.78</w:t>
            </w:r>
          </w:p>
        </w:tc>
      </w:tr>
      <w:tr>
        <w:trPr/>
        <w:tc>
          <w:tcPr>
            <w:tcW w:w="1701" w:type="dxa"/>
            <w:tcBorders/>
          </w:tcPr>
          <w:p>
            <w:pPr>
              <w:pStyle w:val="TableContents"/>
              <w:widowControl w:val="false"/>
              <w:spacing w:lineRule="auto" w:line="276"/>
              <w:rPr/>
            </w:pPr>
            <w:r>
              <w:rPr>
                <w:rFonts w:cs="Times New Roman" w:ascii="Times New Roman" w:hAnsi="Times New Roman"/>
                <w:i/>
                <w:iCs/>
              </w:rPr>
              <w:t>C. collaris</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-0.32</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-3.1</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-0.22</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-0.69</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0.49</w:t>
            </w:r>
          </w:p>
        </w:tc>
      </w:tr>
      <w:tr>
        <w:trPr/>
        <w:tc>
          <w:tcPr>
            <w:tcW w:w="1701" w:type="dxa"/>
            <w:tcBorders/>
          </w:tcPr>
          <w:p>
            <w:pPr>
              <w:pStyle w:val="TableContents"/>
              <w:widowControl w:val="false"/>
              <w:spacing w:lineRule="auto" w:line="276"/>
              <w:rPr/>
            </w:pPr>
            <w:r>
              <w:rPr>
                <w:rFonts w:cs="Times New Roman" w:ascii="Times New Roman" w:hAnsi="Times New Roman"/>
                <w:i/>
                <w:iCs/>
              </w:rPr>
              <w:t>C. dorsata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-0.96</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-3.81</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-0.76</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-1.42</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0.16</w:t>
            </w:r>
          </w:p>
        </w:tc>
      </w:tr>
      <w:tr>
        <w:trPr/>
        <w:tc>
          <w:tcPr>
            <w:tcW w:w="1701" w:type="dxa"/>
            <w:tcBorders/>
          </w:tcPr>
          <w:p>
            <w:pPr>
              <w:pStyle w:val="TableContents"/>
              <w:widowControl w:val="false"/>
              <w:spacing w:lineRule="auto" w:line="276"/>
              <w:rPr/>
            </w:pPr>
            <w:r>
              <w:rPr>
                <w:rFonts w:cs="Times New Roman" w:ascii="Times New Roman" w:hAnsi="Times New Roman"/>
                <w:i/>
                <w:iCs/>
              </w:rPr>
              <w:t>C. fuscata</w:t>
            </w:r>
          </w:p>
        </w:tc>
        <w:tc>
          <w:tcPr>
            <w:tcW w:w="1278" w:type="dxa"/>
            <w:tcBorders/>
          </w:tcPr>
          <w:p>
            <w:pPr>
              <w:pStyle w:val="TableContents"/>
              <w:widowControl w:val="false"/>
              <w:spacing w:lineRule="auto" w:line="276"/>
              <w:rPr>
                <w:b w:val="false"/>
                <w:b w:val="false"/>
                <w:bCs w:val="false"/>
              </w:rPr>
            </w:pPr>
            <w:r>
              <w:rPr>
                <w:rFonts w:cs="Times New Roman" w:ascii="Times New Roman" w:hAnsi="Times New Roman"/>
                <w:b w:val="false"/>
                <w:bCs w:val="false"/>
              </w:rPr>
              <w:t>-0.13</w:t>
            </w:r>
          </w:p>
        </w:tc>
        <w:tc>
          <w:tcPr>
            <w:tcW w:w="1273" w:type="dxa"/>
            <w:tcBorders/>
          </w:tcPr>
          <w:p>
            <w:pPr>
              <w:pStyle w:val="TableContents"/>
              <w:widowControl w:val="false"/>
              <w:spacing w:lineRule="auto" w:line="276"/>
              <w:rPr>
                <w:b w:val="false"/>
                <w:b w:val="false"/>
                <w:bCs w:val="false"/>
              </w:rPr>
            </w:pPr>
            <w:r>
              <w:rPr>
                <w:rFonts w:cs="Times New Roman" w:ascii="Times New Roman" w:hAnsi="Times New Roman"/>
                <w:b w:val="false"/>
                <w:bCs w:val="false"/>
              </w:rPr>
              <w:t>-1.91</w:t>
            </w:r>
          </w:p>
        </w:tc>
        <w:tc>
          <w:tcPr>
            <w:tcW w:w="1134" w:type="dxa"/>
            <w:tcBorders/>
          </w:tcPr>
          <w:p>
            <w:pPr>
              <w:pStyle w:val="TableContents"/>
              <w:widowControl w:val="false"/>
              <w:spacing w:lineRule="auto" w:line="276"/>
              <w:rPr>
                <w:b w:val="false"/>
                <w:b w:val="false"/>
                <w:bCs w:val="false"/>
              </w:rPr>
            </w:pPr>
            <w:r>
              <w:rPr>
                <w:rFonts w:cs="Times New Roman" w:ascii="Times New Roman" w:hAnsi="Times New Roman"/>
                <w:b w:val="false"/>
                <w:bCs w:val="false"/>
              </w:rPr>
              <w:t>0.06</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-2.06</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-6.45</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C. longimana</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-0.25</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-1.44</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0.15</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1.08</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1.78</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0.08</w:t>
            </w:r>
          </w:p>
        </w:tc>
      </w:tr>
      <w:tr>
        <w:trPr/>
        <w:tc>
          <w:tcPr>
            <w:tcW w:w="1701" w:type="dxa"/>
            <w:tcBorders/>
          </w:tcPr>
          <w:p>
            <w:pPr>
              <w:pStyle w:val="TableContents"/>
              <w:widowControl w:val="false"/>
              <w:spacing w:lineRule="auto" w:line="276"/>
              <w:rPr/>
            </w:pPr>
            <w:r>
              <w:rPr>
                <w:rFonts w:cs="Times New Roman" w:ascii="Times New Roman" w:hAnsi="Times New Roman"/>
                <w:i/>
                <w:iCs/>
              </w:rPr>
              <w:t>C. lutea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0.33</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2.89</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-0.38</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-1.03</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w:t>
            </w:r>
          </w:p>
        </w:tc>
      </w:tr>
      <w:tr>
        <w:trPr/>
        <w:tc>
          <w:tcPr>
            <w:tcW w:w="1701" w:type="dxa"/>
            <w:tcBorders/>
          </w:tcPr>
          <w:p>
            <w:pPr>
              <w:pStyle w:val="TableContents"/>
              <w:widowControl w:val="false"/>
              <w:spacing w:lineRule="auto" w:line="276"/>
              <w:rPr/>
            </w:pPr>
            <w:r>
              <w:rPr>
                <w:rFonts w:cs="Times New Roman" w:ascii="Times New Roman" w:hAnsi="Times New Roman"/>
                <w:i/>
                <w:iCs/>
              </w:rPr>
              <w:t>C. machadoi</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0.02</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0.14</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0.89</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-3.12</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-3.05</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C. mocsary</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0.08</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0.65</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0.51</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1.48</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2.88</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C. nitens</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-0.12</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-1.55</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0.12</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0.98</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3.54</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C. rupestris</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-0.04</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-0.17</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0.86</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r>
      <w:tr>
        <w:trPr/>
        <w:tc>
          <w:tcPr>
            <w:tcW w:w="1701" w:type="dxa"/>
            <w:tcBorders/>
          </w:tcPr>
          <w:p>
            <w:pPr>
              <w:pStyle w:val="TableContents"/>
              <w:widowControl w:val="false"/>
              <w:spacing w:lineRule="auto" w:line="276"/>
              <w:rPr/>
            </w:pPr>
            <w:r>
              <w:rPr>
                <w:rFonts w:cs="Times New Roman" w:ascii="Times New Roman" w:hAnsi="Times New Roman"/>
                <w:i/>
                <w:iCs/>
              </w:rPr>
              <w:t>C. spilopoda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0.93</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5.24</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0.32</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0.42</w:t>
            </w:r>
          </w:p>
        </w:tc>
      </w:tr>
      <w:tr>
        <w:trPr/>
        <w:tc>
          <w:tcPr>
            <w:tcW w:w="1701" w:type="dxa"/>
            <w:tcBorders/>
          </w:tcPr>
          <w:p>
            <w:pPr>
              <w:pStyle w:val="TableContents"/>
              <w:widowControl w:val="false"/>
              <w:spacing w:lineRule="auto" w:line="276"/>
              <w:rPr/>
            </w:pPr>
            <w:r>
              <w:rPr>
                <w:rFonts w:cs="Times New Roman" w:ascii="Times New Roman" w:hAnsi="Times New Roman"/>
                <w:i/>
                <w:iCs/>
              </w:rPr>
              <w:t>C. tarsata</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0.07</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1.07</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0.28</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0.03</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0.13</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w:t>
            </w:r>
          </w:p>
        </w:tc>
      </w:tr>
      <w:tr>
        <w:trPr/>
        <w:tc>
          <w:tcPr>
            <w:tcW w:w="1701" w:type="dxa"/>
            <w:tcBorders/>
          </w:tcPr>
          <w:p>
            <w:pPr>
              <w:pStyle w:val="TableContents"/>
              <w:widowControl w:val="false"/>
              <w:spacing w:lineRule="auto" w:line="276"/>
              <w:rPr/>
            </w:pPr>
            <w:r>
              <w:rPr>
                <w:rFonts w:cs="Times New Roman" w:ascii="Times New Roman" w:hAnsi="Times New Roman"/>
                <w:i/>
                <w:iCs/>
              </w:rPr>
              <w:t>C. terminata</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0.22</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0.99</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0.32</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2.07</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1.93</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0.05</w:t>
            </w:r>
          </w:p>
        </w:tc>
      </w:tr>
      <w:tr>
        <w:trPr/>
        <w:tc>
          <w:tcPr>
            <w:tcW w:w="1701" w:type="dxa"/>
            <w:tcBorders/>
          </w:tcPr>
          <w:p>
            <w:pPr>
              <w:pStyle w:val="TableContents"/>
              <w:widowControl w:val="false"/>
              <w:spacing w:lineRule="auto" w:line="276"/>
              <w:rPr/>
            </w:pPr>
            <w:r>
              <w:rPr>
                <w:rFonts w:cs="Times New Roman" w:ascii="Times New Roman" w:hAnsi="Times New Roman"/>
                <w:i/>
                <w:iCs/>
              </w:rPr>
              <w:t>C. trigonoides</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0.21</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1.7</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0.09</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-3.23</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-3.16</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C. varia</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-0.05</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-0.27</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0.79</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1.31</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1.95</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0.05</w:t>
            </w:r>
          </w:p>
        </w:tc>
      </w:tr>
      <w:tr>
        <w:trPr/>
        <w:tc>
          <w:tcPr>
            <w:tcW w:w="1701" w:type="dxa"/>
            <w:tcBorders/>
          </w:tcPr>
          <w:p>
            <w:pPr>
              <w:pStyle w:val="TableContents"/>
              <w:widowControl w:val="false"/>
              <w:spacing w:lineRule="auto" w:line="276"/>
              <w:rPr/>
            </w:pPr>
            <w:r>
              <w:rPr>
                <w:rFonts w:cs="Times New Roman" w:ascii="Times New Roman" w:hAnsi="Times New Roman"/>
                <w:i/>
                <w:iCs/>
              </w:rPr>
              <w:t>C. violacea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-0.34</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-2.52</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0.01</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r>
      <w:tr>
        <w:trPr/>
        <w:tc>
          <w:tcPr>
            <w:tcW w:w="1701" w:type="dxa"/>
            <w:tcBorders/>
          </w:tcPr>
          <w:p>
            <w:pPr>
              <w:pStyle w:val="TableContents"/>
              <w:widowControl w:val="false"/>
              <w:spacing w:lineRule="auto" w:line="276"/>
              <w:rPr/>
            </w:pPr>
            <w:r>
              <w:rPr>
                <w:rFonts w:cs="Times New Roman" w:ascii="Times New Roman" w:hAnsi="Times New Roman"/>
                <w:i/>
                <w:iCs/>
              </w:rPr>
              <w:t>C. xanthocnemis</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-0.23</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-1.06</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0.29</w:t>
            </w:r>
          </w:p>
        </w:tc>
        <w:tc>
          <w:tcPr>
            <w:tcW w:w="1281"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1.36</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1.65</w:t>
            </w:r>
          </w:p>
        </w:tc>
        <w:tc>
          <w:tcPr>
            <w:tcW w:w="1270"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w:t>
            </w:r>
          </w:p>
        </w:tc>
      </w:tr>
      <w:tr>
        <w:trPr/>
        <w:tc>
          <w:tcPr>
            <w:tcW w:w="1701" w:type="dxa"/>
            <w:tcBorders/>
          </w:tcPr>
          <w:p>
            <w:pPr>
              <w:pStyle w:val="TableContents"/>
              <w:widowControl w:val="false"/>
              <w:spacing w:lineRule="auto" w:line="276"/>
              <w:rPr/>
            </w:pPr>
            <w:r>
              <w:rPr>
                <w:rFonts w:cs="Times New Roman" w:ascii="Times New Roman" w:hAnsi="Times New Roman"/>
                <w:i/>
                <w:iCs/>
              </w:rPr>
              <w:t>E. analis</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0.36</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3.08</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1.51</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3.46</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E. bicolor</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0.28</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2.6</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0.01</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1.06</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2.86</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E. cockerelli</w:t>
            </w:r>
          </w:p>
        </w:tc>
        <w:tc>
          <w:tcPr>
            <w:tcW w:w="1278"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0.24</w:t>
            </w:r>
          </w:p>
        </w:tc>
        <w:tc>
          <w:tcPr>
            <w:tcW w:w="1273"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1.69</w:t>
            </w:r>
          </w:p>
        </w:tc>
        <w:tc>
          <w:tcPr>
            <w:tcW w:w="1134"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0.09</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3.17</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3.08</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r>
        <w:trPr/>
        <w:tc>
          <w:tcPr>
            <w:tcW w:w="1701" w:type="dxa"/>
            <w:tcBorders/>
          </w:tcPr>
          <w:p>
            <w:pPr>
              <w:pStyle w:val="TableContents"/>
              <w:widowControl w:val="false"/>
              <w:spacing w:lineRule="auto" w:line="276"/>
              <w:rPr/>
            </w:pPr>
            <w:r>
              <w:rPr>
                <w:rFonts w:cs="Times New Roman" w:ascii="Times New Roman" w:hAnsi="Times New Roman"/>
                <w:i/>
                <w:iCs/>
              </w:rPr>
              <w:t>E. flava</w:t>
            </w:r>
          </w:p>
        </w:tc>
        <w:tc>
          <w:tcPr>
            <w:tcW w:w="1278"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-0.16</w:t>
            </w:r>
          </w:p>
        </w:tc>
        <w:tc>
          <w:tcPr>
            <w:tcW w:w="1273"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-2.41</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0.02</w:t>
            </w:r>
          </w:p>
        </w:tc>
        <w:tc>
          <w:tcPr>
            <w:tcW w:w="1281"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0.56</w:t>
            </w:r>
          </w:p>
        </w:tc>
        <w:tc>
          <w:tcPr>
            <w:tcW w:w="1134"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2.59</w:t>
            </w:r>
          </w:p>
        </w:tc>
        <w:tc>
          <w:tcPr>
            <w:tcW w:w="1270"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0.01</w:t>
            </w:r>
          </w:p>
        </w:tc>
      </w:tr>
      <w:tr>
        <w:trPr/>
        <w:tc>
          <w:tcPr>
            <w:tcW w:w="1701" w:type="dxa"/>
            <w:tcBorders>
              <w:bottom w:val="single" w:sz="6" w:space="0" w:color="000000"/>
            </w:tcBorders>
          </w:tcPr>
          <w:p>
            <w:pPr>
              <w:pStyle w:val="TableContents"/>
              <w:widowControl w:val="false"/>
              <w:spacing w:lineRule="auto" w:line="276"/>
              <w:rPr/>
            </w:pPr>
            <w:r>
              <w:rPr>
                <w:rFonts w:cs="Times New Roman" w:ascii="Times New Roman" w:hAnsi="Times New Roman"/>
                <w:i/>
                <w:iCs/>
              </w:rPr>
              <w:t>E. iheringi</w:t>
            </w:r>
          </w:p>
        </w:tc>
        <w:tc>
          <w:tcPr>
            <w:tcW w:w="1278" w:type="dxa"/>
            <w:tcBorders>
              <w:bottom w:val="single" w:sz="6" w:space="0" w:color="000000"/>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0.53</w:t>
            </w:r>
          </w:p>
        </w:tc>
        <w:tc>
          <w:tcPr>
            <w:tcW w:w="1273" w:type="dxa"/>
            <w:tcBorders>
              <w:bottom w:val="single" w:sz="6" w:space="0" w:color="000000"/>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3.41</w:t>
            </w:r>
          </w:p>
        </w:tc>
        <w:tc>
          <w:tcPr>
            <w:tcW w:w="1134"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281"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rPr>
            </w:pPr>
            <w:r>
              <w:rPr>
                <w:rFonts w:cs="Times New Roman" w:ascii="Times New Roman" w:hAnsi="Times New Roman"/>
                <w:b/>
              </w:rPr>
              <w:t>2.52</w:t>
            </w:r>
          </w:p>
        </w:tc>
        <w:tc>
          <w:tcPr>
            <w:tcW w:w="1134"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rPr>
            </w:pPr>
            <w:r>
              <w:rPr>
                <w:rFonts w:cs="Times New Roman" w:ascii="Times New Roman" w:hAnsi="Times New Roman"/>
                <w:b/>
              </w:rPr>
              <w:t>3.38</w:t>
            </w:r>
          </w:p>
        </w:tc>
        <w:tc>
          <w:tcPr>
            <w:tcW w:w="1270"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r>
    </w:tbl>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b/>
          <w:bCs/>
        </w:rPr>
        <w:t>Table S5</w:t>
      </w:r>
      <w:r>
        <w:rPr>
          <w:rFonts w:cs="Times New Roman" w:ascii="Times New Roman" w:hAnsi="Times New Roman"/>
        </w:rPr>
        <w:t>: Model diagnostics for generalised linear models assessing relative occurrence and seasonality trends for each species. For each model, p values for residual uniformity, dispersion, and outlier tests are reported. Collinearity among predictors was quantified using variance inflation factors . Statistically significant values (p &lt; 0.05) are given in bold.</w:t>
      </w:r>
    </w:p>
    <w:p>
      <w:pPr>
        <w:pStyle w:val="Normal"/>
        <w:spacing w:lineRule="auto" w:line="276"/>
        <w:jc w:val="both"/>
        <w:rPr>
          <w:rFonts w:ascii="Times New Roman" w:hAnsi="Times New Roman" w:cs="Times New Roman"/>
        </w:rPr>
      </w:pPr>
      <w:r>
        <w:rPr>
          <w:rFonts w:cs="Times New Roman" w:ascii="Times New Roman" w:hAnsi="Times New Roman"/>
        </w:rPr>
      </w:r>
    </w:p>
    <w:tbl>
      <w:tblPr>
        <w:tblW w:w="8789"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1843"/>
        <w:gridCol w:w="1559"/>
        <w:gridCol w:w="1417"/>
        <w:gridCol w:w="1415"/>
        <w:gridCol w:w="2555"/>
      </w:tblGrid>
      <w:tr>
        <w:trPr/>
        <w:tc>
          <w:tcPr>
            <w:tcW w:w="1843" w:type="dxa"/>
            <w:vMerge w:val="restart"/>
            <w:tcBorders>
              <w:top w:val="single" w:sz="6" w:space="0" w:color="000000"/>
              <w:bottom w:val="single" w:sz="4" w:space="0" w:color="000000"/>
            </w:tcBorders>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Species</w:t>
            </w:r>
          </w:p>
        </w:tc>
        <w:tc>
          <w:tcPr>
            <w:tcW w:w="4391" w:type="dxa"/>
            <w:gridSpan w:val="3"/>
            <w:tcBorders>
              <w:top w:val="single" w:sz="4" w:space="0" w:color="000000"/>
            </w:tcBorders>
            <w:tcMar>
              <w:top w:w="55" w:type="dxa"/>
              <w:left w:w="55" w:type="dxa"/>
              <w:bottom w:w="55" w:type="dxa"/>
              <w:right w:w="55" w:type="dxa"/>
            </w:tcMar>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Residuals</w:t>
            </w:r>
          </w:p>
        </w:tc>
        <w:tc>
          <w:tcPr>
            <w:tcW w:w="2555" w:type="dxa"/>
            <w:vMerge w:val="restart"/>
            <w:tcBorders>
              <w:top w:val="single" w:sz="6" w:space="0" w:color="000000"/>
              <w:bottom w:val="single" w:sz="6" w:space="0" w:color="000000"/>
            </w:tcBorders>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Collinearity</w:t>
            </w:r>
          </w:p>
        </w:tc>
      </w:tr>
      <w:tr>
        <w:trPr/>
        <w:tc>
          <w:tcPr>
            <w:tcW w:w="1843" w:type="dxa"/>
            <w:vMerge w:val="continue"/>
            <w:tcBorders>
              <w:top w:val="single" w:sz="4" w:space="0" w:color="000000"/>
              <w:bottom w:val="single" w:sz="4" w:space="0" w:color="000000"/>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c>
          <w:tcPr>
            <w:tcW w:w="1559"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Uniformity</w:t>
            </w:r>
          </w:p>
        </w:tc>
        <w:tc>
          <w:tcPr>
            <w:tcW w:w="1417"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Dispersion</w:t>
            </w:r>
          </w:p>
        </w:tc>
        <w:tc>
          <w:tcPr>
            <w:tcW w:w="1415"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Outliers</w:t>
            </w:r>
          </w:p>
        </w:tc>
        <w:tc>
          <w:tcPr>
            <w:tcW w:w="2555" w:type="dxa"/>
            <w:vMerge w:val="continue"/>
            <w:tcBorders>
              <w:top w:val="single" w:sz="6" w:space="0" w:color="000000"/>
              <w:bottom w:val="single" w:sz="6" w:space="0" w:color="000000"/>
            </w:tcBorders>
          </w:tcPr>
          <w:p>
            <w:pPr>
              <w:pStyle w:val="Normal"/>
              <w:widowControl w:val="false"/>
              <w:spacing w:lineRule="auto" w:line="276"/>
              <w:rPr>
                <w:rFonts w:ascii="Times New Roman" w:hAnsi="Times New Roman" w:cs="Times New Roman"/>
              </w:rPr>
            </w:pPr>
            <w:r>
              <w:rPr>
                <w:rFonts w:cs="Times New Roman" w:ascii="Times New Roman" w:hAnsi="Times New Roman"/>
              </w:rPr>
            </w:r>
          </w:p>
        </w:tc>
      </w:tr>
      <w:tr>
        <w:trPr/>
        <w:tc>
          <w:tcPr>
            <w:tcW w:w="1843" w:type="dxa"/>
            <w:tcBorders>
              <w:top w:val="single" w:sz="4" w:space="0" w:color="000000"/>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aenea</w:t>
            </w:r>
          </w:p>
        </w:tc>
        <w:tc>
          <w:tcPr>
            <w:tcW w:w="1559" w:type="dxa"/>
            <w:tcBorders>
              <w:top w:val="single" w:sz="4" w:space="0" w:color="000000"/>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0.84</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0.93</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analis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0.63</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0.57</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collaris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0.72</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dorsata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0.64</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0.83</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fuscata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0.44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longimana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0.56</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lutea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0.63</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0.34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machadoi</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0.82</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0.53</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mocsary</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0.72</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0.17</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nitens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0.82</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0.58</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pPr>
            <w:r>
              <w:rPr>
                <w:rFonts w:cs="Times New Roman" w:ascii="Times New Roman" w:hAnsi="Times New Roman"/>
                <w:i/>
                <w:iCs/>
                <w:color w:val="000000"/>
              </w:rPr>
              <w:t>C. rupestris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0.98</w:t>
            </w:r>
          </w:p>
        </w:tc>
        <w:tc>
          <w:tcPr>
            <w:tcW w:w="1417"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0.06</w:t>
            </w:r>
          </w:p>
        </w:tc>
        <w:tc>
          <w:tcPr>
            <w:tcW w:w="1415"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0.02</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spilopoda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0.47</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pPr>
            <w:r>
              <w:rPr>
                <w:rFonts w:cs="Times New Roman" w:ascii="Times New Roman" w:hAnsi="Times New Roman"/>
                <w:i/>
                <w:iCs/>
                <w:color w:val="000000"/>
              </w:rPr>
              <w:t>C. tarsata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0.09</w:t>
            </w:r>
          </w:p>
        </w:tc>
        <w:tc>
          <w:tcPr>
            <w:tcW w:w="1415"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terminata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0.7</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0.57</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trigonoides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0.55</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0.95</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varia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0.57</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pPr>
            <w:r>
              <w:rPr>
                <w:rFonts w:cs="Times New Roman" w:ascii="Times New Roman" w:hAnsi="Times New Roman"/>
                <w:i/>
                <w:iCs/>
                <w:color w:val="000000"/>
              </w:rPr>
              <w:t>C. violacea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0.21</w:t>
            </w:r>
          </w:p>
        </w:tc>
        <w:tc>
          <w:tcPr>
            <w:tcW w:w="1417"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0.02</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0.08</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xanthocnemis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0.58</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pPr>
            <w:r>
              <w:rPr>
                <w:rFonts w:cs="Times New Roman" w:ascii="Times New Roman" w:hAnsi="Times New Roman"/>
                <w:i/>
                <w:iCs/>
                <w:color w:val="000000"/>
              </w:rPr>
              <w:t>E. analis</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0.13</w:t>
            </w:r>
          </w:p>
        </w:tc>
        <w:tc>
          <w:tcPr>
            <w:tcW w:w="1417"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0.06</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bicolor</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0.86</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0.12</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tcPr>
          <w:p>
            <w:pPr>
              <w:pStyle w:val="TableContents"/>
              <w:widowControl w:val="false"/>
              <w:spacing w:lineRule="auto" w:line="276"/>
              <w:rPr/>
            </w:pPr>
            <w:r>
              <w:rPr>
                <w:rFonts w:cs="Times New Roman" w:ascii="Times New Roman" w:hAnsi="Times New Roman"/>
                <w:i/>
                <w:iCs/>
                <w:color w:val="000000"/>
              </w:rPr>
              <w:t>E. cockerelli</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0.84</w:t>
            </w:r>
          </w:p>
        </w:tc>
        <w:tc>
          <w:tcPr>
            <w:tcW w:w="1417" w:type="dxa"/>
            <w:tcBorders/>
          </w:tcPr>
          <w:p>
            <w:pPr>
              <w:pStyle w:val="TableContents"/>
              <w:widowControl w:val="false"/>
              <w:spacing w:lineRule="auto" w:line="276"/>
              <w:rPr>
                <w:rFonts w:ascii="Times New Roman" w:hAnsi="Times New Roman" w:cs="Times New Roman"/>
                <w:b/>
                <w:b/>
              </w:rPr>
            </w:pPr>
            <w:r>
              <w:rPr>
                <w:rFonts w:cs="Times New Roman" w:ascii="Times New Roman" w:hAnsi="Times New Roman"/>
                <w:b/>
              </w:rPr>
              <w:t>0</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r>
        <w:trPr/>
        <w:tc>
          <w:tcPr>
            <w:tcW w:w="1843" w:type="dxa"/>
            <w:tcBorders/>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flava</w:t>
            </w:r>
          </w:p>
        </w:tc>
        <w:tc>
          <w:tcPr>
            <w:tcW w:w="1559"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0.08</w:t>
            </w:r>
          </w:p>
        </w:tc>
        <w:tc>
          <w:tcPr>
            <w:tcW w:w="1417"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0.4</w:t>
            </w:r>
          </w:p>
        </w:tc>
        <w:tc>
          <w:tcPr>
            <w:tcW w:w="141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0.14</w:t>
            </w:r>
          </w:p>
        </w:tc>
        <w:tc>
          <w:tcPr>
            <w:tcW w:w="2555" w:type="dxa"/>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1.01</w:t>
            </w:r>
          </w:p>
        </w:tc>
      </w:tr>
      <w:tr>
        <w:trPr/>
        <w:tc>
          <w:tcPr>
            <w:tcW w:w="1843" w:type="dxa"/>
            <w:tcBorders>
              <w:bottom w:val="single" w:sz="6" w:space="0" w:color="000000"/>
            </w:tcBorders>
          </w:tcPr>
          <w:p>
            <w:pPr>
              <w:pStyle w:val="TableContents"/>
              <w:widowControl w:val="false"/>
              <w:spacing w:lineRule="auto" w:line="276"/>
              <w:rPr/>
            </w:pPr>
            <w:r>
              <w:rPr>
                <w:rFonts w:cs="Times New Roman" w:ascii="Times New Roman" w:hAnsi="Times New Roman"/>
                <w:i/>
                <w:iCs/>
                <w:color w:val="000000"/>
              </w:rPr>
              <w:t>E. iheringi</w:t>
            </w:r>
          </w:p>
        </w:tc>
        <w:tc>
          <w:tcPr>
            <w:tcW w:w="1559" w:type="dxa"/>
            <w:tcBorders>
              <w:bottom w:val="single" w:sz="6" w:space="0" w:color="000000"/>
            </w:tcBorders>
          </w:tcPr>
          <w:p>
            <w:pPr>
              <w:pStyle w:val="TableContents"/>
              <w:widowControl w:val="false"/>
              <w:spacing w:lineRule="auto" w:line="276"/>
              <w:rPr>
                <w:rFonts w:ascii="Times New Roman" w:hAnsi="Times New Roman" w:cs="Times New Roman"/>
              </w:rPr>
            </w:pPr>
            <w:r>
              <w:rPr>
                <w:rFonts w:cs="Times New Roman" w:ascii="Times New Roman" w:hAnsi="Times New Roman"/>
              </w:rPr>
              <w:t>0.93</w:t>
            </w:r>
          </w:p>
        </w:tc>
        <w:tc>
          <w:tcPr>
            <w:tcW w:w="1417"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b/>
                <w:b/>
              </w:rPr>
            </w:pPr>
            <w:r>
              <w:rPr>
                <w:rFonts w:cs="Times New Roman" w:ascii="Times New Roman" w:hAnsi="Times New Roman"/>
                <w:b/>
              </w:rPr>
              <w:t>0.03</w:t>
            </w:r>
          </w:p>
        </w:tc>
        <w:tc>
          <w:tcPr>
            <w:tcW w:w="1415"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c>
          <w:tcPr>
            <w:tcW w:w="2555" w:type="dxa"/>
            <w:tcBorders>
              <w:bottom w:val="single" w:sz="4" w:space="0" w:color="000000"/>
            </w:tcBorders>
            <w:tcMar>
              <w:top w:w="55" w:type="dxa"/>
              <w:left w:w="55" w:type="dxa"/>
              <w:bottom w:w="55" w:type="dxa"/>
              <w:right w:w="55"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1</w:t>
            </w:r>
          </w:p>
        </w:tc>
      </w:tr>
    </w:tbl>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b/>
          <w:bCs/>
          <w:szCs w:val="20"/>
        </w:rPr>
        <w:t>Table S6:</w:t>
      </w:r>
      <w:r>
        <w:rPr>
          <w:rFonts w:cs="Times New Roman" w:ascii="Times New Roman" w:hAnsi="Times New Roman"/>
          <w:szCs w:val="20"/>
        </w:rPr>
        <w:t xml:space="preserve"> Summary of generalised linear models  for species occurrence trends using either decadal or five-year bins. Reported are whether a species’ relative occurrence changed significantly over time (p &lt; 0.05) or remained constant, and whether it was significantly more common in the dry season, the rainy season, or equally common in both. Species marked with a degree symbol (°) showed marginally significant temporal trends (0.05 &lt; p &lt; 0.06). Species marked with an asterisk (*) had no records in the rainy season. </w:t>
      </w:r>
      <w:r>
        <w:rPr>
          <w:rFonts w:cs="Times New Roman" w:ascii="Times New Roman" w:hAnsi="Times New Roman"/>
          <w:i/>
          <w:iCs/>
          <w:szCs w:val="20"/>
        </w:rPr>
        <w:t>Centris tetrazona</w:t>
      </w:r>
      <w:r>
        <w:rPr>
          <w:rFonts w:cs="Times New Roman" w:ascii="Times New Roman" w:hAnsi="Times New Roman"/>
          <w:szCs w:val="20"/>
        </w:rPr>
        <w:t xml:space="preserve"> could not be analysed using decadal bins because it did not meet the inclusion threshold. Results that differed between the decadal and five-year binning approaches are highlighted in bold.</w:t>
      </w:r>
    </w:p>
    <w:p>
      <w:pPr>
        <w:pStyle w:val="Normal"/>
        <w:spacing w:lineRule="auto" w:line="276"/>
        <w:jc w:val="both"/>
        <w:rPr>
          <w:rFonts w:ascii="Times New Roman" w:hAnsi="Times New Roman" w:cs="Times New Roman"/>
        </w:rPr>
      </w:pPr>
      <w:r>
        <w:rPr>
          <w:rFonts w:cs="Times New Roman" w:ascii="Times New Roman" w:hAnsi="Times New Roman"/>
        </w:rPr>
      </w:r>
    </w:p>
    <w:tbl>
      <w:tblPr>
        <w:tblW w:w="8460" w:type="dxa"/>
        <w:jc w:val="left"/>
        <w:tblInd w:w="0" w:type="dxa"/>
        <w:tblLayout w:type="fixed"/>
        <w:tblCellMar>
          <w:top w:w="55" w:type="dxa"/>
          <w:left w:w="55" w:type="dxa"/>
          <w:bottom w:w="55" w:type="dxa"/>
          <w:right w:w="55" w:type="dxa"/>
        </w:tblCellMar>
        <w:tblLook w:val="0000" w:noHBand="0" w:noVBand="0" w:firstColumn="0" w:lastRow="0" w:lastColumn="0" w:firstRow="0"/>
      </w:tblPr>
      <w:tblGrid>
        <w:gridCol w:w="1796"/>
        <w:gridCol w:w="1624"/>
        <w:gridCol w:w="1710"/>
        <w:gridCol w:w="1620"/>
        <w:gridCol w:w="1710"/>
      </w:tblGrid>
      <w:tr>
        <w:trPr/>
        <w:tc>
          <w:tcPr>
            <w:tcW w:w="1796" w:type="dxa"/>
            <w:vMerge w:val="restart"/>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Species</w:t>
            </w:r>
          </w:p>
        </w:tc>
        <w:tc>
          <w:tcPr>
            <w:tcW w:w="3334" w:type="dxa"/>
            <w:gridSpan w:val="2"/>
            <w:tcBorders>
              <w:top w:val="single" w:sz="4" w:space="0" w:color="000000"/>
            </w:tcBorders>
          </w:tcPr>
          <w:p>
            <w:pPr>
              <w:pStyle w:val="TableContents"/>
              <w:widowControl w:val="false"/>
              <w:spacing w:lineRule="auto" w:line="276"/>
              <w:jc w:val="center"/>
              <w:rPr>
                <w:rFonts w:ascii="Times New Roman" w:hAnsi="Times New Roman" w:cs="Times New Roman"/>
                <w:b/>
                <w:b/>
                <w:color w:val="000000"/>
              </w:rPr>
            </w:pPr>
            <w:r>
              <w:rPr>
                <w:rFonts w:cs="Times New Roman" w:ascii="Times New Roman" w:hAnsi="Times New Roman"/>
                <w:b/>
                <w:color w:val="000000"/>
              </w:rPr>
              <w:t>Time</w:t>
            </w:r>
          </w:p>
        </w:tc>
        <w:tc>
          <w:tcPr>
            <w:tcW w:w="3330" w:type="dxa"/>
            <w:gridSpan w:val="2"/>
            <w:tcBorders>
              <w:top w:val="single" w:sz="4" w:space="0" w:color="000000"/>
            </w:tcBorders>
          </w:tcPr>
          <w:p>
            <w:pPr>
              <w:pStyle w:val="TableContents"/>
              <w:widowControl w:val="false"/>
              <w:spacing w:lineRule="auto" w:line="276"/>
              <w:jc w:val="center"/>
              <w:rPr>
                <w:rFonts w:ascii="Times New Roman" w:hAnsi="Times New Roman" w:cs="Times New Roman"/>
                <w:b/>
                <w:b/>
              </w:rPr>
            </w:pPr>
            <w:r>
              <w:rPr>
                <w:rFonts w:cs="Times New Roman" w:ascii="Times New Roman" w:hAnsi="Times New Roman"/>
                <w:b/>
              </w:rPr>
              <w:t>Seasonality</w:t>
            </w:r>
          </w:p>
        </w:tc>
      </w:tr>
      <w:tr>
        <w:trPr/>
        <w:tc>
          <w:tcPr>
            <w:tcW w:w="1796" w:type="dxa"/>
            <w:vMerge w:val="continue"/>
            <w:tcBorders>
              <w:top w:val="single" w:sz="6" w:space="0" w:color="000000"/>
              <w:bottom w:val="single" w:sz="6" w:space="0" w:color="000000"/>
            </w:tcBorders>
          </w:tcPr>
          <w:p>
            <w:pPr>
              <w:pStyle w:val="Normal"/>
              <w:widowControl w:val="false"/>
              <w:spacing w:lineRule="auto" w:line="276"/>
              <w:rPr>
                <w:rFonts w:ascii="Times New Roman" w:hAnsi="Times New Roman" w:cs="Times New Roman"/>
                <w:b/>
                <w:b/>
              </w:rPr>
            </w:pPr>
            <w:r>
              <w:rPr>
                <w:rFonts w:cs="Times New Roman" w:ascii="Times New Roman" w:hAnsi="Times New Roman"/>
                <w:b/>
              </w:rPr>
            </w:r>
          </w:p>
        </w:tc>
        <w:tc>
          <w:tcPr>
            <w:tcW w:w="1624" w:type="dxa"/>
            <w:tcBorders>
              <w:bottom w:val="single" w:sz="4" w:space="0" w:color="000000"/>
            </w:tcBorders>
          </w:tcPr>
          <w:p>
            <w:pPr>
              <w:pStyle w:val="TableContents"/>
              <w:widowControl w:val="false"/>
              <w:spacing w:lineRule="auto" w:line="276"/>
              <w:jc w:val="center"/>
              <w:rPr>
                <w:rFonts w:ascii="Times New Roman" w:hAnsi="Times New Roman" w:cs="Times New Roman"/>
                <w:b/>
                <w:b/>
              </w:rPr>
            </w:pPr>
            <w:r>
              <w:rPr>
                <w:rFonts w:cs="Times New Roman" w:ascii="Times New Roman" w:hAnsi="Times New Roman"/>
                <w:b/>
              </w:rPr>
              <w:t>Decadal bins</w:t>
            </w:r>
          </w:p>
        </w:tc>
        <w:tc>
          <w:tcPr>
            <w:tcW w:w="1710" w:type="dxa"/>
            <w:tcBorders>
              <w:bottom w:val="single" w:sz="4" w:space="0" w:color="000000"/>
            </w:tcBorders>
          </w:tcPr>
          <w:p>
            <w:pPr>
              <w:pStyle w:val="TableContents"/>
              <w:widowControl w:val="false"/>
              <w:spacing w:lineRule="auto" w:line="276"/>
              <w:jc w:val="center"/>
              <w:rPr>
                <w:rFonts w:ascii="Times New Roman" w:hAnsi="Times New Roman" w:cs="Times New Roman"/>
                <w:b/>
                <w:b/>
              </w:rPr>
            </w:pPr>
            <w:r>
              <w:rPr>
                <w:rFonts w:cs="Times New Roman" w:ascii="Times New Roman" w:hAnsi="Times New Roman"/>
                <w:b/>
              </w:rPr>
              <w:t>Five-year bins</w:t>
            </w:r>
          </w:p>
        </w:tc>
        <w:tc>
          <w:tcPr>
            <w:tcW w:w="1620" w:type="dxa"/>
            <w:tcBorders>
              <w:bottom w:val="single" w:sz="6" w:space="0" w:color="000000"/>
            </w:tcBorders>
          </w:tcPr>
          <w:p>
            <w:pPr>
              <w:pStyle w:val="TableContents"/>
              <w:widowControl w:val="false"/>
              <w:spacing w:lineRule="auto" w:line="276"/>
              <w:jc w:val="center"/>
              <w:rPr>
                <w:rFonts w:ascii="Times New Roman" w:hAnsi="Times New Roman" w:cs="Times New Roman"/>
                <w:b/>
                <w:b/>
              </w:rPr>
            </w:pPr>
            <w:r>
              <w:rPr>
                <w:rFonts w:cs="Times New Roman" w:ascii="Times New Roman" w:hAnsi="Times New Roman"/>
                <w:b/>
              </w:rPr>
              <w:t>Decadal bins</w:t>
            </w:r>
          </w:p>
        </w:tc>
        <w:tc>
          <w:tcPr>
            <w:tcW w:w="1710" w:type="dxa"/>
            <w:tcBorders>
              <w:bottom w:val="single" w:sz="6" w:space="0" w:color="000000"/>
            </w:tcBorders>
          </w:tcPr>
          <w:p>
            <w:pPr>
              <w:pStyle w:val="TableContents"/>
              <w:widowControl w:val="false"/>
              <w:spacing w:lineRule="auto" w:line="276"/>
              <w:jc w:val="center"/>
              <w:rPr>
                <w:rFonts w:ascii="Times New Roman" w:hAnsi="Times New Roman" w:cs="Times New Roman"/>
                <w:b/>
                <w:b/>
              </w:rPr>
            </w:pPr>
            <w:r>
              <w:rPr>
                <w:rFonts w:cs="Times New Roman" w:ascii="Times New Roman" w:hAnsi="Times New Roman"/>
                <w:b/>
              </w:rPr>
              <w:t>Five-year bins</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aenea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analis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collaris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dorsata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fuscata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 °</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longimana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lutea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machadoi</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mocsary</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nitens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spilopoda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rupestris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 *</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 *</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tarsata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terminata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 °</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rPr>
            </w:pPr>
            <w:r>
              <w:rPr>
                <w:rFonts w:cs="Times New Roman" w:ascii="Times New Roman" w:hAnsi="Times New Roman"/>
                <w:i/>
                <w:iCs/>
              </w:rPr>
              <w:t>C. tetrazona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NA</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trigonoides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varia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 °</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violacea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 *</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 *</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Dry *</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C. xanthocnemis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Constant</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Both</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analis</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bicolor</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cockerelli</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b/>
                <w:b/>
                <w:bCs/>
              </w:rPr>
            </w:pPr>
            <w:r>
              <w:rPr>
                <w:rFonts w:cs="Times New Roman" w:ascii="Times New Roman" w:hAnsi="Times New Roman"/>
                <w:b/>
                <w:bCs/>
              </w:rPr>
              <w:t>Constant</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b/>
                <w:b/>
                <w:bCs/>
              </w:rPr>
            </w:pPr>
            <w:r>
              <w:rPr>
                <w:rFonts w:cs="Times New Roman" w:ascii="Times New Roman" w:hAnsi="Times New Roman"/>
                <w:b/>
                <w:bCs/>
              </w:rPr>
              <w:t>Increasing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flava</w:t>
            </w:r>
          </w:p>
        </w:tc>
        <w:tc>
          <w:tcPr>
            <w:tcW w:w="1624"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Decreasing</w:t>
            </w:r>
          </w:p>
        </w:tc>
        <w:tc>
          <w:tcPr>
            <w:tcW w:w="162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r>
        <w:trPr/>
        <w:tc>
          <w:tcPr>
            <w:tcW w:w="1796" w:type="dxa"/>
            <w:tcBorders>
              <w:bottom w:val="single" w:sz="6" w:space="0" w:color="000000"/>
            </w:tcBorders>
            <w:tcMar>
              <w:top w:w="0" w:type="dxa"/>
              <w:left w:w="0" w:type="dxa"/>
              <w:bottom w:w="0" w:type="dxa"/>
              <w:right w:w="0" w:type="dxa"/>
            </w:tcMar>
          </w:tcPr>
          <w:p>
            <w:pPr>
              <w:pStyle w:val="TableContents"/>
              <w:widowControl w:val="false"/>
              <w:spacing w:lineRule="auto" w:line="276"/>
              <w:rPr>
                <w:rFonts w:ascii="Times New Roman" w:hAnsi="Times New Roman" w:cs="Times New Roman"/>
                <w:i/>
                <w:i/>
                <w:iCs/>
                <w:color w:val="000000"/>
              </w:rPr>
            </w:pPr>
            <w:r>
              <w:rPr>
                <w:rFonts w:cs="Times New Roman" w:ascii="Times New Roman" w:hAnsi="Times New Roman"/>
                <w:i/>
                <w:iCs/>
                <w:color w:val="000000"/>
              </w:rPr>
              <w:t>E. iheringi</w:t>
            </w:r>
          </w:p>
        </w:tc>
        <w:tc>
          <w:tcPr>
            <w:tcW w:w="1624" w:type="dxa"/>
            <w:tcBorders>
              <w:bottom w:val="single" w:sz="6" w:space="0" w:color="000000"/>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710" w:type="dxa"/>
            <w:tcBorders>
              <w:bottom w:val="single" w:sz="6" w:space="0" w:color="000000"/>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Increasing</w:t>
            </w:r>
          </w:p>
        </w:tc>
        <w:tc>
          <w:tcPr>
            <w:tcW w:w="1620" w:type="dxa"/>
            <w:tcBorders>
              <w:bottom w:val="single" w:sz="6" w:space="0" w:color="000000"/>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c>
          <w:tcPr>
            <w:tcW w:w="1710" w:type="dxa"/>
            <w:tcBorders>
              <w:bottom w:val="single" w:sz="6" w:space="0" w:color="000000"/>
            </w:tcBorders>
            <w:tcMar>
              <w:top w:w="0" w:type="dxa"/>
              <w:left w:w="0" w:type="dxa"/>
              <w:bottom w:w="0" w:type="dxa"/>
              <w:right w:w="0" w:type="dxa"/>
            </w:tcMar>
          </w:tcPr>
          <w:p>
            <w:pPr>
              <w:pStyle w:val="TableContents"/>
              <w:widowControl w:val="false"/>
              <w:spacing w:lineRule="auto" w:line="276"/>
              <w:rPr>
                <w:rFonts w:ascii="Times New Roman" w:hAnsi="Times New Roman" w:cs="Times New Roman"/>
              </w:rPr>
            </w:pPr>
            <w:r>
              <w:rPr>
                <w:rFonts w:cs="Times New Roman" w:ascii="Times New Roman" w:hAnsi="Times New Roman"/>
              </w:rPr>
              <w:t>Rainy</w:t>
            </w:r>
          </w:p>
        </w:tc>
      </w:tr>
    </w:tbl>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b/>
          <w:bCs/>
          <w:color w:val="000000"/>
          <w:szCs w:val="20"/>
        </w:rPr>
        <w:t xml:space="preserve">Table S7: </w:t>
      </w:r>
      <w:r>
        <w:rPr>
          <w:rFonts w:cs="Times New Roman" w:ascii="Times New Roman" w:hAnsi="Times New Roman"/>
          <w:color w:val="000000"/>
          <w:szCs w:val="20"/>
        </w:rPr>
        <w:t>Model diagnostics for generalised linear mixed-effects models predicting species’ relative occurrence using discrete and continuous diet classifications. For each model, p values for residual uniformity, dispersion, and outlier tests are reported. Statistically significant values (p &lt; 0.05) are shown in bold.</w:t>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tbl>
      <w:tblPr>
        <w:tblW w:w="8931" w:type="dxa"/>
        <w:jc w:val="left"/>
        <w:tblInd w:w="0" w:type="dxa"/>
        <w:tblLayout w:type="fixed"/>
        <w:tblCellMar>
          <w:top w:w="0" w:type="dxa"/>
          <w:left w:w="0" w:type="dxa"/>
          <w:bottom w:w="0" w:type="dxa"/>
          <w:right w:w="0" w:type="dxa"/>
        </w:tblCellMar>
        <w:tblLook w:val="0000" w:noHBand="0" w:noVBand="0" w:firstColumn="0" w:lastRow="0" w:lastColumn="0" w:firstRow="0"/>
      </w:tblPr>
      <w:tblGrid>
        <w:gridCol w:w="4594"/>
        <w:gridCol w:w="1362"/>
        <w:gridCol w:w="1414"/>
        <w:gridCol w:w="1560"/>
      </w:tblGrid>
      <w:tr>
        <w:trPr/>
        <w:tc>
          <w:tcPr>
            <w:tcW w:w="4594"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Model</w:t>
            </w:r>
          </w:p>
        </w:tc>
        <w:tc>
          <w:tcPr>
            <w:tcW w:w="1362"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Uniformity</w:t>
            </w:r>
          </w:p>
        </w:tc>
        <w:tc>
          <w:tcPr>
            <w:tcW w:w="1414"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Dispersion</w:t>
            </w:r>
          </w:p>
        </w:tc>
        <w:tc>
          <w:tcPr>
            <w:tcW w:w="1560"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Outliers</w:t>
            </w:r>
          </w:p>
        </w:tc>
      </w:tr>
      <w:tr>
        <w:trPr/>
        <w:tc>
          <w:tcPr>
            <w:tcW w:w="45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Occurrence ~ Diet_continuous + Seasonality</w:t>
            </w:r>
          </w:p>
        </w:tc>
        <w:tc>
          <w:tcPr>
            <w:tcW w:w="1362" w:type="dxa"/>
            <w:tcBorders/>
          </w:tcPr>
          <w:p>
            <w:pPr>
              <w:pStyle w:val="TableContents"/>
              <w:widowControl w:val="false"/>
              <w:spacing w:lineRule="auto" w:line="276"/>
              <w:rPr>
                <w:rFonts w:ascii="Times New Roman" w:hAnsi="Times New Roman" w:cs="Times New Roman"/>
                <w:b/>
                <w:b/>
                <w:bCs/>
                <w:color w:val="000000"/>
              </w:rPr>
            </w:pPr>
            <w:r>
              <w:rPr>
                <w:rFonts w:cs="Times New Roman" w:ascii="Times New Roman" w:hAnsi="Times New Roman"/>
                <w:b/>
                <w:bCs/>
                <w:color w:val="000000"/>
              </w:rPr>
              <w:t>0.002</w:t>
            </w:r>
          </w:p>
        </w:tc>
        <w:tc>
          <w:tcPr>
            <w:tcW w:w="141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0.12</w:t>
            </w:r>
          </w:p>
        </w:tc>
        <w:tc>
          <w:tcPr>
            <w:tcW w:w="1560"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0.16</w:t>
            </w:r>
          </w:p>
        </w:tc>
      </w:tr>
      <w:tr>
        <w:trPr/>
        <w:tc>
          <w:tcPr>
            <w:tcW w:w="4594"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Occurrence ~ Diet_discrete + Seasonality</w:t>
            </w:r>
          </w:p>
        </w:tc>
        <w:tc>
          <w:tcPr>
            <w:tcW w:w="1362" w:type="dxa"/>
            <w:tcBorders>
              <w:bottom w:val="single" w:sz="6" w:space="0" w:color="000000"/>
            </w:tcBorders>
          </w:tcPr>
          <w:p>
            <w:pPr>
              <w:pStyle w:val="TableContents"/>
              <w:widowControl w:val="false"/>
              <w:spacing w:lineRule="auto" w:line="276"/>
              <w:rPr>
                <w:rFonts w:ascii="Times New Roman" w:hAnsi="Times New Roman" w:cs="Times New Roman"/>
                <w:b/>
                <w:b/>
                <w:bCs/>
                <w:color w:val="000000"/>
              </w:rPr>
            </w:pPr>
            <w:r>
              <w:rPr>
                <w:rFonts w:cs="Times New Roman" w:ascii="Times New Roman" w:hAnsi="Times New Roman"/>
                <w:b/>
                <w:bCs/>
                <w:color w:val="000000"/>
              </w:rPr>
              <w:t>0.008</w:t>
            </w:r>
          </w:p>
        </w:tc>
        <w:tc>
          <w:tcPr>
            <w:tcW w:w="1414"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0.14</w:t>
            </w:r>
          </w:p>
        </w:tc>
        <w:tc>
          <w:tcPr>
            <w:tcW w:w="1560"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w:t>
            </w:r>
          </w:p>
        </w:tc>
      </w:tr>
    </w:tbl>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b/>
          <w:b/>
          <w:bCs/>
          <w:color w:val="000000"/>
          <w:sz w:val="20"/>
          <w:szCs w:val="20"/>
        </w:rPr>
      </w:pPr>
      <w:r>
        <w:rPr>
          <w:rFonts w:cs="Times New Roman" w:ascii="Times New Roman" w:hAnsi="Times New Roman"/>
          <w:b/>
          <w:bCs/>
          <w:color w:val="000000"/>
          <w:sz w:val="20"/>
          <w:szCs w:val="20"/>
        </w:rPr>
      </w:r>
    </w:p>
    <w:p>
      <w:pPr>
        <w:pStyle w:val="Normal"/>
        <w:spacing w:lineRule="auto" w:line="276"/>
        <w:jc w:val="both"/>
        <w:rPr>
          <w:rFonts w:ascii="Times New Roman" w:hAnsi="Times New Roman" w:cs="Times New Roman"/>
          <w:color w:val="000000"/>
          <w:szCs w:val="20"/>
        </w:rPr>
      </w:pPr>
      <w:r>
        <w:rPr>
          <w:rFonts w:cs="Times New Roman" w:ascii="Times New Roman" w:hAnsi="Times New Roman"/>
          <w:color w:val="000000"/>
          <w:szCs w:val="20"/>
        </w:rPr>
      </w:r>
    </w:p>
    <w:p>
      <w:pPr>
        <w:pStyle w:val="Normal"/>
        <w:spacing w:lineRule="auto" w:line="276"/>
        <w:jc w:val="both"/>
        <w:rPr>
          <w:rFonts w:ascii="Times New Roman" w:hAnsi="Times New Roman" w:cs="Times New Roman"/>
          <w:color w:val="000000"/>
          <w:szCs w:val="20"/>
        </w:rPr>
      </w:pPr>
      <w:r>
        <w:rPr>
          <w:rFonts w:cs="Times New Roman" w:ascii="Times New Roman" w:hAnsi="Times New Roman"/>
          <w:color w:val="000000"/>
          <w:szCs w:val="20"/>
        </w:rPr>
      </w:r>
    </w:p>
    <w:p>
      <w:pPr>
        <w:pStyle w:val="Normal"/>
        <w:spacing w:lineRule="auto" w:line="276"/>
        <w:jc w:val="both"/>
        <w:rPr>
          <w:rFonts w:ascii="Times New Roman" w:hAnsi="Times New Roman" w:cs="Times New Roman"/>
          <w:color w:val="000000"/>
          <w:szCs w:val="20"/>
        </w:rPr>
      </w:pPr>
      <w:r>
        <w:rPr>
          <w:rFonts w:cs="Times New Roman" w:ascii="Times New Roman" w:hAnsi="Times New Roman"/>
          <w:b/>
          <w:bCs/>
          <w:color w:val="000000"/>
          <w:szCs w:val="20"/>
        </w:rPr>
        <w:t xml:space="preserve">Table S8: </w:t>
      </w:r>
      <w:r>
        <w:rPr>
          <w:rFonts w:cs="Times New Roman" w:ascii="Times New Roman" w:hAnsi="Times New Roman"/>
          <w:color w:val="000000"/>
          <w:szCs w:val="20"/>
        </w:rPr>
        <w:t>Generalised linear mixed-effects model results for seasonal preferences in species’ relative occurrence using discrete or continuous diet classifications as predictors. For each model, β estimates, standard errors (SE), z values, and p values are reported for all comparisons.</w:t>
      </w:r>
    </w:p>
    <w:p>
      <w:pPr>
        <w:pStyle w:val="Normal"/>
        <w:spacing w:lineRule="auto" w:line="276"/>
        <w:jc w:val="both"/>
        <w:rPr>
          <w:rFonts w:ascii="Times New Roman" w:hAnsi="Times New Roman" w:cs="Times New Roman"/>
        </w:rPr>
      </w:pPr>
      <w:r>
        <w:rPr>
          <w:rFonts w:cs="Times New Roman" w:ascii="Times New Roman" w:hAnsi="Times New Roman"/>
        </w:rPr>
      </w:r>
    </w:p>
    <w:tbl>
      <w:tblPr>
        <w:tblW w:w="5000" w:type="pct"/>
        <w:jc w:val="left"/>
        <w:tblInd w:w="0" w:type="dxa"/>
        <w:tblLayout w:type="fixed"/>
        <w:tblCellMar>
          <w:top w:w="0" w:type="dxa"/>
          <w:left w:w="0" w:type="dxa"/>
          <w:bottom w:w="0" w:type="dxa"/>
          <w:right w:w="0" w:type="dxa"/>
        </w:tblCellMar>
        <w:tblLook w:val="0000" w:noHBand="0" w:noVBand="0" w:firstColumn="0" w:lastRow="0" w:lastColumn="0" w:firstRow="0"/>
      </w:tblPr>
      <w:tblGrid>
        <w:gridCol w:w="1994"/>
        <w:gridCol w:w="2004"/>
        <w:gridCol w:w="1353"/>
        <w:gridCol w:w="1332"/>
        <w:gridCol w:w="1345"/>
        <w:gridCol w:w="1331"/>
      </w:tblGrid>
      <w:tr>
        <w:trPr/>
        <w:tc>
          <w:tcPr>
            <w:tcW w:w="1994"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Season comparison</w:t>
            </w:r>
          </w:p>
        </w:tc>
        <w:tc>
          <w:tcPr>
            <w:tcW w:w="2004"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Diet classification</w:t>
            </w:r>
          </w:p>
        </w:tc>
        <w:tc>
          <w:tcPr>
            <w:tcW w:w="1353"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Estimate</w:t>
            </w:r>
          </w:p>
        </w:tc>
        <w:tc>
          <w:tcPr>
            <w:tcW w:w="1332"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SE</w:t>
            </w:r>
          </w:p>
        </w:tc>
        <w:tc>
          <w:tcPr>
            <w:tcW w:w="1345"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Z value</w:t>
            </w:r>
          </w:p>
        </w:tc>
        <w:tc>
          <w:tcPr>
            <w:tcW w:w="1331" w:type="dxa"/>
            <w:tcBorders>
              <w:top w:val="single" w:sz="6" w:space="0" w:color="000000"/>
              <w:bottom w:val="single" w:sz="6" w:space="0" w:color="000000"/>
            </w:tcBorders>
          </w:tcPr>
          <w:p>
            <w:pPr>
              <w:pStyle w:val="TableContents"/>
              <w:widowControl w:val="false"/>
              <w:spacing w:lineRule="auto" w:line="276"/>
              <w:rPr>
                <w:rFonts w:ascii="Times New Roman" w:hAnsi="Times New Roman" w:cs="Times New Roman"/>
                <w:b/>
                <w:b/>
                <w:color w:val="000000"/>
              </w:rPr>
            </w:pPr>
            <w:r>
              <w:rPr>
                <w:rFonts w:cs="Times New Roman" w:ascii="Times New Roman" w:hAnsi="Times New Roman"/>
                <w:b/>
                <w:color w:val="000000"/>
              </w:rPr>
              <w:t>P value</w:t>
            </w:r>
          </w:p>
        </w:tc>
      </w:tr>
      <w:tr>
        <w:trPr/>
        <w:tc>
          <w:tcPr>
            <w:tcW w:w="19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Both” vs. “Dry”</w:t>
            </w:r>
          </w:p>
        </w:tc>
        <w:tc>
          <w:tcPr>
            <w:tcW w:w="200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Discrete</w:t>
            </w:r>
          </w:p>
        </w:tc>
        <w:tc>
          <w:tcPr>
            <w:tcW w:w="1353"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-0.24</w:t>
            </w:r>
          </w:p>
        </w:tc>
        <w:tc>
          <w:tcPr>
            <w:tcW w:w="1332"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0.38</w:t>
            </w:r>
          </w:p>
        </w:tc>
        <w:tc>
          <w:tcPr>
            <w:tcW w:w="134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-0.63</w:t>
            </w:r>
          </w:p>
        </w:tc>
        <w:tc>
          <w:tcPr>
            <w:tcW w:w="1331"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0.8</w:t>
            </w:r>
          </w:p>
        </w:tc>
      </w:tr>
      <w:tr>
        <w:trPr/>
        <w:tc>
          <w:tcPr>
            <w:tcW w:w="19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Both” vs. “Rainy”</w:t>
            </w:r>
          </w:p>
        </w:tc>
        <w:tc>
          <w:tcPr>
            <w:tcW w:w="200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Discrete</w:t>
            </w:r>
          </w:p>
        </w:tc>
        <w:tc>
          <w:tcPr>
            <w:tcW w:w="1353"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-0.53</w:t>
            </w:r>
          </w:p>
        </w:tc>
        <w:tc>
          <w:tcPr>
            <w:tcW w:w="1332"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0.35</w:t>
            </w:r>
          </w:p>
        </w:tc>
        <w:tc>
          <w:tcPr>
            <w:tcW w:w="134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-1.49</w:t>
            </w:r>
          </w:p>
        </w:tc>
        <w:tc>
          <w:tcPr>
            <w:tcW w:w="1331"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0.29</w:t>
            </w:r>
          </w:p>
        </w:tc>
      </w:tr>
      <w:tr>
        <w:trPr/>
        <w:tc>
          <w:tcPr>
            <w:tcW w:w="19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Dry” vs. “Rainy”</w:t>
            </w:r>
          </w:p>
        </w:tc>
        <w:tc>
          <w:tcPr>
            <w:tcW w:w="200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Discrete</w:t>
            </w:r>
          </w:p>
        </w:tc>
        <w:tc>
          <w:tcPr>
            <w:tcW w:w="1353"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-0.29</w:t>
            </w:r>
          </w:p>
        </w:tc>
        <w:tc>
          <w:tcPr>
            <w:tcW w:w="1332"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0.42</w:t>
            </w:r>
          </w:p>
        </w:tc>
        <w:tc>
          <w:tcPr>
            <w:tcW w:w="134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-0.69</w:t>
            </w:r>
          </w:p>
        </w:tc>
        <w:tc>
          <w:tcPr>
            <w:tcW w:w="1331"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0.77</w:t>
            </w:r>
          </w:p>
        </w:tc>
      </w:tr>
      <w:tr>
        <w:trPr/>
        <w:tc>
          <w:tcPr>
            <w:tcW w:w="19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Both” vs. “Dry”</w:t>
            </w:r>
          </w:p>
        </w:tc>
        <w:tc>
          <w:tcPr>
            <w:tcW w:w="200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Continuous</w:t>
            </w:r>
          </w:p>
        </w:tc>
        <w:tc>
          <w:tcPr>
            <w:tcW w:w="1353"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-0.03</w:t>
            </w:r>
          </w:p>
        </w:tc>
        <w:tc>
          <w:tcPr>
            <w:tcW w:w="1332"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0.35</w:t>
            </w:r>
          </w:p>
        </w:tc>
        <w:tc>
          <w:tcPr>
            <w:tcW w:w="134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-0.07</w:t>
            </w:r>
          </w:p>
        </w:tc>
        <w:tc>
          <w:tcPr>
            <w:tcW w:w="1331"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w:t>
            </w:r>
          </w:p>
        </w:tc>
      </w:tr>
      <w:tr>
        <w:trPr/>
        <w:tc>
          <w:tcPr>
            <w:tcW w:w="199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Both” vs. “Rainy”</w:t>
            </w:r>
          </w:p>
        </w:tc>
        <w:tc>
          <w:tcPr>
            <w:tcW w:w="2004"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Continuous</w:t>
            </w:r>
          </w:p>
        </w:tc>
        <w:tc>
          <w:tcPr>
            <w:tcW w:w="1353"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-0.56</w:t>
            </w:r>
          </w:p>
        </w:tc>
        <w:tc>
          <w:tcPr>
            <w:tcW w:w="1332"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0.32</w:t>
            </w:r>
          </w:p>
        </w:tc>
        <w:tc>
          <w:tcPr>
            <w:tcW w:w="1345"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-1.77</w:t>
            </w:r>
          </w:p>
        </w:tc>
        <w:tc>
          <w:tcPr>
            <w:tcW w:w="1331" w:type="dxa"/>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0.18</w:t>
            </w:r>
          </w:p>
        </w:tc>
      </w:tr>
      <w:tr>
        <w:trPr/>
        <w:tc>
          <w:tcPr>
            <w:tcW w:w="1994"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w:t>
            </w:r>
            <w:r>
              <w:rPr>
                <w:rFonts w:cs="Times New Roman" w:ascii="Times New Roman" w:hAnsi="Times New Roman"/>
                <w:color w:val="000000"/>
              </w:rPr>
              <w:t>Dry” vs. “Rainy”</w:t>
            </w:r>
          </w:p>
        </w:tc>
        <w:tc>
          <w:tcPr>
            <w:tcW w:w="2004"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Continuous</w:t>
            </w:r>
          </w:p>
        </w:tc>
        <w:tc>
          <w:tcPr>
            <w:tcW w:w="1353"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-0.54</w:t>
            </w:r>
          </w:p>
        </w:tc>
        <w:tc>
          <w:tcPr>
            <w:tcW w:w="1332"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0.41</w:t>
            </w:r>
          </w:p>
        </w:tc>
        <w:tc>
          <w:tcPr>
            <w:tcW w:w="1345"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-1.32</w:t>
            </w:r>
          </w:p>
        </w:tc>
        <w:tc>
          <w:tcPr>
            <w:tcW w:w="1331" w:type="dxa"/>
            <w:tcBorders>
              <w:bottom w:val="single" w:sz="6" w:space="0" w:color="000000"/>
            </w:tcBorders>
          </w:tcPr>
          <w:p>
            <w:pPr>
              <w:pStyle w:val="TableContents"/>
              <w:widowControl w:val="false"/>
              <w:spacing w:lineRule="auto" w:line="276"/>
              <w:rPr>
                <w:rFonts w:ascii="Times New Roman" w:hAnsi="Times New Roman" w:cs="Times New Roman"/>
                <w:color w:val="000000"/>
              </w:rPr>
            </w:pPr>
            <w:r>
              <w:rPr>
                <w:rFonts w:cs="Times New Roman" w:ascii="Times New Roman" w:hAnsi="Times New Roman"/>
                <w:color w:val="000000"/>
              </w:rPr>
              <w:t>0.38</w:t>
            </w:r>
          </w:p>
        </w:tc>
      </w:tr>
    </w:tbl>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rPr>
      </w:pPr>
      <w:r>
        <w:rPr>
          <w:rFonts w:cs="Times New Roman" w:ascii="Times New Roman" w:hAnsi="Times New Roman"/>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p>
    <w:p>
      <w:pPr>
        <w:pStyle w:val="Normal"/>
        <w:spacing w:lineRule="auto" w:line="276"/>
        <w:jc w:val="both"/>
        <w:rPr>
          <w:rFonts w:ascii="Times New Roman" w:hAnsi="Times New Roman" w:cs="Times New Roman"/>
          <w:szCs w:val="20"/>
        </w:rPr>
      </w:pPr>
      <w:r>
        <w:rPr>
          <w:rFonts w:cs="Times New Roman" w:ascii="Times New Roman" w:hAnsi="Times New Roman"/>
          <w:szCs w:val="20"/>
        </w:rPr>
      </w:r>
      <w:r>
        <w:br w:type="page"/>
      </w:r>
    </w:p>
    <w:p>
      <w:pPr>
        <w:pStyle w:val="Normal"/>
        <w:spacing w:lineRule="auto" w:line="276"/>
        <w:jc w:val="both"/>
        <w:rPr>
          <w:rFonts w:ascii="Times New Roman" w:hAnsi="Times New Roman" w:cs="Times New Roman"/>
          <w:b/>
          <w:b/>
          <w:bCs/>
        </w:rPr>
      </w:pPr>
      <w:r>
        <w:drawing>
          <wp:anchor behindDoc="0" distT="0" distB="0" distL="0" distR="0" simplePos="0" locked="0" layoutInCell="0" allowOverlap="1" relativeHeight="3">
            <wp:simplePos x="0" y="0"/>
            <wp:positionH relativeFrom="column">
              <wp:posOffset>-100965</wp:posOffset>
            </wp:positionH>
            <wp:positionV relativeFrom="paragraph">
              <wp:posOffset>287020</wp:posOffset>
            </wp:positionV>
            <wp:extent cx="6043930" cy="5252085"/>
            <wp:effectExtent l="0" t="0" r="0" b="0"/>
            <wp:wrapTopAndBottom/>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3"/>
                    <a:srcRect l="2811" t="2858" r="1762" b="1649"/>
                    <a:stretch>
                      <a:fillRect/>
                    </a:stretch>
                  </pic:blipFill>
                  <pic:spPr bwMode="auto">
                    <a:xfrm>
                      <a:off x="0" y="0"/>
                      <a:ext cx="6043930" cy="5252085"/>
                    </a:xfrm>
                    <a:prstGeom prst="rect">
                      <a:avLst/>
                    </a:prstGeom>
                  </pic:spPr>
                </pic:pic>
              </a:graphicData>
            </a:graphic>
          </wp:anchor>
        </w:drawing>
      </w:r>
      <w:r>
        <w:rPr>
          <w:rFonts w:cs="Times New Roman" w:ascii="Times New Roman" w:hAnsi="Times New Roman"/>
          <w:b/>
          <w:bCs/>
        </w:rPr>
        <w:t>Figures</w:t>
      </w:r>
    </w:p>
    <w:p>
      <w:pPr>
        <w:pStyle w:val="Normal"/>
        <w:spacing w:lineRule="auto" w:line="276"/>
        <w:jc w:val="both"/>
        <w:rPr>
          <w:rFonts w:ascii="Times New Roman" w:hAnsi="Times New Roman" w:cs="Times New Roman"/>
          <w:b/>
          <w:b/>
          <w:bCs/>
          <w:sz w:val="20"/>
          <w:szCs w:val="20"/>
        </w:rPr>
      </w:pPr>
      <w:r>
        <w:rPr>
          <w:rFonts w:cs="Times New Roman" w:ascii="Times New Roman" w:hAnsi="Times New Roman"/>
          <w:b/>
          <w:bCs/>
          <w:sz w:val="20"/>
          <w:szCs w:val="20"/>
        </w:rPr>
      </w:r>
    </w:p>
    <w:p>
      <w:pPr>
        <w:sectPr>
          <w:footerReference w:type="default" r:id="rId4"/>
          <w:type w:val="nextPage"/>
          <w:pgSz w:w="12240" w:h="15840"/>
          <w:pgMar w:left="1440" w:right="1440" w:gutter="0" w:header="0" w:top="1440" w:footer="0" w:bottom="1440"/>
          <w:pgNumType w:fmt="decimal"/>
          <w:formProt w:val="false"/>
          <w:textDirection w:val="lrTb"/>
          <w:docGrid w:type="default" w:linePitch="326" w:charSpace="0"/>
        </w:sectPr>
        <w:pStyle w:val="Normal"/>
        <w:spacing w:lineRule="auto" w:line="276"/>
        <w:jc w:val="both"/>
        <w:rPr>
          <w:rFonts w:ascii="Times New Roman" w:hAnsi="Times New Roman" w:cs="Times New Roman"/>
          <w:szCs w:val="20"/>
        </w:rPr>
      </w:pPr>
      <w:r>
        <w:rPr>
          <w:rFonts w:cs="Times New Roman" w:ascii="Times New Roman" w:hAnsi="Times New Roman"/>
          <w:b/>
          <w:bCs/>
          <w:szCs w:val="20"/>
        </w:rPr>
        <w:t xml:space="preserve">Figure S1: </w:t>
      </w:r>
      <w:r>
        <w:rPr>
          <w:rFonts w:cs="Times New Roman" w:ascii="Times New Roman" w:hAnsi="Times New Roman"/>
          <w:szCs w:val="20"/>
        </w:rPr>
        <w:t xml:space="preserve">Rarefied species richness and species accumulation curves for </w:t>
      </w:r>
      <w:r>
        <w:rPr>
          <w:rFonts w:cs="Times New Roman" w:ascii="Times New Roman" w:hAnsi="Times New Roman"/>
          <w:i/>
          <w:iCs/>
          <w:szCs w:val="20"/>
        </w:rPr>
        <w:t>Centris</w:t>
      </w:r>
      <w:r>
        <w:rPr>
          <w:rFonts w:cs="Times New Roman" w:ascii="Times New Roman" w:hAnsi="Times New Roman"/>
          <w:szCs w:val="20"/>
        </w:rPr>
        <w:t xml:space="preserve"> and </w:t>
      </w:r>
      <w:r>
        <w:rPr>
          <w:rFonts w:cs="Times New Roman" w:ascii="Times New Roman" w:hAnsi="Times New Roman"/>
          <w:i/>
          <w:iCs/>
          <w:szCs w:val="20"/>
        </w:rPr>
        <w:t>Epicharis</w:t>
      </w:r>
      <w:r>
        <w:rPr>
          <w:rFonts w:cs="Times New Roman" w:ascii="Times New Roman" w:hAnsi="Times New Roman"/>
          <w:szCs w:val="20"/>
        </w:rPr>
        <w:t xml:space="preserve"> in the Federal District based on decadal </w:t>
      </w:r>
      <w:r>
        <w:rPr>
          <w:rFonts w:cs="Times New Roman" w:ascii="Times New Roman" w:hAnsi="Times New Roman"/>
          <w:b/>
          <w:szCs w:val="20"/>
        </w:rPr>
        <w:t>(a–b)</w:t>
      </w:r>
      <w:r>
        <w:rPr>
          <w:rFonts w:cs="Times New Roman" w:ascii="Times New Roman" w:hAnsi="Times New Roman"/>
          <w:szCs w:val="20"/>
        </w:rPr>
        <w:t xml:space="preserve"> and five-year </w:t>
      </w:r>
      <w:r>
        <w:rPr>
          <w:rFonts w:cs="Times New Roman" w:ascii="Times New Roman" w:hAnsi="Times New Roman"/>
          <w:b/>
          <w:szCs w:val="20"/>
        </w:rPr>
        <w:t>(c–d)</w:t>
      </w:r>
      <w:r>
        <w:rPr>
          <w:rFonts w:cs="Times New Roman" w:ascii="Times New Roman" w:hAnsi="Times New Roman"/>
          <w:szCs w:val="20"/>
        </w:rPr>
        <w:t xml:space="preserve"> time bins. Black bars represent standard errors around mean rarefied species richness estimates. Species accumulation curves were generated using random subsampling of time points (100 permutations), with vertical bars indicating standard errors of the mean number of sampled species.</w:t>
      </w:r>
    </w:p>
    <w:p>
      <w:pPr>
        <w:pStyle w:val="Normal"/>
        <w:spacing w:lineRule="auto" w:line="276"/>
        <w:jc w:val="both"/>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2">
            <wp:simplePos x="0" y="0"/>
            <wp:positionH relativeFrom="column">
              <wp:posOffset>-36830</wp:posOffset>
            </wp:positionH>
            <wp:positionV relativeFrom="paragraph">
              <wp:posOffset>90805</wp:posOffset>
            </wp:positionV>
            <wp:extent cx="8733790" cy="5204460"/>
            <wp:effectExtent l="0" t="0" r="0" b="0"/>
            <wp:wrapTopAndBottom/>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5"/>
                    <a:srcRect l="3258" t="4799" r="4440" b="7606"/>
                    <a:stretch>
                      <a:fillRect/>
                    </a:stretch>
                  </pic:blipFill>
                  <pic:spPr bwMode="auto">
                    <a:xfrm>
                      <a:off x="0" y="0"/>
                      <a:ext cx="8733790" cy="5204460"/>
                    </a:xfrm>
                    <a:prstGeom prst="rect">
                      <a:avLst/>
                    </a:prstGeom>
                  </pic:spPr>
                </pic:pic>
              </a:graphicData>
            </a:graphic>
          </wp:anchor>
        </w:drawing>
      </w:r>
    </w:p>
    <w:p>
      <w:pPr>
        <w:sectPr>
          <w:footerReference w:type="default" r:id="rId6"/>
          <w:type w:val="nextPage"/>
          <w:pgSz w:orient="landscape" w:w="15840" w:h="12240"/>
          <w:pgMar w:left="1134" w:right="1134" w:gutter="0" w:header="0" w:top="1134" w:footer="0" w:bottom="1134"/>
          <w:pgNumType w:fmt="decimal"/>
          <w:formProt w:val="false"/>
          <w:textDirection w:val="lrTb"/>
          <w:docGrid w:type="default" w:linePitch="100" w:charSpace="0"/>
        </w:sectPr>
        <w:pStyle w:val="Normal"/>
        <w:spacing w:lineRule="auto" w:line="276"/>
        <w:jc w:val="both"/>
        <w:rPr>
          <w:rFonts w:ascii="Times New Roman" w:hAnsi="Times New Roman" w:cs="Times New Roman"/>
          <w:sz w:val="32"/>
        </w:rPr>
      </w:pPr>
      <w:r>
        <w:rPr>
          <w:rFonts w:cs="Times New Roman" w:ascii="Times New Roman" w:hAnsi="Times New Roman"/>
          <w:b/>
          <w:bCs/>
          <w:color w:val="000000"/>
          <w:szCs w:val="20"/>
        </w:rPr>
        <w:t>Figure S2:</w:t>
      </w:r>
      <w:r>
        <w:rPr>
          <w:rFonts w:cs="Times New Roman" w:ascii="Times New Roman" w:hAnsi="Times New Roman"/>
          <w:color w:val="000000"/>
          <w:szCs w:val="20"/>
        </w:rPr>
        <w:t xml:space="preserve"> Species’ relative occurrence across time and seasons. For each species, relative occurrence, defined as the proportion of collection events in which the species was recorded, is shown across decades (x-axis). Records from the dry season are shown in red and those from the rainy season in blue. The total number of presence records for each species is indicated in the upper left corner of each panel.</w:t>
      </w:r>
    </w:p>
    <w:p>
      <w:pPr>
        <w:pStyle w:val="Normal"/>
        <w:spacing w:lineRule="auto" w:line="276"/>
        <w:jc w:val="both"/>
        <w:rPr>
          <w:rFonts w:ascii="Times New Roman" w:hAnsi="Times New Roman" w:cs="Times New Roman"/>
          <w:sz w:val="32"/>
        </w:rPr>
      </w:pPr>
      <w:r>
        <w:drawing>
          <wp:anchor behindDoc="0" distT="0" distB="0" distL="0" distR="0" simplePos="0" locked="0" layoutInCell="0" allowOverlap="1" relativeHeight="5">
            <wp:simplePos x="0" y="0"/>
            <wp:positionH relativeFrom="column">
              <wp:posOffset>13335</wp:posOffset>
            </wp:positionH>
            <wp:positionV relativeFrom="paragraph">
              <wp:posOffset>55880</wp:posOffset>
            </wp:positionV>
            <wp:extent cx="6390005" cy="6312535"/>
            <wp:effectExtent l="0" t="0" r="0" b="0"/>
            <wp:wrapTopAndBottom/>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7"/>
                    <a:srcRect l="5610" t="3176" r="6143" b="5193"/>
                    <a:stretch>
                      <a:fillRect/>
                    </a:stretch>
                  </pic:blipFill>
                  <pic:spPr bwMode="auto">
                    <a:xfrm>
                      <a:off x="0" y="0"/>
                      <a:ext cx="6390005" cy="6312535"/>
                    </a:xfrm>
                    <a:prstGeom prst="rect">
                      <a:avLst/>
                    </a:prstGeom>
                  </pic:spPr>
                </pic:pic>
              </a:graphicData>
            </a:graphic>
          </wp:anchor>
        </w:drawing>
      </w:r>
      <w:r>
        <w:rPr>
          <w:rFonts w:cs="Times New Roman" w:ascii="Times New Roman" w:hAnsi="Times New Roman"/>
          <w:b/>
          <w:bCs/>
          <w:color w:val="000000"/>
          <w:szCs w:val="20"/>
        </w:rPr>
        <w:t xml:space="preserve">Figure S3: </w:t>
      </w:r>
      <w:r>
        <w:rPr>
          <w:rFonts w:cs="Times New Roman" w:ascii="Times New Roman" w:hAnsi="Times New Roman"/>
          <w:color w:val="000000"/>
          <w:szCs w:val="20"/>
        </w:rPr>
        <w:t xml:space="preserve">Monthly distribution of collection events for </w:t>
      </w:r>
      <w:r>
        <w:rPr>
          <w:rFonts w:cs="Times New Roman" w:ascii="Times New Roman" w:hAnsi="Times New Roman"/>
          <w:i/>
          <w:iCs/>
          <w:color w:val="000000"/>
          <w:szCs w:val="20"/>
        </w:rPr>
        <w:t>Centris</w:t>
      </w:r>
      <w:r>
        <w:rPr>
          <w:rFonts w:cs="Times New Roman" w:ascii="Times New Roman" w:hAnsi="Times New Roman"/>
          <w:color w:val="000000"/>
          <w:szCs w:val="20"/>
        </w:rPr>
        <w:t xml:space="preserve"> and </w:t>
      </w:r>
      <w:r>
        <w:rPr>
          <w:rFonts w:cs="Times New Roman" w:ascii="Times New Roman" w:hAnsi="Times New Roman"/>
          <w:i/>
          <w:iCs/>
          <w:color w:val="000000"/>
          <w:szCs w:val="20"/>
        </w:rPr>
        <w:t>Epicharis</w:t>
      </w:r>
      <w:r>
        <w:rPr>
          <w:rFonts w:cs="Times New Roman" w:ascii="Times New Roman" w:hAnsi="Times New Roman"/>
          <w:color w:val="000000"/>
          <w:szCs w:val="20"/>
        </w:rPr>
        <w:t xml:space="preserve">. </w:t>
      </w:r>
      <w:r>
        <w:rPr>
          <w:rFonts w:cs="Times New Roman" w:ascii="Times New Roman" w:hAnsi="Times New Roman"/>
          <w:b/>
          <w:color w:val="000000"/>
          <w:szCs w:val="20"/>
        </w:rPr>
        <w:t xml:space="preserve">(a) </w:t>
      </w:r>
      <w:r>
        <w:rPr>
          <w:rFonts w:cs="Times New Roman" w:ascii="Times New Roman" w:hAnsi="Times New Roman"/>
          <w:color w:val="000000"/>
          <w:szCs w:val="20"/>
        </w:rPr>
        <w:t xml:space="preserve">Total number of collection events (presence records) per month, summed across all years. </w:t>
      </w:r>
      <w:r>
        <w:rPr>
          <w:rFonts w:cs="Times New Roman" w:ascii="Times New Roman" w:hAnsi="Times New Roman"/>
          <w:b/>
          <w:color w:val="000000"/>
          <w:szCs w:val="20"/>
        </w:rPr>
        <w:t>(b)</w:t>
      </w:r>
      <w:r>
        <w:rPr>
          <w:rFonts w:cs="Times New Roman" w:ascii="Times New Roman" w:hAnsi="Times New Roman"/>
          <w:color w:val="000000"/>
          <w:szCs w:val="20"/>
        </w:rPr>
        <w:t xml:space="preserve"> Relative number of monthly collection events, shown separately for </w:t>
      </w:r>
      <w:r>
        <w:rPr>
          <w:rFonts w:cs="Times New Roman" w:ascii="Times New Roman" w:hAnsi="Times New Roman"/>
          <w:i/>
          <w:iCs/>
          <w:color w:val="000000"/>
          <w:szCs w:val="20"/>
        </w:rPr>
        <w:t>Centris</w:t>
      </w:r>
      <w:r>
        <w:rPr>
          <w:rFonts w:cs="Times New Roman" w:ascii="Times New Roman" w:hAnsi="Times New Roman"/>
          <w:color w:val="000000"/>
          <w:szCs w:val="20"/>
        </w:rPr>
        <w:t xml:space="preserve"> and </w:t>
      </w:r>
      <w:r>
        <w:rPr>
          <w:rFonts w:cs="Times New Roman" w:ascii="Times New Roman" w:hAnsi="Times New Roman"/>
          <w:i/>
          <w:iCs/>
          <w:color w:val="000000"/>
          <w:szCs w:val="20"/>
        </w:rPr>
        <w:t>Epicharis</w:t>
      </w:r>
      <w:r>
        <w:rPr>
          <w:rFonts w:cs="Times New Roman" w:ascii="Times New Roman" w:hAnsi="Times New Roman"/>
          <w:color w:val="000000"/>
          <w:szCs w:val="20"/>
        </w:rPr>
        <w:t>. Months belonging to the rainy season are shown in blue and months of the dry season in red.</w:t>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r>
    </w:p>
    <w:p>
      <w:pPr>
        <w:pStyle w:val="Normal"/>
        <w:spacing w:lineRule="auto" w:line="276"/>
        <w:jc w:val="both"/>
        <w:rPr>
          <w:rFonts w:ascii="Times New Roman" w:hAnsi="Times New Roman" w:cs="Times New Roman"/>
          <w:sz w:val="32"/>
        </w:rPr>
      </w:pPr>
      <w:r>
        <w:rPr>
          <w:rFonts w:cs="Times New Roman" w:ascii="Times New Roman" w:hAnsi="Times New Roman"/>
          <w:sz w:val="32"/>
        </w:rPr>
        <w:drawing>
          <wp:anchor behindDoc="0" distT="0" distB="0" distL="0" distR="0" simplePos="0" locked="0" layoutInCell="0" allowOverlap="1" relativeHeight="4">
            <wp:simplePos x="0" y="0"/>
            <wp:positionH relativeFrom="column">
              <wp:posOffset>-29210</wp:posOffset>
            </wp:positionH>
            <wp:positionV relativeFrom="paragraph">
              <wp:posOffset>257810</wp:posOffset>
            </wp:positionV>
            <wp:extent cx="6447155" cy="6740525"/>
            <wp:effectExtent l="0" t="0" r="0" b="0"/>
            <wp:wrapTopAndBottom/>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8"/>
                    <a:srcRect l="4090" t="3954" r="17207" b="5279"/>
                    <a:stretch>
                      <a:fillRect/>
                    </a:stretch>
                  </pic:blipFill>
                  <pic:spPr bwMode="auto">
                    <a:xfrm>
                      <a:off x="0" y="0"/>
                      <a:ext cx="6447155" cy="6740525"/>
                    </a:xfrm>
                    <a:prstGeom prst="rect">
                      <a:avLst/>
                    </a:prstGeom>
                  </pic:spPr>
                </pic:pic>
              </a:graphicData>
            </a:graphic>
          </wp:anchor>
        </w:drawing>
      </w:r>
    </w:p>
    <w:p>
      <w:pPr>
        <w:pStyle w:val="Normal"/>
        <w:spacing w:lineRule="auto" w:line="276"/>
        <w:jc w:val="both"/>
        <w:rPr>
          <w:rFonts w:ascii="Times New Roman" w:hAnsi="Times New Roman" w:cs="Times New Roman"/>
          <w:sz w:val="32"/>
        </w:rPr>
      </w:pPr>
      <w:r>
        <w:rPr>
          <w:rFonts w:cs="Times New Roman" w:ascii="Times New Roman" w:hAnsi="Times New Roman"/>
          <w:b/>
          <w:bCs/>
          <w:color w:val="000000"/>
          <w:szCs w:val="20"/>
        </w:rPr>
        <w:t xml:space="preserve">Figure S4: </w:t>
      </w:r>
      <w:r>
        <w:rPr>
          <w:rFonts w:cs="Times New Roman" w:ascii="Times New Roman" w:hAnsi="Times New Roman"/>
          <w:color w:val="000000"/>
          <w:szCs w:val="20"/>
        </w:rPr>
        <w:t xml:space="preserve">Non-metric multidimensional scaling (NMDS) ordinations of species assemblages based on </w:t>
      </w:r>
      <w:r>
        <w:rPr>
          <w:rFonts w:cs="Times New Roman" w:ascii="Times New Roman" w:hAnsi="Times New Roman"/>
          <w:b/>
          <w:color w:val="000000"/>
          <w:szCs w:val="20"/>
        </w:rPr>
        <w:t>(a)</w:t>
      </w:r>
      <w:r>
        <w:rPr>
          <w:rFonts w:cs="Times New Roman" w:ascii="Times New Roman" w:hAnsi="Times New Roman"/>
          <w:color w:val="000000"/>
          <w:szCs w:val="20"/>
        </w:rPr>
        <w:t xml:space="preserve"> decadal and </w:t>
      </w:r>
      <w:r>
        <w:rPr>
          <w:rFonts w:cs="Times New Roman" w:ascii="Times New Roman" w:hAnsi="Times New Roman"/>
          <w:b/>
          <w:color w:val="000000"/>
          <w:szCs w:val="20"/>
        </w:rPr>
        <w:t>(b)</w:t>
      </w:r>
      <w:r>
        <w:rPr>
          <w:rFonts w:cs="Times New Roman" w:ascii="Times New Roman" w:hAnsi="Times New Roman"/>
          <w:color w:val="000000"/>
          <w:szCs w:val="20"/>
        </w:rPr>
        <w:t xml:space="preserve"> five-year time bins. Each point represents the species assemblage for a given season within a given time bin. Ellipses depict the dispersion of assemblages. Red points and ellipses correspond to the dry season, and blue points and ellipses correspond to the rainy season.</w:t>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jc w:val="both"/>
        <w:rPr>
          <w:rFonts w:ascii="Times New Roman" w:hAnsi="Times New Roman" w:cs="Times New Roman"/>
        </w:rPr>
      </w:pPr>
      <w:r>
        <w:rPr>
          <w:rFonts w:cs="Times New Roman" w:ascii="Times New Roman" w:hAnsi="Times New Roman"/>
          <w:b/>
          <w:bCs/>
          <w:color w:val="000000"/>
        </w:rPr>
        <w:t>Literature references from the diet classification</w:t>
      </w:r>
    </w:p>
    <w:p>
      <w:pPr>
        <w:pStyle w:val="Normal"/>
        <w:spacing w:lineRule="auto" w:line="276"/>
        <w:jc w:val="both"/>
        <w:rPr>
          <w:rFonts w:ascii="Times New Roman" w:hAnsi="Times New Roman" w:cs="Times New Roman"/>
          <w:b/>
          <w:b/>
          <w:bCs/>
          <w:color w:val="000000"/>
        </w:rPr>
      </w:pPr>
      <w:r>
        <w:rPr>
          <w:rFonts w:cs="Times New Roman" w:ascii="Times New Roman" w:hAnsi="Times New Roman"/>
          <w:b/>
          <w:bCs/>
          <w:color w:val="000000"/>
        </w:rPr>
      </w:r>
    </w:p>
    <w:p>
      <w:pPr>
        <w:pStyle w:val="Normal"/>
        <w:spacing w:lineRule="auto" w:line="276"/>
        <w:jc w:val="both"/>
        <w:rPr>
          <w:rFonts w:ascii="Times New Roman" w:hAnsi="Times New Roman" w:cs="Times New Roman"/>
          <w:b/>
          <w:b/>
          <w:bCs/>
          <w:color w:val="000000"/>
        </w:rPr>
      </w:pPr>
      <w:r>
        <w:rPr>
          <w:rFonts w:cs="Times New Roman" w:ascii="Times New Roman" w:hAnsi="Times New Roman"/>
          <w:b/>
          <w:bCs/>
          <w:color w:val="000000"/>
        </w:rPr>
        <w:t>Most of the oil-host records were taken from the supplementary materials of Giannini et al., 2013 (10.1016/j.ecolmodel.2013.02.032) and additions were made using:</w:t>
      </w:r>
    </w:p>
    <w:p>
      <w:pPr>
        <w:pStyle w:val="Normal"/>
        <w:spacing w:lineRule="auto" w:line="276" w:before="240" w:after="0"/>
        <w:rPr>
          <w:rFonts w:ascii="Times New Roman" w:hAnsi="Times New Roman" w:cs="Times New Roman"/>
        </w:rPr>
      </w:pPr>
      <w:r>
        <w:rPr>
          <w:rFonts w:cs="Times New Roman" w:ascii="Times New Roman" w:hAnsi="Times New Roman"/>
        </w:rPr>
        <w:t xml:space="preserve">Aguiar, C.M.L., 2003. Flower visits of </w:t>
      </w:r>
      <w:r>
        <w:rPr>
          <w:rFonts w:cs="Times New Roman" w:ascii="Times New Roman" w:hAnsi="Times New Roman"/>
          <w:i/>
          <w:iCs/>
        </w:rPr>
        <w:t>Centris</w:t>
      </w:r>
      <w:r>
        <w:rPr>
          <w:rFonts w:cs="Times New Roman" w:ascii="Times New Roman" w:hAnsi="Times New Roman"/>
        </w:rPr>
        <w:t xml:space="preserve"> bees (Hymenoptera: Apidae) in an area of Caatinga (Bahia, Brazil). Studies on Neotropical Fauna and Environment 38, 41-45.</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Aguiar, C.M.L., Zanella, F.C.V., Martins, C.F., Carvalho, C.A.L., 2003. </w:t>
      </w:r>
      <w:r>
        <w:rPr>
          <w:rFonts w:cs="Times New Roman" w:ascii="Times New Roman" w:hAnsi="Times New Roman"/>
          <w:lang w:val="pt-PT"/>
        </w:rPr>
        <w:t xml:space="preserve">Plantas visitadas por </w:t>
      </w:r>
      <w:r>
        <w:rPr>
          <w:rFonts w:cs="Times New Roman" w:ascii="Times New Roman" w:hAnsi="Times New Roman"/>
          <w:i/>
          <w:iCs/>
          <w:lang w:val="pt-PT"/>
        </w:rPr>
        <w:t xml:space="preserve">Centris </w:t>
      </w:r>
      <w:r>
        <w:rPr>
          <w:rFonts w:cs="Times New Roman" w:ascii="Times New Roman" w:hAnsi="Times New Roman"/>
          <w:lang w:val="pt-PT"/>
        </w:rPr>
        <w:t>spp. (Hymenoptera: Apidae) na Caatinga para obtenção de recursos florais. Neotropical Entomology 32, 247–</w:t>
      </w:r>
      <w:r>
        <w:rPr>
          <w:rFonts w:cs="Times New Roman" w:ascii="Times New Roman" w:hAnsi="Times New Roman"/>
          <w:lang w:val="pt-BR"/>
        </w:rPr>
        <w:t>259.</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 xml:space="preserve">Aguiar, A.J.C., Melo, G.A.R., 2009. </w:t>
      </w:r>
      <w:r>
        <w:rPr>
          <w:rFonts w:cs="Times New Roman" w:ascii="Times New Roman" w:hAnsi="Times New Roman"/>
        </w:rPr>
        <w:t xml:space="preserve">Notes on oil sources for the bee genus </w:t>
      </w:r>
      <w:r>
        <w:rPr>
          <w:rFonts w:cs="Times New Roman" w:ascii="Times New Roman" w:hAnsi="Times New Roman"/>
          <w:i/>
          <w:iCs/>
        </w:rPr>
        <w:t>Caenonomada</w:t>
      </w:r>
      <w:r>
        <w:rPr>
          <w:rFonts w:cs="Times New Roman" w:ascii="Times New Roman" w:hAnsi="Times New Roman"/>
        </w:rPr>
        <w:t xml:space="preserve"> (Hymenoptera, Apidae, Tapinotaspidini). </w:t>
      </w:r>
      <w:r>
        <w:rPr>
          <w:rFonts w:cs="Times New Roman" w:ascii="Times New Roman" w:hAnsi="Times New Roman"/>
          <w:lang w:val="pt-PT"/>
        </w:rPr>
        <w:t>Revista Brasileira Entomologia</w:t>
      </w:r>
      <w:r>
        <w:rPr>
          <w:rFonts w:cs="Times New Roman" w:ascii="Times New Roman" w:hAnsi="Times New Roman"/>
          <w:b/>
          <w:bCs/>
          <w:lang w:val="pt-BR"/>
        </w:rPr>
        <w:t xml:space="preserve"> </w:t>
      </w:r>
      <w:r>
        <w:rPr>
          <w:rFonts w:cs="Times New Roman" w:ascii="Times New Roman" w:hAnsi="Times New Roman"/>
          <w:lang w:val="pt-BR"/>
        </w:rPr>
        <w:t>53, 154-156.</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Albuquerque, P.M.C., Rêgo, M.M.C., 1989. Fenologia das abelhas visitantes do mirici (</w:t>
      </w:r>
      <w:r>
        <w:rPr>
          <w:rFonts w:cs="Times New Roman" w:ascii="Times New Roman" w:hAnsi="Times New Roman"/>
          <w:i/>
          <w:iCs/>
          <w:lang w:val="it-IT"/>
        </w:rPr>
        <w:t>Byrsonima crassifolia</w:t>
      </w:r>
      <w:r>
        <w:rPr>
          <w:rFonts w:cs="Times New Roman" w:ascii="Times New Roman" w:hAnsi="Times New Roman"/>
          <w:lang w:val="pt-PT"/>
        </w:rPr>
        <w:t>, Malpighiaceae). Boletim do Museu Paraense Emí</w:t>
      </w:r>
      <w:r>
        <w:rPr>
          <w:rFonts w:cs="Times New Roman" w:ascii="Times New Roman" w:hAnsi="Times New Roman"/>
          <w:lang w:val="nl-NL"/>
        </w:rPr>
        <w:t>lio Goeldi 5, 153-17.</w:t>
      </w:r>
    </w:p>
    <w:p>
      <w:pPr>
        <w:pStyle w:val="Bibliography1"/>
        <w:spacing w:lineRule="auto" w:line="276" w:before="240" w:after="0"/>
        <w:rPr>
          <w:rFonts w:ascii="Times New Roman" w:hAnsi="Times New Roman" w:cs="Times New Roman"/>
        </w:rPr>
      </w:pPr>
      <w:r>
        <w:rPr>
          <w:rFonts w:cs="Times New Roman" w:ascii="Times New Roman" w:hAnsi="Times New Roman"/>
          <w:lang w:val="pt-BR"/>
        </w:rPr>
        <w:t xml:space="preserve">Albuquerque, P.M.C., Mendonça, A.J.C. 1996. Anthophoridae (Hymenoptera; Apoidea) e flora associada em uma formação de cerrado no município de Barreirinhas, MA, Brasil. </w:t>
      </w:r>
      <w:r>
        <w:rPr>
          <w:rFonts w:cs="Times New Roman" w:ascii="Times New Roman" w:hAnsi="Times New Roman"/>
        </w:rPr>
        <w:t>Acta Amazonica 26, 45-54.</w:t>
      </w:r>
    </w:p>
    <w:p>
      <w:pPr>
        <w:pStyle w:val="Bibliography1"/>
        <w:spacing w:lineRule="auto" w:line="276" w:before="240" w:after="0"/>
        <w:rPr>
          <w:rFonts w:ascii="Times New Roman" w:hAnsi="Times New Roman" w:cs="Times New Roman"/>
        </w:rPr>
      </w:pPr>
      <w:r>
        <w:rPr>
          <w:rFonts w:cs="Times New Roman" w:ascii="Times New Roman" w:hAnsi="Times New Roman"/>
        </w:rPr>
        <w:t>Arroyo, M.T.K., Primack, R.B., Armesto, J.J., 1982. Community studies in pollination ecology in the high temperate Andes of Central Chile. I. Pollination mechanisms and altitudinal variation. American Journal of Botany 69, 82-97.</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Barros, M.A.G., 1992. Fenologia da floraçã</w:t>
      </w:r>
      <w:r>
        <w:rPr>
          <w:rFonts w:cs="Times New Roman" w:ascii="Times New Roman" w:hAnsi="Times New Roman"/>
          <w:lang w:val="es-ES_tradnl"/>
        </w:rPr>
        <w:t>o, estrat</w:t>
      </w:r>
      <w:r>
        <w:rPr>
          <w:rFonts w:cs="Times New Roman" w:ascii="Times New Roman" w:hAnsi="Times New Roman"/>
          <w:lang w:val="pt-PT"/>
        </w:rPr>
        <w:t>égias reprodutivas e polinizaçã</w:t>
      </w:r>
      <w:r>
        <w:rPr>
          <w:rFonts w:cs="Times New Roman" w:ascii="Times New Roman" w:hAnsi="Times New Roman"/>
          <w:lang w:val="es-ES_tradnl"/>
        </w:rPr>
        <w:t>o de esp</w:t>
      </w:r>
      <w:r>
        <w:rPr>
          <w:rFonts w:cs="Times New Roman" w:ascii="Times New Roman" w:hAnsi="Times New Roman"/>
          <w:lang w:val="pt-PT"/>
        </w:rPr>
        <w:t>é</w:t>
      </w:r>
      <w:r>
        <w:rPr>
          <w:rFonts w:cs="Times New Roman" w:ascii="Times New Roman" w:hAnsi="Times New Roman"/>
          <w:lang w:val="pt-BR"/>
        </w:rPr>
        <w:t>cies simp</w:t>
      </w:r>
      <w:r>
        <w:rPr>
          <w:rFonts w:cs="Times New Roman" w:ascii="Times New Roman" w:hAnsi="Times New Roman"/>
          <w:lang w:val="pt-PT"/>
        </w:rPr>
        <w:t>átricas do gê</w:t>
      </w:r>
      <w:r>
        <w:rPr>
          <w:rFonts w:cs="Times New Roman" w:ascii="Times New Roman" w:hAnsi="Times New Roman"/>
          <w:lang w:val="es-ES_tradnl"/>
        </w:rPr>
        <w:t xml:space="preserve">nero </w:t>
      </w:r>
      <w:r>
        <w:rPr>
          <w:rFonts w:cs="Times New Roman" w:ascii="Times New Roman" w:hAnsi="Times New Roman"/>
          <w:i/>
          <w:iCs/>
          <w:lang w:val="pt-BR"/>
        </w:rPr>
        <w:t>Byrsonima</w:t>
      </w:r>
      <w:r>
        <w:rPr>
          <w:rFonts w:cs="Times New Roman" w:ascii="Times New Roman" w:hAnsi="Times New Roman"/>
          <w:lang w:val="pt-PT"/>
        </w:rPr>
        <w:t xml:space="preserve"> Rich (Malpighiaceae). Revista Brasileira de Biologia 52, 343-35.</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BR"/>
        </w:rPr>
        <w:t>Barônio, G. J. (2013). Disponibilidade de recursos florais oferecidos por três espécies de Malpighiaceae em um cerrado no sudeste brasileiro: a relação com seus visitantes florais.</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 xml:space="preserve">Bezerra, E.L.S., 2004. Polinização e fenologia reprodutiva de </w:t>
      </w:r>
      <w:r>
        <w:rPr>
          <w:rFonts w:cs="Times New Roman" w:ascii="Times New Roman" w:hAnsi="Times New Roman"/>
          <w:i/>
          <w:iCs/>
          <w:lang w:val="pt-BR"/>
        </w:rPr>
        <w:t>Byrsonima gardneriana</w:t>
      </w:r>
      <w:r>
        <w:rPr>
          <w:rFonts w:cs="Times New Roman" w:ascii="Times New Roman" w:hAnsi="Times New Roman"/>
          <w:lang w:val="pt-BR"/>
        </w:rPr>
        <w:t xml:space="preserve"> Juss e </w:t>
      </w:r>
      <w:r>
        <w:rPr>
          <w:rFonts w:cs="Times New Roman" w:ascii="Times New Roman" w:hAnsi="Times New Roman"/>
          <w:i/>
          <w:iCs/>
          <w:lang w:val="pt-BR"/>
        </w:rPr>
        <w:t>Stigmaphyllon paralias</w:t>
      </w:r>
      <w:r>
        <w:rPr>
          <w:rFonts w:cs="Times New Roman" w:ascii="Times New Roman" w:hAnsi="Times New Roman"/>
          <w:lang w:val="it-IT"/>
        </w:rPr>
        <w:t xml:space="preserve"> Juss. (Malpighiaceae) em </w:t>
      </w:r>
      <w:r>
        <w:rPr>
          <w:rFonts w:cs="Times New Roman" w:ascii="Times New Roman" w:hAnsi="Times New Roman"/>
          <w:lang w:val="pt-PT"/>
        </w:rPr>
        <w:t>á</w:t>
      </w:r>
      <w:r>
        <w:rPr>
          <w:rFonts w:cs="Times New Roman" w:ascii="Times New Roman" w:hAnsi="Times New Roman"/>
          <w:lang w:val="pt-BR"/>
        </w:rPr>
        <w:t>rea de Caatinga - Nordeste do Brasil. Msc theses</w:t>
      </w:r>
      <w:r>
        <w:rPr>
          <w:rFonts w:cs="Times New Roman" w:ascii="Times New Roman" w:hAnsi="Times New Roman"/>
          <w:i/>
          <w:iCs/>
          <w:lang w:val="pt-BR"/>
        </w:rPr>
        <w:t>.</w:t>
      </w:r>
      <w:r>
        <w:rPr>
          <w:rFonts w:cs="Times New Roman" w:ascii="Times New Roman" w:hAnsi="Times New Roman"/>
          <w:lang w:val="pt-BR"/>
        </w:rPr>
        <w:t xml:space="preserve"> Universidade Federal de Pernambuco, Brazil.</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 xml:space="preserve">Bezerra, E.L.S., Machado, I.C., Mello, M.A.R., 2009. </w:t>
      </w:r>
      <w:r>
        <w:rPr>
          <w:rFonts w:cs="Times New Roman" w:ascii="Times New Roman" w:hAnsi="Times New Roman"/>
        </w:rPr>
        <w:t xml:space="preserve">Pollination networks of oil flowers: a tiny world within the smallest of all worlds. </w:t>
      </w:r>
      <w:r>
        <w:rPr>
          <w:rFonts w:cs="Times New Roman" w:ascii="Times New Roman" w:hAnsi="Times New Roman"/>
          <w:lang w:val="pt-BR"/>
        </w:rPr>
        <w:t>Journal of Animal Ecology 78, 1096-1101.</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Camarotti, M.F., 2004. Comunidade de abelhas, nidificação de abelhas solitárias em cavidades preexistentes (Hymenoptera: Apoidea) e interação abelha-planta na Reserva Bioló</w:t>
      </w:r>
      <w:r>
        <w:rPr>
          <w:rFonts w:cs="Times New Roman" w:ascii="Times New Roman" w:hAnsi="Times New Roman"/>
          <w:lang w:val="es-ES_tradnl"/>
        </w:rPr>
        <w:t>gica Guaribas, Mamanguape, Para</w:t>
      </w:r>
      <w:r>
        <w:rPr>
          <w:rFonts w:cs="Times New Roman" w:ascii="Times New Roman" w:hAnsi="Times New Roman"/>
          <w:lang w:val="pt-PT"/>
        </w:rPr>
        <w:t>íba, Brasil. PhD theses. Universidade Federal da Paraí</w:t>
      </w:r>
      <w:r>
        <w:rPr>
          <w:rFonts w:cs="Times New Roman" w:ascii="Times New Roman" w:hAnsi="Times New Roman"/>
          <w:lang w:val="nl-NL"/>
        </w:rPr>
        <w:t>ba, Brazil.</w:t>
      </w:r>
    </w:p>
    <w:p>
      <w:pPr>
        <w:pStyle w:val="Bibliography1"/>
        <w:spacing w:lineRule="auto" w:line="276" w:before="240" w:after="0"/>
        <w:rPr>
          <w:rFonts w:ascii="Times New Roman" w:hAnsi="Times New Roman" w:cs="Times New Roman"/>
        </w:rPr>
      </w:pPr>
      <w:r>
        <w:rPr>
          <w:rFonts w:cs="Times New Roman" w:ascii="Times New Roman" w:hAnsi="Times New Roman"/>
          <w:color w:val="000000"/>
          <w:lang w:val="pt-BR"/>
        </w:rPr>
        <w:t xml:space="preserve">Carneiro, L.T., Aguiar, A.J.C., Martins, C.F., Machado, I.C., Alves-dos-Santos, I., 2015. </w:t>
      </w:r>
      <w:r>
        <w:rPr>
          <w:rFonts w:cs="Times New Roman" w:ascii="Times New Roman" w:hAnsi="Times New Roman"/>
          <w:i/>
          <w:iCs/>
          <w:color w:val="000000"/>
        </w:rPr>
        <w:t xml:space="preserve">Krameria tomentosa </w:t>
      </w:r>
      <w:r>
        <w:rPr>
          <w:rFonts w:cs="Times New Roman" w:ascii="Times New Roman" w:hAnsi="Times New Roman"/>
          <w:color w:val="000000"/>
        </w:rPr>
        <w:t>oil flowers and their pollinators: Bees specialized on trichome elaiophores exploit its epithelial oil glands</w:t>
      </w:r>
      <w:r>
        <w:rPr>
          <w:rFonts w:cs="Times New Roman" w:ascii="Times New Roman" w:hAnsi="Times New Roman"/>
          <w:color w:val="000000"/>
          <w:lang w:val="en-GB"/>
        </w:rPr>
        <w:t xml:space="preserve">. </w:t>
      </w:r>
      <w:r>
        <w:rPr>
          <w:rFonts w:cs="Times New Roman" w:ascii="Times New Roman" w:hAnsi="Times New Roman"/>
          <w:color w:val="000000"/>
        </w:rPr>
        <w:t>Flora - Morphology, Distribution, Functional Ecology of Plants</w:t>
      </w:r>
      <w:r>
        <w:rPr>
          <w:rFonts w:cs="Times New Roman" w:ascii="Times New Roman" w:hAnsi="Times New Roman"/>
          <w:color w:val="000000"/>
          <w:lang w:val="en-GB"/>
        </w:rPr>
        <w:t>.</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Carvalho, P.D., Borba, E.L., Lucchese, A.M., 2005. </w:t>
      </w:r>
      <w:r>
        <w:rPr>
          <w:rFonts w:cs="Times New Roman" w:ascii="Times New Roman" w:hAnsi="Times New Roman"/>
          <w:lang w:val="pt-PT"/>
        </w:rPr>
        <w:t>Variação no nú</w:t>
      </w:r>
      <w:r>
        <w:rPr>
          <w:rFonts w:cs="Times New Roman" w:ascii="Times New Roman" w:hAnsi="Times New Roman"/>
          <w:lang w:val="es-ES_tradnl"/>
        </w:rPr>
        <w:t>mero de gl</w:t>
      </w:r>
      <w:r>
        <w:rPr>
          <w:rFonts w:cs="Times New Roman" w:ascii="Times New Roman" w:hAnsi="Times New Roman"/>
          <w:lang w:val="pt-PT"/>
        </w:rPr>
        <w:t xml:space="preserve">ândulas e produção de óleo em flores de </w:t>
      </w:r>
      <w:r>
        <w:rPr>
          <w:rFonts w:cs="Times New Roman" w:ascii="Times New Roman" w:hAnsi="Times New Roman"/>
          <w:i/>
          <w:iCs/>
          <w:lang w:val="pt-BR"/>
        </w:rPr>
        <w:t xml:space="preserve">Stigmaphyllon paralias </w:t>
      </w:r>
      <w:r>
        <w:rPr>
          <w:rFonts w:cs="Times New Roman" w:ascii="Times New Roman" w:hAnsi="Times New Roman"/>
          <w:lang w:val="pt-BR"/>
        </w:rPr>
        <w:t>A. Juss. (Malpighiaceae). Acta Botanica Brasilica 19, 209-214.</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es-ES_tradnl"/>
        </w:rPr>
        <w:t>Damon, A.A., Cruz-L</w:t>
      </w:r>
      <w:r>
        <w:rPr>
          <w:rFonts w:cs="Times New Roman" w:ascii="Times New Roman" w:hAnsi="Times New Roman"/>
          <w:lang w:val="pt-PT"/>
        </w:rPr>
        <w:t>ó</w:t>
      </w:r>
      <w:r>
        <w:rPr>
          <w:rFonts w:cs="Times New Roman" w:ascii="Times New Roman" w:hAnsi="Times New Roman"/>
          <w:lang w:val="pt-BR"/>
        </w:rPr>
        <w:t xml:space="preserve">pez, L., 2006. </w:t>
      </w:r>
      <w:r>
        <w:rPr>
          <w:rFonts w:cs="Times New Roman" w:ascii="Times New Roman" w:hAnsi="Times New Roman"/>
        </w:rPr>
        <w:t xml:space="preserve">Fragrance in relation to pollination of </w:t>
      </w:r>
      <w:r>
        <w:rPr>
          <w:rFonts w:cs="Times New Roman" w:ascii="Times New Roman" w:hAnsi="Times New Roman"/>
          <w:i/>
          <w:iCs/>
        </w:rPr>
        <w:t>Oncidium sphacelatum</w:t>
      </w:r>
      <w:r>
        <w:rPr>
          <w:rFonts w:cs="Times New Roman" w:ascii="Times New Roman" w:hAnsi="Times New Roman"/>
        </w:rPr>
        <w:t xml:space="preserve"> and </w:t>
      </w:r>
      <w:r>
        <w:rPr>
          <w:rFonts w:cs="Times New Roman" w:ascii="Times New Roman" w:hAnsi="Times New Roman"/>
          <w:i/>
          <w:iCs/>
        </w:rPr>
        <w:t>Trichocentrum oerstedii</w:t>
      </w:r>
      <w:r>
        <w:rPr>
          <w:rFonts w:cs="Times New Roman" w:ascii="Times New Roman" w:hAnsi="Times New Roman"/>
        </w:rPr>
        <w:t xml:space="preserve"> (Orchidaceae) in the Soconusco Region of Chiapas, Mexico. </w:t>
      </w:r>
      <w:r>
        <w:rPr>
          <w:rFonts w:cs="Times New Roman" w:ascii="Times New Roman" w:hAnsi="Times New Roman"/>
          <w:lang w:val="pt-BR"/>
        </w:rPr>
        <w:t>Selbyana 27, 186</w:t>
      </w:r>
      <w:r>
        <w:rPr>
          <w:rFonts w:cs="Times New Roman" w:ascii="Times New Roman" w:hAnsi="Times New Roman"/>
          <w:lang w:val="pt-PT"/>
        </w:rPr>
        <w:t>–</w:t>
      </w:r>
      <w:r>
        <w:rPr>
          <w:rFonts w:cs="Times New Roman" w:ascii="Times New Roman" w:hAnsi="Times New Roman"/>
          <w:lang w:val="pt-BR"/>
        </w:rPr>
        <w:t>19.</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BR"/>
        </w:rPr>
        <w:t>D</w:t>
      </w:r>
      <w:r>
        <w:rPr>
          <w:rFonts w:cs="Times New Roman" w:ascii="Times New Roman" w:hAnsi="Times New Roman"/>
          <w:lang w:val="pt-PT"/>
        </w:rPr>
        <w:t>órea, M.C., Santos, F.A.R., Lima, L.C.L., Figueroa, L.E.R., 2009. Aná</w:t>
      </w:r>
      <w:r>
        <w:rPr>
          <w:rFonts w:cs="Times New Roman" w:ascii="Times New Roman" w:hAnsi="Times New Roman"/>
          <w:lang w:val="fr-FR"/>
        </w:rPr>
        <w:t>lise pol</w:t>
      </w:r>
      <w:r>
        <w:rPr>
          <w:rFonts w:cs="Times New Roman" w:ascii="Times New Roman" w:hAnsi="Times New Roman"/>
          <w:lang w:val="pt-PT"/>
        </w:rPr>
        <w:t>ínica do resí</w:t>
      </w:r>
      <w:r>
        <w:rPr>
          <w:rFonts w:cs="Times New Roman" w:ascii="Times New Roman" w:hAnsi="Times New Roman"/>
          <w:lang w:val="it-IT"/>
        </w:rPr>
        <w:t>duo p</w:t>
      </w:r>
      <w:r>
        <w:rPr>
          <w:rFonts w:cs="Times New Roman" w:ascii="Times New Roman" w:hAnsi="Times New Roman"/>
          <w:lang w:val="pt-PT"/>
        </w:rPr>
        <w:t>ó</w:t>
      </w:r>
      <w:r>
        <w:rPr>
          <w:rFonts w:cs="Times New Roman" w:ascii="Times New Roman" w:hAnsi="Times New Roman"/>
          <w:lang w:val="pt-BR"/>
        </w:rPr>
        <w:t>s-eclos</w:t>
      </w:r>
      <w:r>
        <w:rPr>
          <w:rFonts w:cs="Times New Roman" w:ascii="Times New Roman" w:hAnsi="Times New Roman"/>
          <w:lang w:val="pt-PT"/>
        </w:rPr>
        <w:t xml:space="preserve">ão de ninhos de </w:t>
      </w:r>
      <w:r>
        <w:rPr>
          <w:rFonts w:cs="Times New Roman" w:ascii="Times New Roman" w:hAnsi="Times New Roman"/>
          <w:i/>
          <w:iCs/>
          <w:lang w:val="it-IT"/>
        </w:rPr>
        <w:t xml:space="preserve">Centris tarsata </w:t>
      </w:r>
      <w:r>
        <w:rPr>
          <w:rFonts w:cs="Times New Roman" w:ascii="Times New Roman" w:hAnsi="Times New Roman"/>
          <w:lang w:val="pt-BR"/>
        </w:rPr>
        <w:t>Smith (Hymenoptera, Apidae, Centridini). Neotropical Entomology 38, 197-202.</w:t>
      </w:r>
    </w:p>
    <w:p>
      <w:pPr>
        <w:pStyle w:val="Bibliography1"/>
        <w:spacing w:lineRule="auto" w:line="276" w:before="240" w:after="0"/>
        <w:rPr>
          <w:rFonts w:ascii="Times New Roman" w:hAnsi="Times New Roman" w:cs="Times New Roman"/>
        </w:rPr>
      </w:pPr>
      <w:r>
        <w:rPr>
          <w:rFonts w:cs="Times New Roman" w:ascii="Times New Roman" w:hAnsi="Times New Roman"/>
          <w:lang w:val="pt-PT"/>
        </w:rPr>
        <w:t>Freitas, B.M., Alves, J.E., Brandã</w:t>
      </w:r>
      <w:r>
        <w:rPr>
          <w:rFonts w:cs="Times New Roman" w:ascii="Times New Roman" w:hAnsi="Times New Roman"/>
          <w:lang w:val="fr-FR"/>
        </w:rPr>
        <w:t xml:space="preserve">o, G.F., Araujo, Z.B., 1999. </w:t>
      </w:r>
      <w:r>
        <w:rPr>
          <w:rFonts w:cs="Times New Roman" w:ascii="Times New Roman" w:hAnsi="Times New Roman"/>
        </w:rPr>
        <w:t>Pollination requirements of West Indian cherry (</w:t>
      </w:r>
      <w:r>
        <w:rPr>
          <w:rFonts w:cs="Times New Roman" w:ascii="Times New Roman" w:hAnsi="Times New Roman"/>
          <w:i/>
          <w:iCs/>
        </w:rPr>
        <w:t>Malpighia emarginata</w:t>
      </w:r>
      <w:r>
        <w:rPr>
          <w:rFonts w:cs="Times New Roman" w:ascii="Times New Roman" w:hAnsi="Times New Roman"/>
        </w:rPr>
        <w:t xml:space="preserve">) and its putative pollinators, </w:t>
      </w:r>
      <w:r>
        <w:rPr>
          <w:rFonts w:cs="Times New Roman" w:ascii="Times New Roman" w:hAnsi="Times New Roman"/>
          <w:i/>
          <w:iCs/>
        </w:rPr>
        <w:t xml:space="preserve">Centris </w:t>
      </w:r>
      <w:r>
        <w:rPr>
          <w:rFonts w:cs="Times New Roman" w:ascii="Times New Roman" w:hAnsi="Times New Roman"/>
        </w:rPr>
        <w:t>bees, in NE Brazil. Journal of Agricultural Science 133, 303-311.</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Freitas, L., Sazima, M., 2006. Pollination biology in a tropical high-altitude grassland in Brazil: interactions at the community level. </w:t>
      </w:r>
      <w:r>
        <w:rPr>
          <w:rFonts w:cs="Times New Roman" w:ascii="Times New Roman" w:hAnsi="Times New Roman"/>
          <w:lang w:val="pt-BR"/>
        </w:rPr>
        <w:t>Annals of the Missouri Botanical Garden 93, 465-516.</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 xml:space="preserve">Gaglianone, M.C., 2003. Abelhas da tribo Centridini na Estação Ecológica de Jataí </w:t>
      </w:r>
      <w:r>
        <w:rPr>
          <w:rFonts w:cs="Times New Roman" w:ascii="Times New Roman" w:hAnsi="Times New Roman"/>
          <w:lang w:val="pt-BR"/>
        </w:rPr>
        <w:t>(Lu</w:t>
      </w:r>
      <w:r>
        <w:rPr>
          <w:rFonts w:cs="Times New Roman" w:ascii="Times New Roman" w:hAnsi="Times New Roman"/>
          <w:lang w:val="pt-PT"/>
        </w:rPr>
        <w:t>í</w:t>
      </w:r>
      <w:r>
        <w:rPr>
          <w:rFonts w:cs="Times New Roman" w:ascii="Times New Roman" w:hAnsi="Times New Roman"/>
          <w:lang w:val="it-IT"/>
        </w:rPr>
        <w:t>s Antonio, SP): composi</w:t>
      </w:r>
      <w:r>
        <w:rPr>
          <w:rFonts w:cs="Times New Roman" w:ascii="Times New Roman" w:hAnsi="Times New Roman"/>
          <w:lang w:val="pt-PT"/>
        </w:rPr>
        <w:t>çã</w:t>
      </w:r>
      <w:r>
        <w:rPr>
          <w:rFonts w:cs="Times New Roman" w:ascii="Times New Roman" w:hAnsi="Times New Roman"/>
          <w:lang w:val="es-ES_tradnl"/>
        </w:rPr>
        <w:t>o de esp</w:t>
      </w:r>
      <w:r>
        <w:rPr>
          <w:rFonts w:cs="Times New Roman" w:ascii="Times New Roman" w:hAnsi="Times New Roman"/>
          <w:lang w:val="pt-PT"/>
        </w:rPr>
        <w:t>écies e interações com flores de Malpighiaceae. In: Melo, G.A.R., Alves-dos-Santos, I. (Eds.), Apoidea Neotropica</w:t>
      </w:r>
      <w:r>
        <w:rPr>
          <w:rFonts w:cs="Times New Roman" w:ascii="Times New Roman" w:hAnsi="Times New Roman"/>
          <w:i/>
          <w:iCs/>
          <w:lang w:val="pt-BR"/>
        </w:rPr>
        <w:t>.</w:t>
      </w:r>
      <w:r>
        <w:rPr>
          <w:rFonts w:cs="Times New Roman" w:ascii="Times New Roman" w:hAnsi="Times New Roman"/>
          <w:lang w:val="pt-BR"/>
        </w:rPr>
        <w:t xml:space="preserve"> UNESC, Crici</w:t>
      </w:r>
      <w:r>
        <w:rPr>
          <w:rFonts w:cs="Times New Roman" w:ascii="Times New Roman" w:hAnsi="Times New Roman"/>
          <w:lang w:val="pt-PT"/>
        </w:rPr>
        <w:t>ú</w:t>
      </w:r>
      <w:r>
        <w:rPr>
          <w:rFonts w:cs="Times New Roman" w:ascii="Times New Roman" w:hAnsi="Times New Roman"/>
          <w:lang w:val="pt-BR"/>
        </w:rPr>
        <w:t>ma,  pp. 279-284.</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it-IT"/>
        </w:rPr>
        <w:t>Gaglianone, M. C. (2001). Nidifica</w:t>
      </w:r>
      <w:r>
        <w:rPr>
          <w:rFonts w:cs="Times New Roman" w:ascii="Times New Roman" w:hAnsi="Times New Roman"/>
          <w:lang w:val="pt-PT"/>
        </w:rPr>
        <w:t>çã</w:t>
      </w:r>
      <w:r>
        <w:rPr>
          <w:rFonts w:cs="Times New Roman" w:ascii="Times New Roman" w:hAnsi="Times New Roman"/>
          <w:lang w:val="it-IT"/>
        </w:rPr>
        <w:t xml:space="preserve">o e forrageamento de </w:t>
      </w:r>
      <w:r>
        <w:rPr>
          <w:rFonts w:cs="Times New Roman" w:ascii="Times New Roman" w:hAnsi="Times New Roman"/>
          <w:i/>
          <w:lang w:val="it-IT"/>
        </w:rPr>
        <w:t xml:space="preserve">Centris </w:t>
      </w:r>
      <w:r>
        <w:rPr>
          <w:rFonts w:cs="Times New Roman" w:ascii="Times New Roman" w:hAnsi="Times New Roman"/>
          <w:lang w:val="it-IT"/>
        </w:rPr>
        <w:t xml:space="preserve">(Ptilotopus) </w:t>
      </w:r>
      <w:r>
        <w:rPr>
          <w:rFonts w:cs="Times New Roman" w:ascii="Times New Roman" w:hAnsi="Times New Roman"/>
          <w:i/>
          <w:lang w:val="it-IT"/>
        </w:rPr>
        <w:t>scopipes</w:t>
      </w:r>
      <w:r>
        <w:rPr>
          <w:rFonts w:cs="Times New Roman" w:ascii="Times New Roman" w:hAnsi="Times New Roman"/>
          <w:lang w:val="it-IT"/>
        </w:rPr>
        <w:t xml:space="preserve"> Friese (Hymenoptera, Apidae). </w:t>
      </w:r>
      <w:r>
        <w:rPr>
          <w:rFonts w:cs="Times New Roman" w:ascii="Times New Roman" w:hAnsi="Times New Roman"/>
          <w:i/>
          <w:iCs/>
          <w:lang w:val="pt-PT"/>
        </w:rPr>
        <w:t>Revista Brasileira de Zoologia</w:t>
      </w:r>
      <w:r>
        <w:rPr>
          <w:rFonts w:cs="Times New Roman" w:ascii="Times New Roman" w:hAnsi="Times New Roman"/>
          <w:lang w:val="pt-BR"/>
        </w:rPr>
        <w:t xml:space="preserve">, </w:t>
      </w:r>
      <w:r>
        <w:rPr>
          <w:rFonts w:cs="Times New Roman" w:ascii="Times New Roman" w:hAnsi="Times New Roman"/>
          <w:i/>
          <w:iCs/>
          <w:lang w:val="pt-BR"/>
        </w:rPr>
        <w:t>18</w:t>
      </w:r>
      <w:r>
        <w:rPr>
          <w:rFonts w:cs="Times New Roman" w:ascii="Times New Roman" w:hAnsi="Times New Roman"/>
          <w:lang w:val="pt-BR"/>
        </w:rPr>
        <w:t>(suppl 1), 107</w:t>
      </w:r>
      <w:r>
        <w:rPr>
          <w:rFonts w:cs="Times New Roman" w:ascii="Times New Roman" w:hAnsi="Times New Roman"/>
          <w:lang w:val="pt-PT"/>
        </w:rPr>
        <w:t>–</w:t>
      </w:r>
      <w:r>
        <w:rPr>
          <w:rFonts w:cs="Times New Roman" w:ascii="Times New Roman" w:hAnsi="Times New Roman"/>
          <w:lang w:val="pt-BR"/>
        </w:rPr>
        <w:t>117. https://doi.org/10.1590/s0101-81752001000500008</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Gimenes, M., Oliveira, P., Almeida, G.F., 2002. Estudo das interações entre as abelhas e as flores em um ecossistema de restinga na Bahia. In: 5th Encontro sobre Abelhas de Ribeirão Preto. Universidade de São Paulo, Ribeirã</w:t>
      </w:r>
      <w:r>
        <w:rPr>
          <w:rFonts w:cs="Times New Roman" w:ascii="Times New Roman" w:hAnsi="Times New Roman"/>
          <w:lang w:val="pt-BR"/>
        </w:rPr>
        <w:t xml:space="preserve">o Preto, pp. 117-121 </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es-ES_tradnl"/>
        </w:rPr>
        <w:t>Gimenes, M., Lob</w:t>
      </w:r>
      <w:r>
        <w:rPr>
          <w:rFonts w:cs="Times New Roman" w:ascii="Times New Roman" w:hAnsi="Times New Roman"/>
          <w:lang w:val="pt-PT"/>
        </w:rPr>
        <w:t xml:space="preserve">ão, C.S., 2006. A polinização de </w:t>
      </w:r>
      <w:r>
        <w:rPr>
          <w:rFonts w:cs="Times New Roman" w:ascii="Times New Roman" w:hAnsi="Times New Roman"/>
          <w:i/>
          <w:iCs/>
          <w:lang w:val="pt-BR"/>
        </w:rPr>
        <w:t xml:space="preserve">Krameria bahiana </w:t>
      </w:r>
      <w:r>
        <w:rPr>
          <w:rFonts w:cs="Times New Roman" w:ascii="Times New Roman" w:hAnsi="Times New Roman"/>
          <w:lang w:val="pt-PT"/>
        </w:rPr>
        <w:t>B.B. Simpson (Krameriaceae) por abelhas (Apidae) na restinga, BA. Neotropical Entomology 35, 440-445.</w:t>
      </w:r>
    </w:p>
    <w:p>
      <w:pPr>
        <w:pStyle w:val="Bibliography1"/>
        <w:spacing w:lineRule="auto" w:line="276" w:before="240" w:after="0"/>
        <w:rPr>
          <w:rFonts w:ascii="Times New Roman" w:hAnsi="Times New Roman" w:cs="Times New Roman"/>
        </w:rPr>
      </w:pPr>
      <w:r>
        <w:rPr>
          <w:rFonts w:cs="Times New Roman" w:ascii="Times New Roman" w:hAnsi="Times New Roman"/>
          <w:lang w:val="pt-BR"/>
        </w:rPr>
        <w:t>Gon</w:t>
      </w:r>
      <w:r>
        <w:rPr>
          <w:rFonts w:cs="Times New Roman" w:ascii="Times New Roman" w:hAnsi="Times New Roman"/>
          <w:lang w:val="pt-PT"/>
        </w:rPr>
        <w:t xml:space="preserve">çalves, R.B., Melo, G.A.R., 2005. A comunidade de abelhas (Hymenoptera, Apidae s. l.) em uma área restrita de campo natural no Parque Estadual de Vila Velha, Paraná: diversidade, fenologia e fontes florais de alimento. </w:t>
      </w:r>
      <w:r>
        <w:rPr>
          <w:rFonts w:cs="Times New Roman" w:ascii="Times New Roman" w:hAnsi="Times New Roman"/>
        </w:rPr>
        <w:t>Revista Brasileira de Entomologia 49, 557-571.</w:t>
      </w:r>
    </w:p>
    <w:p>
      <w:pPr>
        <w:pStyle w:val="Bibliography1"/>
        <w:spacing w:lineRule="auto" w:line="276" w:before="240" w:after="0"/>
        <w:rPr>
          <w:rFonts w:ascii="Times New Roman" w:hAnsi="Times New Roman" w:cs="Times New Roman"/>
        </w:rPr>
      </w:pPr>
      <w:r>
        <w:rPr>
          <w:rFonts w:cs="Times New Roman" w:ascii="Times New Roman" w:hAnsi="Times New Roman"/>
        </w:rPr>
        <w:t>Gottsberger, G., 1986. Some pollination strategies in neotropical savannas and forests. Plant Systematics and Evolution 152, 29-45.</w:t>
      </w:r>
    </w:p>
    <w:p>
      <w:pPr>
        <w:pStyle w:val="Bibliography1"/>
        <w:spacing w:lineRule="auto" w:line="276" w:before="240" w:after="0"/>
        <w:rPr>
          <w:rFonts w:ascii="Times New Roman" w:hAnsi="Times New Roman" w:cs="Times New Roman"/>
        </w:rPr>
      </w:pPr>
      <w:r>
        <w:rPr>
          <w:rFonts w:cs="Times New Roman" w:ascii="Times New Roman" w:hAnsi="Times New Roman"/>
          <w:lang w:val="pt-BR"/>
        </w:rPr>
        <w:t xml:space="preserve">Guimarães, M. M., Souza, C. S., Sigrist, M. R., Miliato, K. B. M., &amp; Maia, F. R. da. </w:t>
      </w:r>
      <w:r>
        <w:rPr>
          <w:rFonts w:cs="Times New Roman" w:ascii="Times New Roman" w:hAnsi="Times New Roman"/>
        </w:rPr>
        <w:t>(2021). Assessment of interactions between oil flowers and floral visitors in world biomes. Biological Journal of the Linnean Society, 134(2), 366–380. https://doi.org/10.1093/biolinnean/blab078</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Machado, I.C., Siqueira Filho, J.A., Lopes, A.V.F., Vogel, S., 1997. Organizaçã</w:t>
      </w:r>
      <w:r>
        <w:rPr>
          <w:rFonts w:cs="Times New Roman" w:ascii="Times New Roman" w:hAnsi="Times New Roman"/>
          <w:lang w:val="it-IT"/>
        </w:rPr>
        <w:t>o e poliniza</w:t>
      </w:r>
      <w:r>
        <w:rPr>
          <w:rFonts w:cs="Times New Roman" w:ascii="Times New Roman" w:hAnsi="Times New Roman"/>
          <w:lang w:val="pt-PT"/>
        </w:rPr>
        <w:t>ção das flores de ó</w:t>
      </w:r>
      <w:r>
        <w:rPr>
          <w:rFonts w:cs="Times New Roman" w:ascii="Times New Roman" w:hAnsi="Times New Roman"/>
          <w:lang w:val="es-ES_tradnl"/>
        </w:rPr>
        <w:t xml:space="preserve">leo de </w:t>
      </w:r>
      <w:r>
        <w:rPr>
          <w:rFonts w:cs="Times New Roman" w:ascii="Times New Roman" w:hAnsi="Times New Roman"/>
          <w:i/>
          <w:iCs/>
          <w:lang w:val="pt-PT"/>
        </w:rPr>
        <w:t xml:space="preserve">Krameria tomentosa </w:t>
      </w:r>
      <w:r>
        <w:rPr>
          <w:rFonts w:cs="Times New Roman" w:ascii="Times New Roman" w:hAnsi="Times New Roman"/>
          <w:lang w:val="pt-PT"/>
        </w:rPr>
        <w:t>(Krameriaceae). In: XLVIII Congresso Nacional de Botânica. Sociedade Botânica do Brasil, Crato, pp. 19.</w:t>
      </w:r>
    </w:p>
    <w:p>
      <w:pPr>
        <w:pStyle w:val="Bibliography1"/>
        <w:spacing w:lineRule="auto" w:line="276" w:before="240" w:after="0"/>
        <w:rPr>
          <w:rFonts w:ascii="Times New Roman" w:hAnsi="Times New Roman" w:cs="Times New Roman"/>
        </w:rPr>
      </w:pPr>
      <w:r>
        <w:rPr>
          <w:rFonts w:cs="Times New Roman" w:ascii="Times New Roman" w:hAnsi="Times New Roman"/>
          <w:lang w:val="pt-PT"/>
        </w:rPr>
        <w:t xml:space="preserve">Machado, I.C., Vogel, S., Lopes, A.V., 2002. </w:t>
      </w:r>
      <w:r>
        <w:rPr>
          <w:rFonts w:cs="Times New Roman" w:ascii="Times New Roman" w:hAnsi="Times New Roman"/>
        </w:rPr>
        <w:t xml:space="preserve">Pollination of </w:t>
      </w:r>
      <w:r>
        <w:rPr>
          <w:rFonts w:cs="Times New Roman" w:ascii="Times New Roman" w:hAnsi="Times New Roman"/>
          <w:i/>
          <w:iCs/>
        </w:rPr>
        <w:t xml:space="preserve">Angelonia cornigera </w:t>
      </w:r>
      <w:r>
        <w:rPr>
          <w:rFonts w:cs="Times New Roman" w:ascii="Times New Roman" w:hAnsi="Times New Roman"/>
        </w:rPr>
        <w:t>Hook. (Scrophulariaceae) by long-legged oil-collecting bees in NE Brazil. Plant Biology 4, 352-359.</w:t>
      </w:r>
    </w:p>
    <w:p>
      <w:pPr>
        <w:pStyle w:val="Bibliography1"/>
        <w:spacing w:lineRule="auto" w:line="276" w:before="240" w:after="0"/>
        <w:rPr>
          <w:rFonts w:ascii="Times New Roman" w:hAnsi="Times New Roman" w:cs="Times New Roman"/>
        </w:rPr>
      </w:pPr>
      <w:r>
        <w:rPr>
          <w:rFonts w:cs="Times New Roman" w:ascii="Times New Roman" w:hAnsi="Times New Roman"/>
          <w:color w:val="000000"/>
        </w:rPr>
        <w:t>Machado</w:t>
      </w:r>
      <w:r>
        <w:rPr>
          <w:rFonts w:cs="Times New Roman" w:ascii="Times New Roman" w:hAnsi="Times New Roman"/>
          <w:color w:val="000000"/>
          <w:lang w:val="en-GB"/>
        </w:rPr>
        <w:t>,</w:t>
      </w:r>
      <w:r>
        <w:rPr>
          <w:rFonts w:cs="Times New Roman" w:ascii="Times New Roman" w:hAnsi="Times New Roman"/>
          <w:color w:val="000000"/>
        </w:rPr>
        <w:t xml:space="preserve"> I</w:t>
      </w:r>
      <w:r>
        <w:rPr>
          <w:rFonts w:cs="Times New Roman" w:ascii="Times New Roman" w:hAnsi="Times New Roman"/>
          <w:color w:val="000000"/>
          <w:lang w:val="en-GB"/>
        </w:rPr>
        <w:t>.</w:t>
      </w:r>
      <w:r>
        <w:rPr>
          <w:rFonts w:cs="Times New Roman" w:ascii="Times New Roman" w:hAnsi="Times New Roman"/>
          <w:color w:val="000000"/>
        </w:rPr>
        <w:t>C</w:t>
      </w:r>
      <w:r>
        <w:rPr>
          <w:rFonts w:cs="Times New Roman" w:ascii="Times New Roman" w:hAnsi="Times New Roman"/>
          <w:color w:val="000000"/>
          <w:lang w:val="en-GB"/>
        </w:rPr>
        <w:t>.,</w:t>
      </w:r>
      <w:r>
        <w:rPr>
          <w:rFonts w:cs="Times New Roman" w:ascii="Times New Roman" w:hAnsi="Times New Roman"/>
          <w:color w:val="000000"/>
        </w:rPr>
        <w:t xml:space="preserve"> 2004</w:t>
      </w:r>
      <w:r>
        <w:rPr>
          <w:rFonts w:cs="Times New Roman" w:ascii="Times New Roman" w:hAnsi="Times New Roman"/>
          <w:color w:val="000000"/>
          <w:lang w:val="en-GB"/>
        </w:rPr>
        <w:t>.</w:t>
      </w:r>
      <w:r>
        <w:rPr>
          <w:rFonts w:cs="Times New Roman" w:ascii="Times New Roman" w:hAnsi="Times New Roman"/>
          <w:color w:val="000000"/>
        </w:rPr>
        <w:t xml:space="preserve"> Oil-collecting bees and related plants: a review of the studies in the last twenty years and case histories of plants occur - ring in NE Brazil. In: Solitary bees, conservation, rearing and management for pollination. Editora Universitária, Fortaleza, CE, 255–280</w:t>
      </w:r>
      <w:r>
        <w:rPr>
          <w:rFonts w:cs="Times New Roman" w:ascii="Times New Roman" w:hAnsi="Times New Roman"/>
          <w:color w:val="000000"/>
          <w:lang w:val="en-GB"/>
        </w:rPr>
        <w:t>.</w:t>
      </w:r>
    </w:p>
    <w:p>
      <w:pPr>
        <w:pStyle w:val="Bibliography1"/>
        <w:spacing w:lineRule="auto" w:line="276" w:before="240" w:after="0"/>
        <w:rPr>
          <w:rFonts w:ascii="Times New Roman" w:hAnsi="Times New Roman" w:cs="Times New Roman"/>
        </w:rPr>
      </w:pPr>
      <w:r>
        <w:rPr>
          <w:rFonts w:cs="Times New Roman" w:ascii="Times New Roman" w:hAnsi="Times New Roman"/>
          <w:lang w:val="pt-PT"/>
        </w:rPr>
        <w:t xml:space="preserve">Magalhães, L.M.F., Oliveira, D., Ohashi, O.S., 1997. </w:t>
      </w:r>
      <w:r>
        <w:rPr>
          <w:rFonts w:cs="Times New Roman" w:ascii="Times New Roman" w:hAnsi="Times New Roman"/>
        </w:rPr>
        <w:t xml:space="preserve">Pollination and pollen vectors in acerola, </w:t>
      </w:r>
      <w:r>
        <w:rPr>
          <w:rFonts w:cs="Times New Roman" w:ascii="Times New Roman" w:hAnsi="Times New Roman"/>
          <w:i/>
          <w:iCs/>
        </w:rPr>
        <w:t>Malpighia punicifolia</w:t>
      </w:r>
      <w:r>
        <w:rPr>
          <w:rFonts w:cs="Times New Roman" w:ascii="Times New Roman" w:hAnsi="Times New Roman"/>
        </w:rPr>
        <w:t xml:space="preserve"> L. Acta Horiculturae 437, 419-423.</w:t>
      </w:r>
    </w:p>
    <w:p>
      <w:pPr>
        <w:pStyle w:val="Bibliography1"/>
        <w:spacing w:lineRule="auto" w:line="276" w:before="240" w:after="0"/>
        <w:rPr>
          <w:rFonts w:ascii="Times New Roman" w:hAnsi="Times New Roman" w:cs="Times New Roman"/>
        </w:rPr>
      </w:pPr>
      <w:r>
        <w:rPr>
          <w:rFonts w:cs="Times New Roman" w:ascii="Times New Roman" w:hAnsi="Times New Roman"/>
          <w:color w:val="000000"/>
          <w:lang w:val="pt-BR"/>
        </w:rPr>
        <w:t xml:space="preserve">Martins, A.C., Aguiar, J.C., Alves-dos-Santos, I., 2013. </w:t>
      </w:r>
      <w:r>
        <w:rPr>
          <w:rFonts w:cs="Times New Roman" w:ascii="Times New Roman" w:hAnsi="Times New Roman"/>
          <w:color w:val="000000"/>
        </w:rPr>
        <w:t>Interaction between oil-collecting bees and seven species of Plantaginaceae</w:t>
      </w:r>
      <w:r>
        <w:rPr>
          <w:rFonts w:cs="Times New Roman" w:ascii="Times New Roman" w:hAnsi="Times New Roman"/>
          <w:color w:val="000000"/>
          <w:lang w:val="en-GB"/>
        </w:rPr>
        <w:t xml:space="preserve">. </w:t>
      </w:r>
      <w:r>
        <w:rPr>
          <w:rFonts w:cs="Times New Roman" w:ascii="Times New Roman" w:hAnsi="Times New Roman"/>
          <w:color w:val="000000"/>
        </w:rPr>
        <w:t>Flora - Morphology, Distribution, Functional Ecology of Plants</w:t>
      </w:r>
      <w:r>
        <w:rPr>
          <w:rFonts w:cs="Times New Roman" w:ascii="Times New Roman" w:hAnsi="Times New Roman"/>
          <w:color w:val="000000"/>
          <w:lang w:val="en-GB"/>
        </w:rPr>
        <w:t>.</w:t>
      </w:r>
    </w:p>
    <w:p>
      <w:pPr>
        <w:pStyle w:val="Bibliography1"/>
        <w:spacing w:lineRule="auto" w:line="276" w:before="240" w:after="0"/>
        <w:rPr>
          <w:rFonts w:ascii="Times New Roman" w:hAnsi="Times New Roman" w:cs="Times New Roman"/>
        </w:rPr>
      </w:pPr>
      <w:r>
        <w:rPr>
          <w:rFonts w:cs="Times New Roman" w:ascii="Times New Roman" w:hAnsi="Times New Roman"/>
          <w:lang w:val="en-GB"/>
        </w:rPr>
        <w:t xml:space="preserve">Martins, A.C., Gabriel A.R. Melo, Renner, S.S., 2015. </w:t>
      </w:r>
      <w:r>
        <w:rPr>
          <w:rFonts w:cs="Times New Roman" w:ascii="Times New Roman" w:hAnsi="Times New Roman"/>
        </w:rPr>
        <w:t xml:space="preserve">Gain and loss of specialization in two oil-bee lineages, </w:t>
      </w:r>
      <w:r>
        <w:rPr>
          <w:rFonts w:cs="Times New Roman" w:ascii="Times New Roman" w:hAnsi="Times New Roman"/>
          <w:i/>
          <w:iCs/>
          <w:lang w:val="it-IT"/>
        </w:rPr>
        <w:t xml:space="preserve">Centris </w:t>
      </w:r>
      <w:r>
        <w:rPr>
          <w:rFonts w:cs="Times New Roman" w:ascii="Times New Roman" w:hAnsi="Times New Roman"/>
        </w:rPr>
        <w:t xml:space="preserve">and </w:t>
      </w:r>
      <w:r>
        <w:rPr>
          <w:rFonts w:cs="Times New Roman" w:ascii="Times New Roman" w:hAnsi="Times New Roman"/>
          <w:i/>
          <w:iCs/>
        </w:rPr>
        <w:t xml:space="preserve">Epicharis </w:t>
      </w:r>
      <w:r>
        <w:rPr>
          <w:rFonts w:cs="Times New Roman" w:ascii="Times New Roman" w:hAnsi="Times New Roman"/>
        </w:rPr>
        <w:t xml:space="preserve">(Apidae), </w:t>
      </w:r>
      <w:r>
        <w:rPr>
          <w:rFonts w:cs="Times New Roman" w:ascii="Times New Roman" w:hAnsi="Times New Roman"/>
          <w:i/>
          <w:iCs/>
          <w:lang w:val="fr-FR"/>
        </w:rPr>
        <w:t>Evolution</w:t>
      </w:r>
      <w:r>
        <w:rPr>
          <w:rFonts w:cs="Times New Roman" w:ascii="Times New Roman" w:hAnsi="Times New Roman"/>
        </w:rPr>
        <w:t>, Volume 69, Issue 7</w:t>
      </w:r>
      <w:r>
        <w:rPr>
          <w:rFonts w:cs="Times New Roman" w:ascii="Times New Roman" w:hAnsi="Times New Roman"/>
          <w:lang w:val="en-GB"/>
        </w:rPr>
        <w:t>,</w:t>
      </w:r>
      <w:r>
        <w:rPr>
          <w:rFonts w:cs="Times New Roman" w:ascii="Times New Roman" w:hAnsi="Times New Roman"/>
        </w:rPr>
        <w:t xml:space="preserve"> 1835–1844</w:t>
      </w:r>
      <w:r>
        <w:rPr>
          <w:rFonts w:cs="Times New Roman" w:ascii="Times New Roman" w:hAnsi="Times New Roman"/>
          <w:lang w:val="en-GB"/>
        </w:rPr>
        <w:t>.</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de-DE"/>
        </w:rPr>
        <w:t xml:space="preserve">Milet-Pinheiro, P., Schlindwein, C., 2008. </w:t>
      </w:r>
      <w:r>
        <w:rPr>
          <w:rFonts w:cs="Times New Roman" w:ascii="Times New Roman" w:hAnsi="Times New Roman"/>
          <w:lang w:val="pt-BR"/>
        </w:rPr>
        <w:t>Comunidade de abelhas (Hymenoptera, Apoidea) e plantas em uma área do Agreste pernambucano, Brasil. Revista Brasileira de Entomologia 52, 625-636.</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Moura, D.C., 2003. Riqueza e abundância de abelhas em diferentes estágios de degradação da caatinga como indicadores ambientais no entorno da Usina Hidrelétrica de Xingó</w:t>
      </w:r>
      <w:r>
        <w:rPr>
          <w:rFonts w:cs="Times New Roman" w:ascii="Times New Roman" w:hAnsi="Times New Roman"/>
          <w:lang w:val="pt-BR"/>
        </w:rPr>
        <w:t xml:space="preserve">, Recife, Brasil. </w:t>
      </w:r>
      <w:r>
        <w:rPr>
          <w:rFonts w:cs="Times New Roman" w:ascii="Times New Roman" w:hAnsi="Times New Roman"/>
        </w:rPr>
        <w:t>PhD theses</w:t>
      </w:r>
      <w:r>
        <w:rPr>
          <w:rFonts w:cs="Times New Roman" w:ascii="Times New Roman" w:hAnsi="Times New Roman"/>
          <w:i/>
          <w:iCs/>
        </w:rPr>
        <w:t>.</w:t>
      </w:r>
      <w:r>
        <w:rPr>
          <w:rFonts w:cs="Times New Roman" w:ascii="Times New Roman" w:hAnsi="Times New Roman"/>
          <w:lang w:val="pt-PT"/>
        </w:rPr>
        <w:t xml:space="preserve"> Universidade Federal de Pernambuco, Pernambuco, Brazil.</w:t>
      </w:r>
    </w:p>
    <w:p>
      <w:pPr>
        <w:pStyle w:val="Bibliography1"/>
        <w:spacing w:lineRule="auto" w:line="276" w:before="240" w:after="0"/>
        <w:rPr>
          <w:rFonts w:ascii="Times New Roman" w:hAnsi="Times New Roman" w:cs="Times New Roman"/>
        </w:rPr>
      </w:pPr>
      <w:r>
        <w:rPr>
          <w:rFonts w:cs="Times New Roman" w:ascii="Times New Roman" w:hAnsi="Times New Roman"/>
          <w:lang w:val="es-ES_tradnl"/>
        </w:rPr>
        <w:t>Neves, E.L.</w:t>
      </w:r>
      <w:r>
        <w:rPr>
          <w:rFonts w:cs="Times New Roman" w:ascii="Times New Roman" w:hAnsi="Times New Roman"/>
          <w:lang w:val="pt-BR"/>
        </w:rPr>
        <w:t>,</w:t>
      </w:r>
      <w:r>
        <w:rPr>
          <w:rFonts w:cs="Times New Roman" w:ascii="Times New Roman" w:hAnsi="Times New Roman"/>
          <w:lang w:val="pt-PT"/>
        </w:rPr>
        <w:t>Viana, B.F.</w:t>
      </w:r>
      <w:r>
        <w:rPr>
          <w:rFonts w:cs="Times New Roman" w:ascii="Times New Roman" w:hAnsi="Times New Roman"/>
          <w:lang w:val="pt-BR"/>
        </w:rPr>
        <w:t>, 2001.</w:t>
      </w:r>
      <w:r>
        <w:rPr>
          <w:rFonts w:cs="Times New Roman" w:ascii="Times New Roman" w:hAnsi="Times New Roman"/>
          <w:lang w:val="it-IT"/>
        </w:rPr>
        <w:t xml:space="preserve"> Ocorr</w:t>
      </w:r>
      <w:r>
        <w:rPr>
          <w:rFonts w:cs="Times New Roman" w:ascii="Times New Roman" w:hAnsi="Times New Roman"/>
          <w:lang w:val="pt-BR"/>
        </w:rPr>
        <w:t>ê</w:t>
      </w:r>
      <w:r>
        <w:rPr>
          <w:rFonts w:cs="Times New Roman" w:ascii="Times New Roman" w:hAnsi="Times New Roman"/>
          <w:lang w:val="pt-PT"/>
        </w:rPr>
        <w:t xml:space="preserve">ncia de </w:t>
      </w:r>
      <w:r>
        <w:rPr>
          <w:rFonts w:cs="Times New Roman" w:ascii="Times New Roman" w:hAnsi="Times New Roman"/>
          <w:i/>
          <w:lang w:val="pt-PT"/>
        </w:rPr>
        <w:t>Epicharis bicolor</w:t>
      </w:r>
      <w:r>
        <w:rPr>
          <w:rFonts w:cs="Times New Roman" w:ascii="Times New Roman" w:hAnsi="Times New Roman"/>
          <w:lang w:val="pt-PT"/>
        </w:rPr>
        <w:t xml:space="preserve"> Smith (Hymenoptera: Apidae: Centridini) nas caatingas da margem esquerda do m</w:t>
      </w:r>
      <w:r>
        <w:rPr>
          <w:rFonts w:cs="Times New Roman" w:ascii="Times New Roman" w:hAnsi="Times New Roman"/>
          <w:lang w:val="fr-FR"/>
        </w:rPr>
        <w:t>é</w:t>
      </w:r>
      <w:r>
        <w:rPr>
          <w:rFonts w:cs="Times New Roman" w:ascii="Times New Roman" w:hAnsi="Times New Roman"/>
          <w:lang w:val="pt-PT"/>
        </w:rPr>
        <w:t xml:space="preserve">dio Rio São Francisco, Bahia. </w:t>
      </w:r>
      <w:r>
        <w:rPr>
          <w:rFonts w:cs="Times New Roman" w:ascii="Times New Roman" w:hAnsi="Times New Roman"/>
        </w:rPr>
        <w:t>Neotropical Entomology, 30: 735-736.</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Oliveira, R., Schlindwein, C., 2009. Searching for a manageable pollinator for acerola orchards: the solitary oil-collecting bee, </w:t>
      </w:r>
      <w:r>
        <w:rPr>
          <w:rFonts w:cs="Times New Roman" w:ascii="Times New Roman" w:hAnsi="Times New Roman"/>
          <w:i/>
          <w:iCs/>
        </w:rPr>
        <w:t xml:space="preserve">Centris analis </w:t>
      </w:r>
      <w:r>
        <w:rPr>
          <w:rFonts w:cs="Times New Roman" w:ascii="Times New Roman" w:hAnsi="Times New Roman"/>
        </w:rPr>
        <w:t xml:space="preserve">(Hymenoptera: Apidae: Centridini). </w:t>
      </w:r>
      <w:r>
        <w:rPr>
          <w:rFonts w:cs="Times New Roman" w:ascii="Times New Roman" w:hAnsi="Times New Roman"/>
          <w:lang w:val="pt-BR"/>
        </w:rPr>
        <w:t>Journal of Economic Entomology 102, 265-273.</w:t>
      </w:r>
      <w:bookmarkStart w:id="0" w:name="_GoBack"/>
      <w:bookmarkEnd w:id="0"/>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Ramalho, M., Silva, M., 2002. Relaçã</w:t>
      </w:r>
      <w:r>
        <w:rPr>
          <w:rFonts w:cs="Times New Roman" w:ascii="Times New Roman" w:hAnsi="Times New Roman"/>
          <w:lang w:val="it-IT"/>
        </w:rPr>
        <w:t>o Centridini-flora ole</w:t>
      </w:r>
      <w:r>
        <w:rPr>
          <w:rFonts w:cs="Times New Roman" w:ascii="Times New Roman" w:hAnsi="Times New Roman"/>
          <w:lang w:val="pt-PT"/>
        </w:rPr>
        <w:t>í</w:t>
      </w:r>
      <w:r>
        <w:rPr>
          <w:rFonts w:cs="Times New Roman" w:ascii="Times New Roman" w:hAnsi="Times New Roman"/>
          <w:lang w:val="it-IT"/>
        </w:rPr>
        <w:t>fera: influ</w:t>
      </w:r>
      <w:r>
        <w:rPr>
          <w:rFonts w:cs="Times New Roman" w:ascii="Times New Roman" w:hAnsi="Times New Roman"/>
          <w:lang w:val="pt-PT"/>
        </w:rPr>
        <w:t>ência sobre a diversidade em uma comunidade tropical. In: V Encontro sobre Abelhas. Ribeirão Preto, Universidade de São Paulo, Ribeirã</w:t>
      </w:r>
      <w:r>
        <w:rPr>
          <w:rFonts w:cs="Times New Roman" w:ascii="Times New Roman" w:hAnsi="Times New Roman"/>
          <w:lang w:val="pt-BR"/>
        </w:rPr>
        <w:t>o Preto, pp. 122-127.</w:t>
      </w:r>
    </w:p>
    <w:p>
      <w:pPr>
        <w:pStyle w:val="Bibliography1"/>
        <w:spacing w:lineRule="auto" w:line="276" w:before="240" w:after="0"/>
        <w:rPr>
          <w:rFonts w:ascii="Times New Roman" w:hAnsi="Times New Roman" w:cs="Times New Roman"/>
        </w:rPr>
      </w:pPr>
      <w:r>
        <w:rPr>
          <w:rFonts w:cs="Times New Roman" w:ascii="Times New Roman" w:hAnsi="Times New Roman"/>
        </w:rPr>
        <w:t>Rasmussen, C., 1999. Coevolution of the oil bee-</w:t>
      </w:r>
      <w:r>
        <w:rPr>
          <w:rFonts w:cs="Times New Roman" w:ascii="Times New Roman" w:hAnsi="Times New Roman"/>
          <w:i/>
          <w:iCs/>
        </w:rPr>
        <w:t>Calceolaria</w:t>
      </w:r>
      <w:r>
        <w:rPr>
          <w:rFonts w:cs="Times New Roman" w:ascii="Times New Roman" w:hAnsi="Times New Roman"/>
        </w:rPr>
        <w:t xml:space="preserve"> system in the Andes of Peru. Msc theses. University of Århus, Denmark. </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Ribeiro, E.K.M.D., Rêgo, M.M.C., Machado, I.C.S., 2008. </w:t>
      </w:r>
      <w:r>
        <w:rPr>
          <w:rFonts w:cs="Times New Roman" w:ascii="Times New Roman" w:hAnsi="Times New Roman"/>
          <w:lang w:val="pt-PT"/>
        </w:rPr>
        <w:t xml:space="preserve">Cargas polínicas de abelhas polinizadoras de </w:t>
      </w:r>
      <w:r>
        <w:rPr>
          <w:rFonts w:cs="Times New Roman" w:ascii="Times New Roman" w:hAnsi="Times New Roman"/>
          <w:i/>
          <w:iCs/>
          <w:lang w:val="it-IT"/>
        </w:rPr>
        <w:t xml:space="preserve">Byrsonima chrysophylla </w:t>
      </w:r>
      <w:r>
        <w:rPr>
          <w:rFonts w:cs="Times New Roman" w:ascii="Times New Roman" w:hAnsi="Times New Roman"/>
          <w:lang w:val="pt-PT"/>
        </w:rPr>
        <w:t>Kunth. (Malpighiaceae): fidelidade e fontes alternativas de recursos florais. Acta Botanica Brasilica 22, 165-171.</w:t>
      </w:r>
    </w:p>
    <w:p>
      <w:pPr>
        <w:pStyle w:val="Bibliography1"/>
        <w:spacing w:lineRule="auto" w:line="276" w:before="240" w:after="0"/>
        <w:rPr>
          <w:rFonts w:ascii="Times New Roman" w:hAnsi="Times New Roman" w:cs="Times New Roman"/>
          <w:lang w:val="de-DE"/>
        </w:rPr>
      </w:pPr>
      <w:r>
        <w:rPr>
          <w:rFonts w:cs="Times New Roman" w:ascii="Times New Roman" w:hAnsi="Times New Roman"/>
        </w:rPr>
        <w:t xml:space="preserve">Sazima, M., Sazima, I., 1989. Oil-gathering bees visit flowers of eglandular morphs of the oilproducing Malpighiaceae. </w:t>
      </w:r>
      <w:r>
        <w:rPr>
          <w:rFonts w:cs="Times New Roman" w:ascii="Times New Roman" w:hAnsi="Times New Roman"/>
          <w:lang w:val="de-DE"/>
        </w:rPr>
        <w:t>Botanica Acta 102, 106-111.</w:t>
      </w:r>
    </w:p>
    <w:p>
      <w:pPr>
        <w:pStyle w:val="Bibliography1"/>
        <w:spacing w:lineRule="auto" w:line="276" w:before="240" w:after="0"/>
        <w:rPr>
          <w:rFonts w:ascii="Times New Roman" w:hAnsi="Times New Roman" w:cs="Times New Roman"/>
          <w:lang w:val="de-DE"/>
        </w:rPr>
      </w:pPr>
      <w:r>
        <w:rPr>
          <w:rFonts w:cs="Times New Roman" w:ascii="Times New Roman" w:hAnsi="Times New Roman"/>
          <w:lang w:val="de-DE"/>
        </w:rPr>
        <w:t>Schlindwein, C., 1995. Wildbienen und ihre Trachtpflanzen in einer südbrasilianischen Buschlandschaft: Fallstudie Guaritas, Bestäubung bei Kakteen und Loasaceen. Verlag Ulrich E. Grauer, Stuttgart, 148 p.</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de-DE"/>
        </w:rPr>
        <w:t>Schlindwein, C., 2000. A import</w:t>
      </w:r>
      <w:r>
        <w:rPr>
          <w:rFonts w:cs="Times New Roman" w:ascii="Times New Roman" w:hAnsi="Times New Roman"/>
          <w:lang w:val="pt-PT"/>
        </w:rPr>
        <w:t>ância de abelhas especializadas na polinização de plantas nativas e conservação do meio ambiente. In: IV Encontro sobre Abelhas. Universidade de São Paulo, Ribeirã</w:t>
      </w:r>
      <w:r>
        <w:rPr>
          <w:rFonts w:cs="Times New Roman" w:ascii="Times New Roman" w:hAnsi="Times New Roman"/>
          <w:lang w:val="it-IT"/>
        </w:rPr>
        <w:t>o Preto, pp. 131-141.</w:t>
      </w:r>
    </w:p>
    <w:p>
      <w:pPr>
        <w:pStyle w:val="Bibliography1"/>
        <w:spacing w:lineRule="auto" w:line="276" w:before="240" w:after="0"/>
        <w:rPr>
          <w:rFonts w:ascii="Times New Roman" w:hAnsi="Times New Roman" w:cs="Times New Roman"/>
        </w:rPr>
      </w:pPr>
      <w:r>
        <w:rPr>
          <w:rFonts w:cs="Times New Roman" w:ascii="Times New Roman" w:hAnsi="Times New Roman"/>
          <w:lang w:val="de-DE"/>
        </w:rPr>
        <w:t xml:space="preserve">Sigrist, M.R., Sazima, M., 2004. </w:t>
      </w:r>
      <w:r>
        <w:rPr>
          <w:rFonts w:cs="Times New Roman" w:ascii="Times New Roman" w:hAnsi="Times New Roman"/>
        </w:rPr>
        <w:t>Pollination and reproductive biology of twelve species of Neotropical Malpighiaceae: stigma morphology and its implications for the breeding system. Annals of Botany</w:t>
      </w:r>
      <w:r>
        <w:rPr>
          <w:rFonts w:cs="Times New Roman" w:ascii="Times New Roman" w:hAnsi="Times New Roman"/>
          <w:i/>
          <w:iCs/>
        </w:rPr>
        <w:t xml:space="preserve"> </w:t>
      </w:r>
      <w:r>
        <w:rPr>
          <w:rFonts w:cs="Times New Roman" w:ascii="Times New Roman" w:hAnsi="Times New Roman"/>
        </w:rPr>
        <w:t>94, 33–41.</w:t>
      </w:r>
    </w:p>
    <w:p>
      <w:pPr>
        <w:pStyle w:val="Bibliography1"/>
        <w:spacing w:lineRule="auto" w:line="276" w:before="240" w:after="0"/>
        <w:rPr>
          <w:rFonts w:ascii="Times New Roman" w:hAnsi="Times New Roman" w:cs="Times New Roman"/>
        </w:rPr>
      </w:pPr>
      <w:r>
        <w:rPr>
          <w:rFonts w:cs="Times New Roman" w:ascii="Times New Roman" w:hAnsi="Times New Roman"/>
        </w:rPr>
        <w:t xml:space="preserve">Silva, M., &amp; Gimenes, M. (2013). </w:t>
      </w:r>
      <w:r>
        <w:rPr>
          <w:rFonts w:cs="Times New Roman" w:ascii="Times New Roman" w:hAnsi="Times New Roman"/>
          <w:i/>
          <w:iCs/>
        </w:rPr>
        <w:t>Centris aenea</w:t>
      </w:r>
      <w:r>
        <w:rPr>
          <w:rFonts w:cs="Times New Roman" w:ascii="Times New Roman" w:hAnsi="Times New Roman"/>
        </w:rPr>
        <w:t xml:space="preserve">. </w:t>
      </w:r>
      <w:r>
        <w:rPr>
          <w:rFonts w:cs="Times New Roman" w:ascii="Times New Roman" w:hAnsi="Times New Roman"/>
          <w:i/>
          <w:iCs/>
        </w:rPr>
        <w:t>60</w:t>
      </w:r>
      <w:r>
        <w:rPr>
          <w:rFonts w:cs="Times New Roman" w:ascii="Times New Roman" w:hAnsi="Times New Roman"/>
        </w:rPr>
        <w:t>(3), 317–322. https://doi.org/10.13102/sociobiology.v60i3.xxx-xxx</w:t>
      </w:r>
    </w:p>
    <w:p>
      <w:pPr>
        <w:pStyle w:val="Bibliography1"/>
        <w:spacing w:lineRule="auto" w:line="276" w:before="240" w:after="0"/>
        <w:rPr>
          <w:rFonts w:ascii="Times New Roman" w:hAnsi="Times New Roman" w:cs="Times New Roman"/>
        </w:rPr>
      </w:pPr>
      <w:r>
        <w:rPr>
          <w:rFonts w:cs="Times New Roman" w:ascii="Times New Roman" w:hAnsi="Times New Roman"/>
        </w:rPr>
        <w:t>Silvera, K. 2002. Adaptive radiation of oil-reward compounds among neotropical orchid species (Oncidiinae). PhD theses. University of Florida, Florida.</w:t>
      </w:r>
    </w:p>
    <w:p>
      <w:pPr>
        <w:pStyle w:val="Bibliography1"/>
        <w:spacing w:lineRule="auto" w:line="276" w:before="240" w:after="0"/>
        <w:rPr>
          <w:rFonts w:ascii="Times New Roman" w:hAnsi="Times New Roman" w:cs="Times New Roman"/>
        </w:rPr>
      </w:pPr>
      <w:r>
        <w:rPr>
          <w:rFonts w:cs="Times New Roman" w:ascii="Times New Roman" w:hAnsi="Times New Roman"/>
        </w:rPr>
        <w:t xml:space="preserve">Simpson, B.B., Neff, J.L., Seigler, D., 1977. </w:t>
      </w:r>
      <w:r>
        <w:rPr>
          <w:rFonts w:cs="Times New Roman" w:ascii="Times New Roman" w:hAnsi="Times New Roman"/>
          <w:i/>
          <w:iCs/>
        </w:rPr>
        <w:t>Krameria</w:t>
      </w:r>
      <w:r>
        <w:rPr>
          <w:rFonts w:cs="Times New Roman" w:ascii="Times New Roman" w:hAnsi="Times New Roman"/>
        </w:rPr>
        <w:t xml:space="preserve">, free fatty acids and oil-collecting bees. Nature 267, 150-151. </w:t>
      </w:r>
    </w:p>
    <w:p>
      <w:pPr>
        <w:pStyle w:val="Bibliography1"/>
        <w:spacing w:lineRule="auto" w:line="276" w:before="240" w:after="0"/>
        <w:rPr>
          <w:rFonts w:ascii="Times New Roman" w:hAnsi="Times New Roman" w:cs="Times New Roman"/>
        </w:rPr>
      </w:pPr>
      <w:r>
        <w:rPr>
          <w:rFonts w:cs="Times New Roman" w:ascii="Times New Roman" w:hAnsi="Times New Roman"/>
        </w:rPr>
        <w:t>Simpson, B.B., 1989. Krameriaceae. Flora Neotropica 49, 1-109.</w:t>
      </w:r>
    </w:p>
    <w:p>
      <w:pPr>
        <w:pStyle w:val="Bibliography1"/>
        <w:spacing w:lineRule="auto" w:line="276" w:before="240" w:after="0"/>
        <w:rPr>
          <w:rFonts w:ascii="Times New Roman" w:hAnsi="Times New Roman" w:cs="Times New Roman"/>
        </w:rPr>
      </w:pPr>
      <w:r>
        <w:rPr>
          <w:rFonts w:cs="Times New Roman" w:ascii="Times New Roman" w:hAnsi="Times New Roman"/>
        </w:rPr>
        <w:t xml:space="preserve">Simpson, B.B., Neff, J.L., Dieringer, G., 1990, The production of floral oils by </w:t>
      </w:r>
      <w:r>
        <w:rPr>
          <w:rFonts w:cs="Times New Roman" w:ascii="Times New Roman" w:hAnsi="Times New Roman"/>
          <w:i/>
          <w:iCs/>
        </w:rPr>
        <w:t>Monttea</w:t>
      </w:r>
      <w:r>
        <w:rPr>
          <w:rFonts w:cs="Times New Roman" w:ascii="Times New Roman" w:hAnsi="Times New Roman"/>
        </w:rPr>
        <w:t xml:space="preserve"> (Scrophulariaceae) and the function of tarsal pads in </w:t>
      </w:r>
      <w:r>
        <w:rPr>
          <w:rFonts w:cs="Times New Roman" w:ascii="Times New Roman" w:hAnsi="Times New Roman"/>
          <w:i/>
          <w:iCs/>
        </w:rPr>
        <w:t>Centris</w:t>
      </w:r>
      <w:r>
        <w:rPr>
          <w:rFonts w:cs="Times New Roman" w:ascii="Times New Roman" w:hAnsi="Times New Roman"/>
        </w:rPr>
        <w:t xml:space="preserve"> bees. Plant Systematics and Evolution</w:t>
      </w:r>
      <w:r>
        <w:rPr>
          <w:rFonts w:cs="Times New Roman" w:ascii="Times New Roman" w:hAnsi="Times New Roman"/>
          <w:b/>
          <w:bCs/>
          <w:i/>
          <w:iCs/>
        </w:rPr>
        <w:t xml:space="preserve"> </w:t>
      </w:r>
      <w:r>
        <w:rPr>
          <w:rFonts w:cs="Times New Roman" w:ascii="Times New Roman" w:hAnsi="Times New Roman"/>
        </w:rPr>
        <w:t>173, 209-222.</w:t>
      </w:r>
    </w:p>
    <w:p>
      <w:pPr>
        <w:pStyle w:val="Bibliography1"/>
        <w:spacing w:lineRule="auto" w:line="276" w:before="240" w:after="0"/>
        <w:rPr>
          <w:rFonts w:ascii="Times New Roman" w:hAnsi="Times New Roman" w:cs="Times New Roman"/>
          <w:lang w:val="pt-BR"/>
        </w:rPr>
      </w:pPr>
      <w:r>
        <w:rPr>
          <w:rFonts w:cs="Times New Roman" w:ascii="Times New Roman" w:hAnsi="Times New Roman"/>
        </w:rPr>
        <w:t xml:space="preserve">Teixeira, L.A.G., Machado, I.C., 2000. </w:t>
      </w:r>
      <w:r>
        <w:rPr>
          <w:rFonts w:cs="Times New Roman" w:ascii="Times New Roman" w:hAnsi="Times New Roman"/>
          <w:lang w:val="pt-PT"/>
        </w:rPr>
        <w:t xml:space="preserve">Sistema de polinização e reprodução de </w:t>
      </w:r>
      <w:r>
        <w:rPr>
          <w:rFonts w:cs="Times New Roman" w:ascii="Times New Roman" w:hAnsi="Times New Roman"/>
          <w:i/>
          <w:iCs/>
          <w:lang w:val="pt-BR"/>
        </w:rPr>
        <w:t xml:space="preserve">Byrsonima sericea </w:t>
      </w:r>
      <w:r>
        <w:rPr>
          <w:rFonts w:cs="Times New Roman" w:ascii="Times New Roman" w:hAnsi="Times New Roman"/>
          <w:lang w:val="it-IT"/>
        </w:rPr>
        <w:t>DC (Malpighiaceae). Acta Botanica Brasilica 15, 1-12.</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BR"/>
        </w:rPr>
        <w:t xml:space="preserve">Vinson, S.B., Frankie, G.W., Williams, H.J., 1996. </w:t>
      </w:r>
      <w:r>
        <w:rPr>
          <w:rFonts w:cs="Times New Roman" w:ascii="Times New Roman" w:hAnsi="Times New Roman"/>
        </w:rPr>
        <w:t xml:space="preserve">Chemical ecology of bees of the genus </w:t>
      </w:r>
      <w:r>
        <w:rPr>
          <w:rFonts w:cs="Times New Roman" w:ascii="Times New Roman" w:hAnsi="Times New Roman"/>
          <w:i/>
          <w:iCs/>
        </w:rPr>
        <w:t xml:space="preserve">Centris </w:t>
      </w:r>
      <w:r>
        <w:rPr>
          <w:rFonts w:cs="Times New Roman" w:ascii="Times New Roman" w:hAnsi="Times New Roman"/>
        </w:rPr>
        <w:t xml:space="preserve">(Hymenoptera, Apidae). </w:t>
      </w:r>
      <w:r>
        <w:rPr>
          <w:rFonts w:cs="Times New Roman" w:ascii="Times New Roman" w:hAnsi="Times New Roman"/>
          <w:lang w:val="pt-PT"/>
        </w:rPr>
        <w:t>Florida Entomologist 79, 109-129.</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es-ES_tradnl"/>
        </w:rPr>
        <w:t xml:space="preserve">Vivallo, F., Zanella, F.C.V., Toro, H., 2002. Las especies chilenas de </w:t>
      </w:r>
      <w:r>
        <w:rPr>
          <w:rFonts w:cs="Times New Roman" w:ascii="Times New Roman" w:hAnsi="Times New Roman"/>
          <w:i/>
          <w:iCs/>
          <w:lang w:val="it-IT"/>
        </w:rPr>
        <w:t>Centris</w:t>
      </w:r>
      <w:r>
        <w:rPr>
          <w:rFonts w:cs="Times New Roman" w:ascii="Times New Roman" w:hAnsi="Times New Roman"/>
          <w:lang w:val="pt-BR"/>
        </w:rPr>
        <w:t xml:space="preserve"> (</w:t>
      </w:r>
      <w:r>
        <w:rPr>
          <w:rFonts w:cs="Times New Roman" w:ascii="Times New Roman" w:hAnsi="Times New Roman"/>
          <w:i/>
          <w:iCs/>
          <w:lang w:val="pt-BR"/>
        </w:rPr>
        <w:t>Wagenknechtia</w:t>
      </w:r>
      <w:r>
        <w:rPr>
          <w:rFonts w:cs="Times New Roman" w:ascii="Times New Roman" w:hAnsi="Times New Roman"/>
          <w:lang w:val="pt-PT"/>
        </w:rPr>
        <w:t>) Moure, 1950 (Hymenoptera: Apidae). Acta Entomoogica Chilena 26, 59-80.</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es-ES_tradnl"/>
        </w:rPr>
        <w:t xml:space="preserve">Vivallo, F., Zanella, F.C.V., Toro, H., 2003. Las especies chilenas de </w:t>
      </w:r>
      <w:r>
        <w:rPr>
          <w:rFonts w:cs="Times New Roman" w:ascii="Times New Roman" w:hAnsi="Times New Roman"/>
          <w:i/>
          <w:iCs/>
          <w:lang w:val="pt-PT"/>
        </w:rPr>
        <w:t xml:space="preserve">Centris </w:t>
      </w:r>
      <w:r>
        <w:rPr>
          <w:rFonts w:cs="Times New Roman" w:ascii="Times New Roman" w:hAnsi="Times New Roman"/>
          <w:lang w:val="pt-BR"/>
        </w:rPr>
        <w:t>(</w:t>
      </w:r>
      <w:r>
        <w:rPr>
          <w:rFonts w:cs="Times New Roman" w:ascii="Times New Roman" w:hAnsi="Times New Roman"/>
          <w:i/>
          <w:iCs/>
          <w:lang w:val="it-IT"/>
        </w:rPr>
        <w:t>Paracentris</w:t>
      </w:r>
      <w:r>
        <w:rPr>
          <w:rFonts w:cs="Times New Roman" w:ascii="Times New Roman" w:hAnsi="Times New Roman"/>
          <w:lang w:val="es-ES_tradnl"/>
        </w:rPr>
        <w:t xml:space="preserve">) Cameron, 1903 y </w:t>
      </w:r>
      <w:r>
        <w:rPr>
          <w:rFonts w:cs="Times New Roman" w:ascii="Times New Roman" w:hAnsi="Times New Roman"/>
          <w:i/>
          <w:iCs/>
          <w:lang w:val="pt-PT"/>
        </w:rPr>
        <w:t xml:space="preserve">Centris </w:t>
      </w:r>
      <w:r>
        <w:rPr>
          <w:rFonts w:cs="Times New Roman" w:ascii="Times New Roman" w:hAnsi="Times New Roman"/>
          <w:lang w:val="pt-BR"/>
        </w:rPr>
        <w:t>(</w:t>
      </w:r>
      <w:r>
        <w:rPr>
          <w:rFonts w:cs="Times New Roman" w:ascii="Times New Roman" w:hAnsi="Times New Roman"/>
          <w:i/>
          <w:iCs/>
          <w:lang w:val="pt-BR"/>
        </w:rPr>
        <w:t>Penthemisia</w:t>
      </w:r>
      <w:r>
        <w:rPr>
          <w:rFonts w:cs="Times New Roman" w:ascii="Times New Roman" w:hAnsi="Times New Roman"/>
          <w:lang w:val="pt-PT"/>
        </w:rPr>
        <w:t xml:space="preserve">) Moure, 1950 (Hymenoptera: Apidae). In: Melo, G.A.R., Alves-Dos-Santos, I., (Eds.). </w:t>
      </w:r>
      <w:r>
        <w:rPr>
          <w:rFonts w:cs="Times New Roman" w:ascii="Times New Roman" w:hAnsi="Times New Roman"/>
          <w:lang w:val="pt-BR"/>
        </w:rPr>
        <w:t>Apoidea Neotropica</w:t>
      </w:r>
      <w:r>
        <w:rPr>
          <w:rFonts w:cs="Times New Roman" w:ascii="Times New Roman" w:hAnsi="Times New Roman"/>
          <w:i/>
          <w:iCs/>
          <w:lang w:val="pt-BR"/>
        </w:rPr>
        <w:t xml:space="preserve">. </w:t>
      </w:r>
      <w:r>
        <w:rPr>
          <w:rFonts w:cs="Times New Roman" w:ascii="Times New Roman" w:hAnsi="Times New Roman"/>
          <w:lang w:val="pt-BR"/>
        </w:rPr>
        <w:t>UNESC, Criciúma, pp. 77-83.</w:t>
      </w:r>
    </w:p>
    <w:p>
      <w:pPr>
        <w:pStyle w:val="Bibliography1"/>
        <w:spacing w:lineRule="auto" w:line="276" w:before="240" w:after="0"/>
        <w:rPr>
          <w:rFonts w:ascii="Times New Roman" w:hAnsi="Times New Roman" w:cs="Times New Roman"/>
          <w:lang w:val="de-DE"/>
        </w:rPr>
      </w:pPr>
      <w:r>
        <w:rPr>
          <w:rFonts w:cs="Times New Roman" w:ascii="Times New Roman" w:hAnsi="Times New Roman"/>
          <w:lang w:val="it-IT"/>
        </w:rPr>
        <w:t xml:space="preserve">Vivallo, F., Melo, G.A., 2009. </w:t>
      </w:r>
      <w:r>
        <w:rPr>
          <w:rFonts w:cs="Times New Roman" w:ascii="Times New Roman" w:hAnsi="Times New Roman"/>
        </w:rPr>
        <w:t xml:space="preserve">Taxonomy and geographic distribution of the species of </w:t>
      </w:r>
      <w:r>
        <w:rPr>
          <w:rFonts w:cs="Times New Roman" w:ascii="Times New Roman" w:hAnsi="Times New Roman"/>
          <w:i/>
          <w:iCs/>
        </w:rPr>
        <w:t xml:space="preserve">Centris </w:t>
      </w:r>
      <w:r>
        <w:rPr>
          <w:rFonts w:cs="Times New Roman" w:ascii="Times New Roman" w:hAnsi="Times New Roman"/>
        </w:rPr>
        <w:t xml:space="preserve">of the </w:t>
      </w:r>
      <w:r>
        <w:rPr>
          <w:rFonts w:cs="Times New Roman" w:ascii="Times New Roman" w:hAnsi="Times New Roman"/>
          <w:i/>
          <w:iCs/>
        </w:rPr>
        <w:t xml:space="preserve">hyptidis </w:t>
      </w:r>
      <w:r>
        <w:rPr>
          <w:rFonts w:cs="Times New Roman" w:ascii="Times New Roman" w:hAnsi="Times New Roman"/>
        </w:rPr>
        <w:t xml:space="preserve">group (Hymenoptera: Apidae: Centridini), with description of a new species from central Brazil. </w:t>
      </w:r>
      <w:r>
        <w:rPr>
          <w:rFonts w:cs="Times New Roman" w:ascii="Times New Roman" w:hAnsi="Times New Roman"/>
          <w:lang w:val="de-DE"/>
        </w:rPr>
        <w:t>Zootaxa</w:t>
      </w:r>
      <w:r>
        <w:rPr>
          <w:rFonts w:cs="Times New Roman" w:ascii="Times New Roman" w:hAnsi="Times New Roman"/>
          <w:i/>
          <w:iCs/>
          <w:lang w:val="de-DE"/>
        </w:rPr>
        <w:t xml:space="preserve"> </w:t>
      </w:r>
      <w:r>
        <w:rPr>
          <w:rFonts w:cs="Times New Roman" w:ascii="Times New Roman" w:hAnsi="Times New Roman"/>
          <w:lang w:val="de-DE"/>
        </w:rPr>
        <w:t>2075, 33–44.</w:t>
      </w:r>
    </w:p>
    <w:p>
      <w:pPr>
        <w:pStyle w:val="Bibliography1"/>
        <w:spacing w:lineRule="auto" w:line="276" w:before="240" w:after="0"/>
        <w:rPr>
          <w:rFonts w:ascii="Times New Roman" w:hAnsi="Times New Roman" w:cs="Times New Roman"/>
          <w:lang w:val="de-DE"/>
        </w:rPr>
      </w:pPr>
      <w:r>
        <w:rPr>
          <w:rFonts w:cs="Times New Roman" w:ascii="Times New Roman" w:hAnsi="Times New Roman"/>
          <w:lang w:val="de-DE"/>
        </w:rPr>
        <w:t xml:space="preserve">Vogel, S., 1974. Ölblumen und ölsammelnde Bienen. Tropische und Subtropische  flanzenwelt </w:t>
      </w:r>
      <w:r>
        <w:rPr>
          <w:rFonts w:cs="Times New Roman" w:ascii="Times New Roman" w:hAnsi="Times New Roman"/>
          <w:b/>
          <w:bCs/>
          <w:lang w:val="de-DE"/>
        </w:rPr>
        <w:t>7</w:t>
      </w:r>
      <w:r>
        <w:rPr>
          <w:rFonts w:cs="Times New Roman" w:ascii="Times New Roman" w:hAnsi="Times New Roman"/>
          <w:lang w:val="de-DE"/>
        </w:rPr>
        <w:t>, 285-547.</w:t>
      </w:r>
    </w:p>
    <w:p>
      <w:pPr>
        <w:pStyle w:val="Bibliography1"/>
        <w:spacing w:lineRule="auto" w:line="276" w:before="240" w:after="0"/>
        <w:rPr>
          <w:rFonts w:ascii="Times New Roman" w:hAnsi="Times New Roman" w:cs="Times New Roman"/>
          <w:lang w:val="pt-BR"/>
        </w:rPr>
      </w:pPr>
      <w:r>
        <w:rPr>
          <w:rFonts w:cs="Times New Roman" w:ascii="Times New Roman" w:hAnsi="Times New Roman"/>
          <w:lang w:val="pt-PT"/>
        </w:rPr>
        <w:t xml:space="preserve">Vogel, S., Machado, I.C.S., 1991. </w:t>
      </w:r>
      <w:r>
        <w:rPr>
          <w:rFonts w:cs="Times New Roman" w:ascii="Times New Roman" w:hAnsi="Times New Roman"/>
        </w:rPr>
        <w:t xml:space="preserve">Pollination of four sympatric species of </w:t>
      </w:r>
      <w:r>
        <w:rPr>
          <w:rFonts w:cs="Times New Roman" w:ascii="Times New Roman" w:hAnsi="Times New Roman"/>
          <w:i/>
          <w:iCs/>
        </w:rPr>
        <w:t xml:space="preserve">Angelonia </w:t>
      </w:r>
      <w:r>
        <w:rPr>
          <w:rFonts w:cs="Times New Roman" w:ascii="Times New Roman" w:hAnsi="Times New Roman"/>
        </w:rPr>
        <w:t xml:space="preserve">(Scrophulariaceae) by oil-collecting bees in NE Brazil. </w:t>
      </w:r>
      <w:r>
        <w:rPr>
          <w:rFonts w:cs="Times New Roman" w:ascii="Times New Roman" w:hAnsi="Times New Roman"/>
          <w:lang w:val="pt-BR"/>
        </w:rPr>
        <w:t>Plant Systematics and Evolution 178, 153-178.</w:t>
      </w:r>
    </w:p>
    <w:p>
      <w:pPr>
        <w:pStyle w:val="Bibliography1"/>
        <w:spacing w:lineRule="auto" w:line="276" w:before="240" w:after="0"/>
        <w:rPr>
          <w:rFonts w:ascii="Times New Roman" w:hAnsi="Times New Roman" w:cs="Times New Roman"/>
        </w:rPr>
      </w:pPr>
      <w:r>
        <w:rPr>
          <w:rFonts w:cs="Times New Roman" w:ascii="Times New Roman" w:hAnsi="Times New Roman"/>
          <w:color w:val="000000"/>
          <w:lang w:val="it-IT"/>
        </w:rPr>
        <w:t>Zanella, F.C.V., 2002. Sistem</w:t>
      </w:r>
      <w:r>
        <w:rPr>
          <w:rFonts w:cs="Times New Roman" w:ascii="Times New Roman" w:hAnsi="Times New Roman"/>
          <w:color w:val="000000"/>
          <w:lang w:val="pt-PT"/>
        </w:rPr>
        <w:t>á</w:t>
      </w:r>
      <w:r>
        <w:rPr>
          <w:rFonts w:cs="Times New Roman" w:ascii="Times New Roman" w:hAnsi="Times New Roman"/>
          <w:color w:val="000000"/>
          <w:lang w:val="it-IT"/>
        </w:rPr>
        <w:t>tica, filogenia e distribui</w:t>
      </w:r>
      <w:r>
        <w:rPr>
          <w:rFonts w:cs="Times New Roman" w:ascii="Times New Roman" w:hAnsi="Times New Roman"/>
          <w:color w:val="000000"/>
          <w:lang w:val="pt-PT"/>
        </w:rPr>
        <w:t>çã</w:t>
      </w:r>
      <w:r>
        <w:rPr>
          <w:rFonts w:cs="Times New Roman" w:ascii="Times New Roman" w:hAnsi="Times New Roman"/>
          <w:color w:val="000000"/>
          <w:lang w:val="pt-BR"/>
        </w:rPr>
        <w:t>o geogr</w:t>
      </w:r>
      <w:r>
        <w:rPr>
          <w:rFonts w:cs="Times New Roman" w:ascii="Times New Roman" w:hAnsi="Times New Roman"/>
          <w:color w:val="000000"/>
          <w:lang w:val="pt-PT"/>
        </w:rPr>
        <w:t xml:space="preserve">áfica das espécies sul-americanas de </w:t>
      </w:r>
      <w:r>
        <w:rPr>
          <w:rFonts w:cs="Times New Roman" w:ascii="Times New Roman" w:hAnsi="Times New Roman"/>
          <w:i/>
          <w:iCs/>
          <w:color w:val="000000"/>
          <w:lang w:val="pt-PT"/>
        </w:rPr>
        <w:t xml:space="preserve">Centris </w:t>
      </w:r>
      <w:r>
        <w:rPr>
          <w:rFonts w:cs="Times New Roman" w:ascii="Times New Roman" w:hAnsi="Times New Roman"/>
          <w:color w:val="000000"/>
          <w:lang w:val="pt-BR"/>
        </w:rPr>
        <w:t>(</w:t>
      </w:r>
      <w:r>
        <w:rPr>
          <w:rFonts w:cs="Times New Roman" w:ascii="Times New Roman" w:hAnsi="Times New Roman"/>
          <w:i/>
          <w:iCs/>
          <w:color w:val="000000"/>
          <w:lang w:val="it-IT"/>
        </w:rPr>
        <w:t>Paracentris</w:t>
      </w:r>
      <w:r>
        <w:rPr>
          <w:rFonts w:cs="Times New Roman" w:ascii="Times New Roman" w:hAnsi="Times New Roman"/>
          <w:color w:val="000000"/>
          <w:lang w:val="pt-PT"/>
        </w:rPr>
        <w:t xml:space="preserve">) Cameron, 1903 e de </w:t>
      </w:r>
      <w:r>
        <w:rPr>
          <w:rFonts w:cs="Times New Roman" w:ascii="Times New Roman" w:hAnsi="Times New Roman"/>
          <w:i/>
          <w:iCs/>
          <w:color w:val="000000"/>
          <w:lang w:val="pt-PT"/>
        </w:rPr>
        <w:t xml:space="preserve">Centris </w:t>
      </w:r>
      <w:r>
        <w:rPr>
          <w:rFonts w:cs="Times New Roman" w:ascii="Times New Roman" w:hAnsi="Times New Roman"/>
          <w:color w:val="000000"/>
          <w:lang w:val="pt-BR"/>
        </w:rPr>
        <w:t>(</w:t>
      </w:r>
      <w:r>
        <w:rPr>
          <w:rFonts w:cs="Times New Roman" w:ascii="Times New Roman" w:hAnsi="Times New Roman"/>
          <w:i/>
          <w:iCs/>
          <w:color w:val="000000"/>
          <w:lang w:val="pt-BR"/>
        </w:rPr>
        <w:t>Penthemisia</w:t>
      </w:r>
      <w:r>
        <w:rPr>
          <w:rFonts w:cs="Times New Roman" w:ascii="Times New Roman" w:hAnsi="Times New Roman"/>
          <w:color w:val="000000"/>
          <w:lang w:val="pt-PT"/>
        </w:rPr>
        <w:t>) Moure, 1950, incluindo uma aná</w:t>
      </w:r>
      <w:r>
        <w:rPr>
          <w:rFonts w:cs="Times New Roman" w:ascii="Times New Roman" w:hAnsi="Times New Roman"/>
          <w:color w:val="000000"/>
          <w:lang w:val="da-DK"/>
        </w:rPr>
        <w:t>lise filogen</w:t>
      </w:r>
      <w:r>
        <w:rPr>
          <w:rFonts w:cs="Times New Roman" w:ascii="Times New Roman" w:hAnsi="Times New Roman"/>
          <w:color w:val="000000"/>
          <w:lang w:val="pt-PT"/>
        </w:rPr>
        <w:t xml:space="preserve">ética do 'grupo </w:t>
      </w:r>
      <w:r>
        <w:rPr>
          <w:rFonts w:cs="Times New Roman" w:ascii="Times New Roman" w:hAnsi="Times New Roman"/>
          <w:i/>
          <w:iCs/>
          <w:color w:val="000000"/>
          <w:lang w:val="es-ES_tradnl"/>
        </w:rPr>
        <w:t xml:space="preserve">Centris' sensu </w:t>
      </w:r>
      <w:r>
        <w:rPr>
          <w:rFonts w:cs="Times New Roman" w:ascii="Times New Roman" w:hAnsi="Times New Roman"/>
          <w:color w:val="000000"/>
          <w:lang w:val="pt-PT"/>
        </w:rPr>
        <w:t>Ayala, 1998 (Hymenoptera, Apoidea, Centridini). Revista Brasileira de Entomologia 46, 435-488.</w:t>
      </w:r>
    </w:p>
    <w:sectPr>
      <w:footerReference w:type="default" r:id="rId9"/>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 w:name="Calibri">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8599864"/>
    </w:sdtPr>
    <w:sdtContent>
      <w:p>
        <w:pPr>
          <w:pStyle w:val="Footer"/>
          <w:jc w:val="center"/>
          <w:rPr/>
        </w:pPr>
        <w:r>
          <w:rPr/>
          <w:fldChar w:fldCharType="begin"/>
        </w:r>
        <w:r>
          <w:rPr/>
          <w:instrText xml:space="preserve"> PAGE </w:instrText>
        </w:r>
        <w:r>
          <w:rPr/>
          <w:fldChar w:fldCharType="separate"/>
        </w:r>
        <w:r>
          <w:rPr/>
          <w:t>10</w:t>
        </w:r>
        <w:r>
          <w:rPr/>
          <w:fldChar w:fldCharType="end"/>
        </w:r>
      </w:p>
      <w:p>
        <w:pPr>
          <w:pStyle w:val="Footer"/>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1714970"/>
    </w:sdtPr>
    <w:sdtContent>
      <w:p>
        <w:pPr>
          <w:pStyle w:val="Footer"/>
          <w:jc w:val="center"/>
          <w:rPr/>
        </w:pPr>
        <w:r>
          <w:rPr/>
          <w:fldChar w:fldCharType="begin"/>
        </w:r>
        <w:r>
          <w:rPr/>
          <w:instrText xml:space="preserve"> PAGE </w:instrText>
        </w:r>
        <w:r>
          <w:rPr/>
          <w:fldChar w:fldCharType="separate"/>
        </w:r>
        <w:r>
          <w:rPr/>
          <w:t>11</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210826"/>
    </w:sdtPr>
    <w:sdtContent>
      <w:p>
        <w:pPr>
          <w:pStyle w:val="Footer"/>
          <w:jc w:val="center"/>
          <w:rPr/>
        </w:pPr>
        <w:r>
          <w:rPr/>
          <w:fldChar w:fldCharType="begin"/>
        </w:r>
        <w:r>
          <w:rPr/>
          <w:instrText xml:space="preserve"> PAGE </w:instrText>
        </w:r>
        <w:r>
          <w:rPr/>
          <w:fldChar w:fldCharType="separate"/>
        </w:r>
        <w:r>
          <w:rPr/>
          <w:t>18</w:t>
        </w:r>
        <w:r>
          <w:rPr/>
          <w:fldChar w:fldCharType="end"/>
        </w:r>
      </w:p>
      <w:p>
        <w:pPr>
          <w:pStyle w:val="Footer"/>
          <w:rPr/>
        </w:pPr>
        <w:r>
          <w:rPr/>
        </w:r>
      </w:p>
    </w:sdtContent>
  </w:sdt>
</w:ft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LineNumbering" w:customStyle="1">
    <w:name w:val="Line Numbering"/>
    <w:rPr/>
  </w:style>
  <w:style w:type="character" w:styleId="CommentTextChar" w:customStyle="1">
    <w:name w:val="Comment Text Char"/>
    <w:basedOn w:val="DefaultParagraphFont"/>
    <w:link w:val="Annotationtext"/>
    <w:uiPriority w:val="99"/>
    <w:semiHidden/>
    <w:qFormat/>
    <w:rPr>
      <w:rFonts w:cs="Mangal"/>
      <w:sz w:val="20"/>
      <w:szCs w:val="18"/>
    </w:rPr>
  </w:style>
  <w:style w:type="character" w:styleId="Annotationreference">
    <w:name w:val="annotation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sid w:val="007d47bd"/>
    <w:rPr>
      <w:rFonts w:ascii="Tahoma" w:hAnsi="Tahoma" w:cs="Mangal"/>
      <w:sz w:val="16"/>
      <w:szCs w:val="14"/>
    </w:rPr>
  </w:style>
  <w:style w:type="character" w:styleId="CommentSubjectChar" w:customStyle="1">
    <w:name w:val="Comment Subject Char"/>
    <w:basedOn w:val="CommentTextChar"/>
    <w:link w:val="Annotationsubject"/>
    <w:uiPriority w:val="99"/>
    <w:semiHidden/>
    <w:qFormat/>
    <w:rsid w:val="0083089d"/>
    <w:rPr>
      <w:rFonts w:cs="Mangal"/>
      <w:b/>
      <w:bCs/>
      <w:sz w:val="20"/>
      <w:szCs w:val="18"/>
    </w:rPr>
  </w:style>
  <w:style w:type="character" w:styleId="HeaderChar" w:customStyle="1">
    <w:name w:val="Header Char"/>
    <w:basedOn w:val="DefaultParagraphFont"/>
    <w:link w:val="Header"/>
    <w:uiPriority w:val="99"/>
    <w:qFormat/>
    <w:rsid w:val="00ac2613"/>
    <w:rPr>
      <w:rFonts w:cs="Mangal"/>
      <w:szCs w:val="21"/>
    </w:rPr>
  </w:style>
  <w:style w:type="character" w:styleId="FooterChar" w:customStyle="1">
    <w:name w:val="Footer Char"/>
    <w:basedOn w:val="DefaultParagraphFont"/>
    <w:link w:val="Footer"/>
    <w:uiPriority w:val="99"/>
    <w:qFormat/>
    <w:rsid w:val="00ac2613"/>
    <w:rPr>
      <w:rFonts w:cs="Mangal"/>
      <w:szCs w:val="21"/>
    </w:rPr>
  </w:style>
  <w:style w:type="character" w:styleId="InternetLink">
    <w:name w:val="Hyperlink"/>
    <w:rPr>
      <w:color w:val="000080"/>
      <w:u w:val="single"/>
    </w:rPr>
  </w:style>
  <w:style w:type="paragraph" w:styleId="Heading" w:customStyle="1">
    <w:name w:val="Heading"/>
    <w:basedOn w:val="Normal"/>
    <w:next w:val="TextBody"/>
    <w:qFormat/>
    <w:pPr>
      <w:keepNext w:val="true"/>
      <w:spacing w:before="240" w:after="120"/>
    </w:pPr>
    <w:rPr>
      <w:rFonts w:ascii="Liberation Sans" w:hAnsi="Liberation Sans" w:eastAsia="Noto Sans CJK SC"/>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TableContents" w:customStyle="1">
    <w:name w:val="Table Contents"/>
    <w:basedOn w:val="Normal"/>
    <w:qFormat/>
    <w:pPr>
      <w:widowControl w:val="false"/>
      <w:suppressLineNumbers/>
    </w:pPr>
    <w:rPr/>
  </w:style>
  <w:style w:type="paragraph" w:styleId="TableHeading" w:customStyle="1">
    <w:name w:val="Table Heading"/>
    <w:basedOn w:val="TableContents"/>
    <w:qFormat/>
    <w:pPr>
      <w:jc w:val="center"/>
    </w:pPr>
    <w:rPr>
      <w:b/>
      <w:bCs/>
    </w:rPr>
  </w:style>
  <w:style w:type="paragraph" w:styleId="PreformattedText" w:customStyle="1">
    <w:name w:val="Preformatted Text"/>
    <w:basedOn w:val="Normal"/>
    <w:qFormat/>
    <w:pPr/>
    <w:rPr>
      <w:rFonts w:ascii="Liberation Mono" w:hAnsi="Liberation Mono" w:eastAsia="Noto Sans Mono CJK SC" w:cs="Liberation Mono"/>
      <w:sz w:val="20"/>
      <w:szCs w:val="20"/>
    </w:rPr>
  </w:style>
  <w:style w:type="paragraph" w:styleId="Text" w:customStyle="1">
    <w:name w:val="Text"/>
    <w:qFormat/>
    <w:pPr>
      <w:widowControl/>
      <w:suppressAutoHyphens w:val="true"/>
      <w:bidi w:val="0"/>
      <w:spacing w:lineRule="auto" w:line="276" w:before="0" w:after="200"/>
      <w:jc w:val="left"/>
    </w:pPr>
    <w:rPr>
      <w:rFonts w:ascii="Calibri" w:hAnsi="Calibri" w:eastAsia="Calibri" w:cs="Calibri"/>
      <w:color w:val="000000"/>
      <w:kern w:val="0"/>
      <w:sz w:val="22"/>
      <w:szCs w:val="22"/>
      <w:lang w:val="en-US" w:eastAsia="zh-CN" w:bidi="hi-IN"/>
    </w:rPr>
  </w:style>
  <w:style w:type="paragraph" w:styleId="Bibliography1" w:customStyle="1">
    <w:name w:val="Bibliography 1"/>
    <w:basedOn w:val="Index"/>
    <w:qFormat/>
    <w:pPr>
      <w:spacing w:lineRule="atLeast" w:line="480"/>
      <w:ind w:left="720" w:hanging="720"/>
    </w:pPr>
    <w:rPr/>
  </w:style>
  <w:style w:type="paragraph" w:styleId="Annotationtext">
    <w:name w:val="annotation text"/>
    <w:basedOn w:val="Normal"/>
    <w:link w:val="CommentTextChar"/>
    <w:uiPriority w:val="99"/>
    <w:semiHidden/>
    <w:unhideWhenUsed/>
    <w:qFormat/>
    <w:pPr/>
    <w:rPr>
      <w:rFonts w:cs="Mangal"/>
      <w:sz w:val="20"/>
      <w:szCs w:val="18"/>
    </w:rPr>
  </w:style>
  <w:style w:type="paragraph" w:styleId="BalloonText">
    <w:name w:val="Balloon Text"/>
    <w:basedOn w:val="Normal"/>
    <w:link w:val="BalloonTextChar"/>
    <w:uiPriority w:val="99"/>
    <w:semiHidden/>
    <w:unhideWhenUsed/>
    <w:qFormat/>
    <w:rsid w:val="007d47bd"/>
    <w:pPr/>
    <w:rPr>
      <w:rFonts w:ascii="Tahoma" w:hAnsi="Tahoma" w:cs="Mangal"/>
      <w:sz w:val="16"/>
      <w:szCs w:val="14"/>
    </w:rPr>
  </w:style>
  <w:style w:type="paragraph" w:styleId="Annotationsubject">
    <w:name w:val="annotation subject"/>
    <w:basedOn w:val="Annotationtext"/>
    <w:next w:val="Annotationtext"/>
    <w:link w:val="CommentSubjectChar"/>
    <w:uiPriority w:val="99"/>
    <w:semiHidden/>
    <w:unhideWhenUsed/>
    <w:qFormat/>
    <w:rsid w:val="0083089d"/>
    <w:pPr/>
    <w:rPr>
      <w:b/>
      <w:bCs/>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ac2613"/>
    <w:pPr>
      <w:tabs>
        <w:tab w:val="clear" w:pos="709"/>
        <w:tab w:val="center" w:pos="4680" w:leader="none"/>
        <w:tab w:val="right" w:pos="9360" w:leader="none"/>
      </w:tabs>
    </w:pPr>
    <w:rPr>
      <w:rFonts w:cs="Mangal"/>
      <w:szCs w:val="21"/>
    </w:rPr>
  </w:style>
  <w:style w:type="paragraph" w:styleId="Footer">
    <w:name w:val="Footer"/>
    <w:basedOn w:val="Normal"/>
    <w:link w:val="FooterChar"/>
    <w:uiPriority w:val="99"/>
    <w:unhideWhenUsed/>
    <w:rsid w:val="00ac2613"/>
    <w:pPr>
      <w:tabs>
        <w:tab w:val="clear" w:pos="709"/>
        <w:tab w:val="center" w:pos="4680" w:leader="none"/>
        <w:tab w:val="right" w:pos="9360" w:leader="none"/>
      </w:tabs>
    </w:pPr>
    <w:rPr>
      <w:rFonts w:cs="Mangal"/>
      <w:szCs w:val="21"/>
    </w:rPr>
  </w:style>
  <w:style w:type="paragraph" w:styleId="Revision">
    <w:name w:val="Revision"/>
    <w:uiPriority w:val="99"/>
    <w:semiHidden/>
    <w:qFormat/>
    <w:rsid w:val="00546571"/>
    <w:pPr>
      <w:widowControl/>
      <w:suppressAutoHyphens w:val="false"/>
      <w:bidi w:val="0"/>
      <w:spacing w:before="0" w:after="0"/>
      <w:jc w:val="left"/>
    </w:pPr>
    <w:rPr>
      <w:rFonts w:ascii="Liberation Serif" w:hAnsi="Liberation Serif" w:eastAsia="Noto Serif CJK SC" w:cs="Mangal"/>
      <w:color w:val="auto"/>
      <w:kern w:val="2"/>
      <w:sz w:val="24"/>
      <w:szCs w:val="21"/>
      <w:lang w:val="en-US" w:eastAsia="zh-CN" w:bidi="hi-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ousapaulo16@gmail.com" TargetMode="External"/><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image" Target="media/image2.png"/><Relationship Id="rId6" Type="http://schemas.openxmlformats.org/officeDocument/2006/relationships/footer" Target="footer2.xml"/><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83E56-59A3-47BB-87A0-6C90C87EE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Application>LibreOffice/7.3.7.2$Linux_X86_64 LibreOffice_project/30$Build-2</Application>
  <AppVersion>15.0000</AppVersion>
  <Pages>18</Pages>
  <Words>3384</Words>
  <Characters>18755</Characters>
  <CharactersWithSpaces>21214</CharactersWithSpaces>
  <Paragraphs>926</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2025-12-18T18:46:00Z</dcterms:created>
  <dc:creator>Panagiotis Theodorou</dc:creator>
  <dc:description/>
  <dc:language>en-US</dc:language>
  <cp:lastModifiedBy/>
  <dcterms:modified xsi:type="dcterms:W3CDTF">2026-09-14T10:16:25Z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