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C1975" w14:textId="5D138706" w:rsidR="009D00FD" w:rsidRPr="007F28CD" w:rsidRDefault="00000000" w:rsidP="007F28CD">
      <w:pPr>
        <w:pStyle w:val="Heading1"/>
        <w:spacing w:line="360" w:lineRule="auto"/>
        <w:rPr>
          <w:rFonts w:ascii="Times New Roman" w:hAnsi="Times New Roman" w:cs="Times New Roman"/>
          <w:color w:val="auto"/>
        </w:rPr>
      </w:pPr>
      <w:r w:rsidRPr="007F28CD">
        <w:rPr>
          <w:rFonts w:ascii="Times New Roman" w:hAnsi="Times New Roman" w:cs="Times New Roman"/>
          <w:color w:val="auto"/>
        </w:rPr>
        <w:t>Supplementary Information</w:t>
      </w:r>
    </w:p>
    <w:p w14:paraId="4F9FCCAD" w14:textId="77777777" w:rsidR="009D00FD" w:rsidRPr="007F28CD" w:rsidRDefault="00000000" w:rsidP="007F28CD">
      <w:pPr>
        <w:pStyle w:val="Heading2"/>
        <w:spacing w:line="360" w:lineRule="auto"/>
        <w:rPr>
          <w:rFonts w:ascii="Times New Roman" w:hAnsi="Times New Roman" w:cs="Times New Roman"/>
          <w:color w:val="auto"/>
        </w:rPr>
      </w:pPr>
      <w:r w:rsidRPr="007F28CD">
        <w:rPr>
          <w:rFonts w:ascii="Times New Roman" w:hAnsi="Times New Roman" w:cs="Times New Roman"/>
          <w:color w:val="auto"/>
        </w:rPr>
        <w:t>Table S1. Physicochemical properties of synthesized MOFs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9D00FD" w:rsidRPr="007F28CD" w14:paraId="01DBA927" w14:textId="77777777">
        <w:tc>
          <w:tcPr>
            <w:tcW w:w="2880" w:type="dxa"/>
          </w:tcPr>
          <w:p w14:paraId="407BEE87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Property</w:t>
            </w:r>
          </w:p>
        </w:tc>
        <w:tc>
          <w:tcPr>
            <w:tcW w:w="2880" w:type="dxa"/>
          </w:tcPr>
          <w:p w14:paraId="6D7A772C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Cu-BTC</w:t>
            </w:r>
          </w:p>
        </w:tc>
        <w:tc>
          <w:tcPr>
            <w:tcW w:w="2880" w:type="dxa"/>
          </w:tcPr>
          <w:p w14:paraId="0E3AD3CA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MIL-100(Fe)</w:t>
            </w:r>
          </w:p>
        </w:tc>
      </w:tr>
      <w:tr w:rsidR="009D00FD" w:rsidRPr="007F28CD" w14:paraId="44CE1F6F" w14:textId="77777777">
        <w:tc>
          <w:tcPr>
            <w:tcW w:w="2880" w:type="dxa"/>
          </w:tcPr>
          <w:p w14:paraId="62F4FC8E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Yield (%)</w:t>
            </w:r>
          </w:p>
        </w:tc>
        <w:tc>
          <w:tcPr>
            <w:tcW w:w="2880" w:type="dxa"/>
          </w:tcPr>
          <w:p w14:paraId="6B89C70D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58.3 ± 1.2</w:t>
            </w:r>
          </w:p>
        </w:tc>
        <w:tc>
          <w:tcPr>
            <w:tcW w:w="2880" w:type="dxa"/>
          </w:tcPr>
          <w:p w14:paraId="1FA62B0C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74.9 ± 1.6</w:t>
            </w:r>
          </w:p>
        </w:tc>
      </w:tr>
      <w:tr w:rsidR="009D00FD" w:rsidRPr="007F28CD" w14:paraId="45CA505C" w14:textId="77777777">
        <w:tc>
          <w:tcPr>
            <w:tcW w:w="2880" w:type="dxa"/>
          </w:tcPr>
          <w:p w14:paraId="3298C861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Particle size (nm)</w:t>
            </w:r>
          </w:p>
        </w:tc>
        <w:tc>
          <w:tcPr>
            <w:tcW w:w="2880" w:type="dxa"/>
          </w:tcPr>
          <w:p w14:paraId="2A4C1006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70.4 ± 3.1</w:t>
            </w:r>
          </w:p>
        </w:tc>
        <w:tc>
          <w:tcPr>
            <w:tcW w:w="2880" w:type="dxa"/>
          </w:tcPr>
          <w:p w14:paraId="430F8767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89.6 ± 4.0</w:t>
            </w:r>
          </w:p>
        </w:tc>
      </w:tr>
      <w:tr w:rsidR="009D00FD" w:rsidRPr="007F28CD" w14:paraId="0300C744" w14:textId="77777777">
        <w:tc>
          <w:tcPr>
            <w:tcW w:w="2880" w:type="dxa"/>
          </w:tcPr>
          <w:p w14:paraId="7D79C05F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Zeta potential (mV)</w:t>
            </w:r>
          </w:p>
        </w:tc>
        <w:tc>
          <w:tcPr>
            <w:tcW w:w="2880" w:type="dxa"/>
          </w:tcPr>
          <w:p w14:paraId="42D5EC61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-45.2 ± 1.3</w:t>
            </w:r>
          </w:p>
        </w:tc>
        <w:tc>
          <w:tcPr>
            <w:tcW w:w="2880" w:type="dxa"/>
          </w:tcPr>
          <w:p w14:paraId="23DA266C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-38.4 ± 1.6</w:t>
            </w:r>
          </w:p>
        </w:tc>
      </w:tr>
    </w:tbl>
    <w:p w14:paraId="4FE940DC" w14:textId="77777777" w:rsidR="009D00FD" w:rsidRPr="007F28CD" w:rsidRDefault="00000000" w:rsidP="007F28CD">
      <w:pPr>
        <w:pStyle w:val="Heading2"/>
        <w:spacing w:line="360" w:lineRule="auto"/>
        <w:rPr>
          <w:rFonts w:ascii="Times New Roman" w:hAnsi="Times New Roman" w:cs="Times New Roman"/>
          <w:color w:val="auto"/>
        </w:rPr>
      </w:pPr>
      <w:r w:rsidRPr="007F28CD">
        <w:rPr>
          <w:rFonts w:ascii="Times New Roman" w:hAnsi="Times New Roman" w:cs="Times New Roman"/>
          <w:color w:val="auto"/>
        </w:rPr>
        <w:t>Table S2. Example calibration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7"/>
        <w:gridCol w:w="2159"/>
        <w:gridCol w:w="2157"/>
        <w:gridCol w:w="2157"/>
      </w:tblGrid>
      <w:tr w:rsidR="009D00FD" w:rsidRPr="007F28CD" w14:paraId="08F326A2" w14:textId="77777777">
        <w:tc>
          <w:tcPr>
            <w:tcW w:w="2160" w:type="dxa"/>
          </w:tcPr>
          <w:p w14:paraId="426A2ADD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Drug</w:t>
            </w:r>
          </w:p>
        </w:tc>
        <w:tc>
          <w:tcPr>
            <w:tcW w:w="2160" w:type="dxa"/>
          </w:tcPr>
          <w:p w14:paraId="7DFB4330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Equation</w:t>
            </w:r>
          </w:p>
        </w:tc>
        <w:tc>
          <w:tcPr>
            <w:tcW w:w="2160" w:type="dxa"/>
          </w:tcPr>
          <w:p w14:paraId="2B4D7FA6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R²</w:t>
            </w:r>
          </w:p>
        </w:tc>
        <w:tc>
          <w:tcPr>
            <w:tcW w:w="2160" w:type="dxa"/>
          </w:tcPr>
          <w:p w14:paraId="5726DCD8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LOD (µg/mL)</w:t>
            </w:r>
          </w:p>
        </w:tc>
      </w:tr>
      <w:tr w:rsidR="009D00FD" w:rsidRPr="007F28CD" w14:paraId="3632B064" w14:textId="77777777">
        <w:tc>
          <w:tcPr>
            <w:tcW w:w="2160" w:type="dxa"/>
          </w:tcPr>
          <w:p w14:paraId="731DD85C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IBU</w:t>
            </w:r>
          </w:p>
        </w:tc>
        <w:tc>
          <w:tcPr>
            <w:tcW w:w="2160" w:type="dxa"/>
          </w:tcPr>
          <w:p w14:paraId="5B023483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y=0.0102x+0.004</w:t>
            </w:r>
          </w:p>
        </w:tc>
        <w:tc>
          <w:tcPr>
            <w:tcW w:w="2160" w:type="dxa"/>
          </w:tcPr>
          <w:p w14:paraId="7EA55F6D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0.9992</w:t>
            </w:r>
          </w:p>
        </w:tc>
        <w:tc>
          <w:tcPr>
            <w:tcW w:w="2160" w:type="dxa"/>
          </w:tcPr>
          <w:p w14:paraId="294AD0A2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1.2</w:t>
            </w:r>
          </w:p>
        </w:tc>
      </w:tr>
      <w:tr w:rsidR="009D00FD" w:rsidRPr="007F28CD" w14:paraId="2BC0793E" w14:textId="77777777">
        <w:tc>
          <w:tcPr>
            <w:tcW w:w="2160" w:type="dxa"/>
          </w:tcPr>
          <w:p w14:paraId="51A5C87D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CIP</w:t>
            </w:r>
          </w:p>
        </w:tc>
        <w:tc>
          <w:tcPr>
            <w:tcW w:w="2160" w:type="dxa"/>
          </w:tcPr>
          <w:p w14:paraId="60094D48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y=0.0145x+0.003</w:t>
            </w:r>
          </w:p>
        </w:tc>
        <w:tc>
          <w:tcPr>
            <w:tcW w:w="2160" w:type="dxa"/>
          </w:tcPr>
          <w:p w14:paraId="5FE6B63F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0.9996</w:t>
            </w:r>
          </w:p>
        </w:tc>
        <w:tc>
          <w:tcPr>
            <w:tcW w:w="2160" w:type="dxa"/>
          </w:tcPr>
          <w:p w14:paraId="30EA68BA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0.8</w:t>
            </w:r>
          </w:p>
        </w:tc>
      </w:tr>
      <w:tr w:rsidR="009D00FD" w:rsidRPr="007F28CD" w14:paraId="08734249" w14:textId="77777777">
        <w:tc>
          <w:tcPr>
            <w:tcW w:w="2160" w:type="dxa"/>
          </w:tcPr>
          <w:p w14:paraId="11F818EB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PARA</w:t>
            </w:r>
          </w:p>
        </w:tc>
        <w:tc>
          <w:tcPr>
            <w:tcW w:w="2160" w:type="dxa"/>
          </w:tcPr>
          <w:p w14:paraId="75E0973B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y=0.0088x+0.002</w:t>
            </w:r>
          </w:p>
        </w:tc>
        <w:tc>
          <w:tcPr>
            <w:tcW w:w="2160" w:type="dxa"/>
          </w:tcPr>
          <w:p w14:paraId="4416A48D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0.9989</w:t>
            </w:r>
          </w:p>
        </w:tc>
        <w:tc>
          <w:tcPr>
            <w:tcW w:w="2160" w:type="dxa"/>
          </w:tcPr>
          <w:p w14:paraId="33B38147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1.5</w:t>
            </w:r>
          </w:p>
        </w:tc>
      </w:tr>
    </w:tbl>
    <w:p w14:paraId="48C2948E" w14:textId="77777777" w:rsidR="009D00FD" w:rsidRPr="007F28CD" w:rsidRDefault="00000000" w:rsidP="007F28CD">
      <w:pPr>
        <w:pStyle w:val="Heading2"/>
        <w:spacing w:line="360" w:lineRule="auto"/>
        <w:rPr>
          <w:rFonts w:ascii="Times New Roman" w:hAnsi="Times New Roman" w:cs="Times New Roman"/>
          <w:color w:val="auto"/>
        </w:rPr>
      </w:pPr>
      <w:r w:rsidRPr="007F28CD">
        <w:rPr>
          <w:rFonts w:ascii="Times New Roman" w:hAnsi="Times New Roman" w:cs="Times New Roman"/>
          <w:color w:val="auto"/>
        </w:rPr>
        <w:t>Table S3. Example Entrapment Efficiency (n=3)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5"/>
        <w:gridCol w:w="1726"/>
        <w:gridCol w:w="1727"/>
        <w:gridCol w:w="1726"/>
        <w:gridCol w:w="1726"/>
      </w:tblGrid>
      <w:tr w:rsidR="009D00FD" w:rsidRPr="007F28CD" w14:paraId="1FC462E4" w14:textId="77777777">
        <w:tc>
          <w:tcPr>
            <w:tcW w:w="1728" w:type="dxa"/>
          </w:tcPr>
          <w:p w14:paraId="6BC9E19A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Drug</w:t>
            </w:r>
          </w:p>
        </w:tc>
        <w:tc>
          <w:tcPr>
            <w:tcW w:w="1728" w:type="dxa"/>
          </w:tcPr>
          <w:p w14:paraId="3AE0BEDE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MOF</w:t>
            </w:r>
          </w:p>
        </w:tc>
        <w:tc>
          <w:tcPr>
            <w:tcW w:w="1728" w:type="dxa"/>
          </w:tcPr>
          <w:p w14:paraId="5B07101B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Condition</w:t>
            </w:r>
          </w:p>
        </w:tc>
        <w:tc>
          <w:tcPr>
            <w:tcW w:w="1728" w:type="dxa"/>
          </w:tcPr>
          <w:p w14:paraId="3901C442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EE (%)</w:t>
            </w:r>
          </w:p>
        </w:tc>
        <w:tc>
          <w:tcPr>
            <w:tcW w:w="1728" w:type="dxa"/>
          </w:tcPr>
          <w:p w14:paraId="13D2F9C3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Mean ± SD</w:t>
            </w:r>
          </w:p>
        </w:tc>
      </w:tr>
      <w:tr w:rsidR="009D00FD" w:rsidRPr="007F28CD" w14:paraId="77218649" w14:textId="77777777">
        <w:tc>
          <w:tcPr>
            <w:tcW w:w="1728" w:type="dxa"/>
          </w:tcPr>
          <w:p w14:paraId="4C128F62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IBU</w:t>
            </w:r>
          </w:p>
        </w:tc>
        <w:tc>
          <w:tcPr>
            <w:tcW w:w="1728" w:type="dxa"/>
          </w:tcPr>
          <w:p w14:paraId="7F13722C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Cu-BTC</w:t>
            </w:r>
          </w:p>
        </w:tc>
        <w:tc>
          <w:tcPr>
            <w:tcW w:w="1728" w:type="dxa"/>
          </w:tcPr>
          <w:p w14:paraId="280FFE71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ACN</w:t>
            </w:r>
          </w:p>
        </w:tc>
        <w:tc>
          <w:tcPr>
            <w:tcW w:w="1728" w:type="dxa"/>
          </w:tcPr>
          <w:p w14:paraId="08A103A7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99.1</w:t>
            </w:r>
          </w:p>
        </w:tc>
        <w:tc>
          <w:tcPr>
            <w:tcW w:w="1728" w:type="dxa"/>
          </w:tcPr>
          <w:p w14:paraId="2415E5E7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99.1 ± 0.7</w:t>
            </w:r>
          </w:p>
        </w:tc>
      </w:tr>
      <w:tr w:rsidR="009D00FD" w:rsidRPr="007F28CD" w14:paraId="4FFC8AE1" w14:textId="77777777">
        <w:tc>
          <w:tcPr>
            <w:tcW w:w="1728" w:type="dxa"/>
          </w:tcPr>
          <w:p w14:paraId="5C29A7A3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IBU</w:t>
            </w:r>
          </w:p>
        </w:tc>
        <w:tc>
          <w:tcPr>
            <w:tcW w:w="1728" w:type="dxa"/>
          </w:tcPr>
          <w:p w14:paraId="451101A4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MIL-100</w:t>
            </w:r>
          </w:p>
        </w:tc>
        <w:tc>
          <w:tcPr>
            <w:tcW w:w="1728" w:type="dxa"/>
          </w:tcPr>
          <w:p w14:paraId="3878B9DC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ACN</w:t>
            </w:r>
          </w:p>
        </w:tc>
        <w:tc>
          <w:tcPr>
            <w:tcW w:w="1728" w:type="dxa"/>
          </w:tcPr>
          <w:p w14:paraId="0A7EF921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728" w:type="dxa"/>
          </w:tcPr>
          <w:p w14:paraId="4428100D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100.0 ± 0.0</w:t>
            </w:r>
          </w:p>
        </w:tc>
      </w:tr>
      <w:tr w:rsidR="009D00FD" w:rsidRPr="007F28CD" w14:paraId="5A623952" w14:textId="77777777">
        <w:tc>
          <w:tcPr>
            <w:tcW w:w="1728" w:type="dxa"/>
          </w:tcPr>
          <w:p w14:paraId="2668B082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CIP</w:t>
            </w:r>
          </w:p>
        </w:tc>
        <w:tc>
          <w:tcPr>
            <w:tcW w:w="1728" w:type="dxa"/>
          </w:tcPr>
          <w:p w14:paraId="19482BBE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Cu-BTC</w:t>
            </w:r>
          </w:p>
        </w:tc>
        <w:tc>
          <w:tcPr>
            <w:tcW w:w="1728" w:type="dxa"/>
          </w:tcPr>
          <w:p w14:paraId="00C2DA90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pH5</w:t>
            </w:r>
          </w:p>
        </w:tc>
        <w:tc>
          <w:tcPr>
            <w:tcW w:w="1728" w:type="dxa"/>
          </w:tcPr>
          <w:p w14:paraId="4E47852D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82.6</w:t>
            </w:r>
          </w:p>
        </w:tc>
        <w:tc>
          <w:tcPr>
            <w:tcW w:w="1728" w:type="dxa"/>
          </w:tcPr>
          <w:p w14:paraId="28CCF866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82.6 ± 1.1</w:t>
            </w:r>
          </w:p>
        </w:tc>
      </w:tr>
      <w:tr w:rsidR="009D00FD" w:rsidRPr="007F28CD" w14:paraId="4B8A155D" w14:textId="77777777">
        <w:tc>
          <w:tcPr>
            <w:tcW w:w="1728" w:type="dxa"/>
          </w:tcPr>
          <w:p w14:paraId="053DD795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CIP</w:t>
            </w:r>
          </w:p>
        </w:tc>
        <w:tc>
          <w:tcPr>
            <w:tcW w:w="1728" w:type="dxa"/>
          </w:tcPr>
          <w:p w14:paraId="30842BF9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MIL-100</w:t>
            </w:r>
          </w:p>
        </w:tc>
        <w:tc>
          <w:tcPr>
            <w:tcW w:w="1728" w:type="dxa"/>
          </w:tcPr>
          <w:p w14:paraId="5997B5D0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pH7</w:t>
            </w:r>
          </w:p>
        </w:tc>
        <w:tc>
          <w:tcPr>
            <w:tcW w:w="1728" w:type="dxa"/>
          </w:tcPr>
          <w:p w14:paraId="2C26DBE8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81.8</w:t>
            </w:r>
          </w:p>
        </w:tc>
        <w:tc>
          <w:tcPr>
            <w:tcW w:w="1728" w:type="dxa"/>
          </w:tcPr>
          <w:p w14:paraId="69CF29F9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81.8 ± 0.9</w:t>
            </w:r>
          </w:p>
        </w:tc>
      </w:tr>
      <w:tr w:rsidR="009D00FD" w:rsidRPr="007F28CD" w14:paraId="2CC9132E" w14:textId="77777777">
        <w:tc>
          <w:tcPr>
            <w:tcW w:w="1728" w:type="dxa"/>
          </w:tcPr>
          <w:p w14:paraId="0B627DCF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PARA</w:t>
            </w:r>
          </w:p>
        </w:tc>
        <w:tc>
          <w:tcPr>
            <w:tcW w:w="1728" w:type="dxa"/>
          </w:tcPr>
          <w:p w14:paraId="5C812CB0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Cu-BTC</w:t>
            </w:r>
          </w:p>
        </w:tc>
        <w:tc>
          <w:tcPr>
            <w:tcW w:w="1728" w:type="dxa"/>
          </w:tcPr>
          <w:p w14:paraId="629C4882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pH5</w:t>
            </w:r>
          </w:p>
        </w:tc>
        <w:tc>
          <w:tcPr>
            <w:tcW w:w="1728" w:type="dxa"/>
          </w:tcPr>
          <w:p w14:paraId="209684A3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89.3</w:t>
            </w:r>
          </w:p>
        </w:tc>
        <w:tc>
          <w:tcPr>
            <w:tcW w:w="1728" w:type="dxa"/>
          </w:tcPr>
          <w:p w14:paraId="496B19C9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89.3 ± 1.8</w:t>
            </w:r>
          </w:p>
        </w:tc>
      </w:tr>
      <w:tr w:rsidR="009D00FD" w:rsidRPr="007F28CD" w14:paraId="0CCB2D71" w14:textId="77777777">
        <w:tc>
          <w:tcPr>
            <w:tcW w:w="1728" w:type="dxa"/>
          </w:tcPr>
          <w:p w14:paraId="38F1996A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PARA</w:t>
            </w:r>
          </w:p>
        </w:tc>
        <w:tc>
          <w:tcPr>
            <w:tcW w:w="1728" w:type="dxa"/>
          </w:tcPr>
          <w:p w14:paraId="279738D9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MIL-100</w:t>
            </w:r>
          </w:p>
        </w:tc>
        <w:tc>
          <w:tcPr>
            <w:tcW w:w="1728" w:type="dxa"/>
          </w:tcPr>
          <w:p w14:paraId="6F6C9F4A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pH7</w:t>
            </w:r>
          </w:p>
        </w:tc>
        <w:tc>
          <w:tcPr>
            <w:tcW w:w="1728" w:type="dxa"/>
          </w:tcPr>
          <w:p w14:paraId="3527DE82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84.7</w:t>
            </w:r>
          </w:p>
        </w:tc>
        <w:tc>
          <w:tcPr>
            <w:tcW w:w="1728" w:type="dxa"/>
          </w:tcPr>
          <w:p w14:paraId="558FE82F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84.7 ± 2.1</w:t>
            </w:r>
          </w:p>
        </w:tc>
      </w:tr>
    </w:tbl>
    <w:p w14:paraId="699AFDC6" w14:textId="77777777" w:rsidR="009D00FD" w:rsidRPr="007F28CD" w:rsidRDefault="00000000" w:rsidP="007F28CD">
      <w:pPr>
        <w:pStyle w:val="Heading2"/>
        <w:spacing w:line="360" w:lineRule="auto"/>
        <w:rPr>
          <w:rFonts w:ascii="Times New Roman" w:hAnsi="Times New Roman" w:cs="Times New Roman"/>
          <w:color w:val="auto"/>
        </w:rPr>
      </w:pPr>
      <w:r w:rsidRPr="007F28CD">
        <w:rPr>
          <w:rFonts w:ascii="Times New Roman" w:hAnsi="Times New Roman" w:cs="Times New Roman"/>
          <w:color w:val="auto"/>
        </w:rPr>
        <w:t>Table S4. Example kinetic parameters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7"/>
        <w:gridCol w:w="1725"/>
        <w:gridCol w:w="1726"/>
        <w:gridCol w:w="1725"/>
        <w:gridCol w:w="1727"/>
      </w:tblGrid>
      <w:tr w:rsidR="009D00FD" w:rsidRPr="007F28CD" w14:paraId="19313445" w14:textId="77777777">
        <w:tc>
          <w:tcPr>
            <w:tcW w:w="1728" w:type="dxa"/>
          </w:tcPr>
          <w:p w14:paraId="7A0677D5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System</w:t>
            </w:r>
          </w:p>
        </w:tc>
        <w:tc>
          <w:tcPr>
            <w:tcW w:w="1728" w:type="dxa"/>
          </w:tcPr>
          <w:p w14:paraId="65301D96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728" w:type="dxa"/>
          </w:tcPr>
          <w:p w14:paraId="01EC0366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Rate constant</w:t>
            </w:r>
          </w:p>
        </w:tc>
        <w:tc>
          <w:tcPr>
            <w:tcW w:w="1728" w:type="dxa"/>
          </w:tcPr>
          <w:p w14:paraId="564B15DA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R²</w:t>
            </w:r>
          </w:p>
        </w:tc>
        <w:tc>
          <w:tcPr>
            <w:tcW w:w="1728" w:type="dxa"/>
          </w:tcPr>
          <w:p w14:paraId="19923613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Interpretation</w:t>
            </w:r>
          </w:p>
        </w:tc>
      </w:tr>
      <w:tr w:rsidR="009D00FD" w:rsidRPr="007F28CD" w14:paraId="5B271041" w14:textId="77777777">
        <w:tc>
          <w:tcPr>
            <w:tcW w:w="1728" w:type="dxa"/>
          </w:tcPr>
          <w:p w14:paraId="0FAF0BD8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IBU/Cu-BTC</w:t>
            </w:r>
          </w:p>
        </w:tc>
        <w:tc>
          <w:tcPr>
            <w:tcW w:w="1728" w:type="dxa"/>
          </w:tcPr>
          <w:p w14:paraId="4966099A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PSO</w:t>
            </w:r>
          </w:p>
        </w:tc>
        <w:tc>
          <w:tcPr>
            <w:tcW w:w="1728" w:type="dxa"/>
          </w:tcPr>
          <w:p w14:paraId="6A8B3242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1728" w:type="dxa"/>
          </w:tcPr>
          <w:p w14:paraId="7913FB98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0.997</w:t>
            </w:r>
          </w:p>
        </w:tc>
        <w:tc>
          <w:tcPr>
            <w:tcW w:w="1728" w:type="dxa"/>
          </w:tcPr>
          <w:p w14:paraId="0EA7EC75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Chemisorption</w:t>
            </w:r>
          </w:p>
        </w:tc>
      </w:tr>
      <w:tr w:rsidR="009D00FD" w:rsidRPr="007F28CD" w14:paraId="5BC761CD" w14:textId="77777777">
        <w:tc>
          <w:tcPr>
            <w:tcW w:w="1728" w:type="dxa"/>
          </w:tcPr>
          <w:p w14:paraId="04A77FF5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IBU/MIL-100</w:t>
            </w:r>
          </w:p>
        </w:tc>
        <w:tc>
          <w:tcPr>
            <w:tcW w:w="1728" w:type="dxa"/>
          </w:tcPr>
          <w:p w14:paraId="28E49486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PSO</w:t>
            </w:r>
          </w:p>
        </w:tc>
        <w:tc>
          <w:tcPr>
            <w:tcW w:w="1728" w:type="dxa"/>
          </w:tcPr>
          <w:p w14:paraId="6422AD32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1728" w:type="dxa"/>
          </w:tcPr>
          <w:p w14:paraId="215B532C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0.999</w:t>
            </w:r>
          </w:p>
        </w:tc>
        <w:tc>
          <w:tcPr>
            <w:tcW w:w="1728" w:type="dxa"/>
          </w:tcPr>
          <w:p w14:paraId="47928A10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Chemisorption</w:t>
            </w:r>
          </w:p>
        </w:tc>
      </w:tr>
      <w:tr w:rsidR="009D00FD" w:rsidRPr="007F28CD" w14:paraId="678FC1DC" w14:textId="77777777">
        <w:tc>
          <w:tcPr>
            <w:tcW w:w="1728" w:type="dxa"/>
          </w:tcPr>
          <w:p w14:paraId="0AFFD516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CIP/Cu-BTC</w:t>
            </w:r>
          </w:p>
        </w:tc>
        <w:tc>
          <w:tcPr>
            <w:tcW w:w="1728" w:type="dxa"/>
          </w:tcPr>
          <w:p w14:paraId="139E57C7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PSO</w:t>
            </w:r>
          </w:p>
        </w:tc>
        <w:tc>
          <w:tcPr>
            <w:tcW w:w="1728" w:type="dxa"/>
          </w:tcPr>
          <w:p w14:paraId="3C9A3C45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0.034</w:t>
            </w:r>
          </w:p>
        </w:tc>
        <w:tc>
          <w:tcPr>
            <w:tcW w:w="1728" w:type="dxa"/>
          </w:tcPr>
          <w:p w14:paraId="0406E7C8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728" w:type="dxa"/>
          </w:tcPr>
          <w:p w14:paraId="17F6866D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Chemisorption</w:t>
            </w:r>
          </w:p>
        </w:tc>
      </w:tr>
      <w:tr w:rsidR="009D00FD" w:rsidRPr="007F28CD" w14:paraId="0A266F7F" w14:textId="77777777">
        <w:tc>
          <w:tcPr>
            <w:tcW w:w="1728" w:type="dxa"/>
          </w:tcPr>
          <w:p w14:paraId="110D12F4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PARA/Cu-BTC</w:t>
            </w:r>
          </w:p>
        </w:tc>
        <w:tc>
          <w:tcPr>
            <w:tcW w:w="1728" w:type="dxa"/>
          </w:tcPr>
          <w:p w14:paraId="3D9CE20C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PSO</w:t>
            </w:r>
          </w:p>
        </w:tc>
        <w:tc>
          <w:tcPr>
            <w:tcW w:w="1728" w:type="dxa"/>
          </w:tcPr>
          <w:p w14:paraId="4698C42B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1728" w:type="dxa"/>
          </w:tcPr>
          <w:p w14:paraId="6DAA8F58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1728" w:type="dxa"/>
          </w:tcPr>
          <w:p w14:paraId="434A081F" w14:textId="77777777" w:rsidR="009D00FD" w:rsidRPr="007F28CD" w:rsidRDefault="00000000" w:rsidP="007F28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28CD">
              <w:rPr>
                <w:rFonts w:ascii="Times New Roman" w:hAnsi="Times New Roman" w:cs="Times New Roman"/>
              </w:rPr>
              <w:t>Hydrogen bonding</w:t>
            </w:r>
          </w:p>
        </w:tc>
      </w:tr>
    </w:tbl>
    <w:p w14:paraId="46C31BE1" w14:textId="4611594F" w:rsidR="00AB1B27" w:rsidRPr="00AB1B27" w:rsidRDefault="00000000" w:rsidP="00AB1B27">
      <w:pPr>
        <w:pStyle w:val="Heading2"/>
        <w:spacing w:line="360" w:lineRule="auto"/>
        <w:rPr>
          <w:rFonts w:ascii="Times New Roman" w:hAnsi="Times New Roman" w:cs="Times New Roman"/>
          <w:color w:val="auto"/>
        </w:rPr>
      </w:pPr>
      <w:r w:rsidRPr="008759F2">
        <w:rPr>
          <w:rFonts w:ascii="Times New Roman" w:hAnsi="Times New Roman" w:cs="Times New Roman"/>
          <w:color w:val="auto"/>
        </w:rPr>
        <w:lastRenderedPageBreak/>
        <w:t>Placeholder Figures</w:t>
      </w:r>
    </w:p>
    <w:p w14:paraId="23CC96B2" w14:textId="384CBB2D" w:rsidR="009D00FD" w:rsidRDefault="00457A64" w:rsidP="00AB1B27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A729F86" wp14:editId="6854CA5B">
            <wp:extent cx="6840000" cy="3816625"/>
            <wp:effectExtent l="0" t="0" r="0" b="0"/>
            <wp:docPr id="12853691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369176" name="Picture 128536917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381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C0BFC" w14:textId="77777777" w:rsidR="00AB1B27" w:rsidRPr="008759F2" w:rsidRDefault="00AB1B27" w:rsidP="00AB1B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B27"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 w:rsidRPr="008759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Room temperature synthesis protocol for Cu-BTC and MIL-100.</w:t>
      </w:r>
    </w:p>
    <w:p w14:paraId="15A6D0C3" w14:textId="3BA384DC" w:rsidR="00AB1B27" w:rsidRDefault="00AB1B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0D31085" w14:textId="77777777" w:rsidR="00AB1B27" w:rsidRDefault="00AB1B27" w:rsidP="00AB1B27">
      <w:pPr>
        <w:spacing w:line="360" w:lineRule="auto"/>
        <w:ind w:left="-851"/>
        <w:rPr>
          <w:rFonts w:ascii="Times New Roman" w:hAnsi="Times New Roman" w:cs="Times New Roman"/>
        </w:rPr>
      </w:pPr>
    </w:p>
    <w:p w14:paraId="0B2CB25C" w14:textId="486549F5" w:rsidR="00AB1B27" w:rsidRDefault="00AB1B27" w:rsidP="00AB1B27">
      <w:pPr>
        <w:spacing w:line="360" w:lineRule="auto"/>
        <w:ind w:left="-851"/>
        <w:jc w:val="center"/>
        <w:rPr>
          <w:rFonts w:ascii="Times New Roman" w:hAnsi="Times New Roman" w:cs="Times New Roman"/>
        </w:rPr>
      </w:pPr>
      <w:r w:rsidRPr="00620ABC">
        <w:rPr>
          <w:noProof/>
        </w:rPr>
        <w:drawing>
          <wp:inline distT="114300" distB="114300" distL="114300" distR="114300" wp14:anchorId="2E77CA2D" wp14:editId="082F8347">
            <wp:extent cx="5608320" cy="3512820"/>
            <wp:effectExtent l="0" t="0" r="0" b="0"/>
            <wp:docPr id="10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.png"/>
                    <pic:cNvPicPr preferRelativeResize="0"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8375" cy="35128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4B9658" w14:textId="77777777" w:rsidR="00AB1B27" w:rsidRPr="00AB1B27" w:rsidRDefault="00AB1B27" w:rsidP="00AB1B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B27">
        <w:rPr>
          <w:rFonts w:ascii="Times New Roman" w:hAnsi="Times New Roman" w:cs="Times New Roman"/>
          <w:b/>
          <w:bCs/>
          <w:sz w:val="24"/>
          <w:szCs w:val="24"/>
        </w:rPr>
        <w:t xml:space="preserve">Figure S2. </w:t>
      </w:r>
      <w:r w:rsidRPr="00AB1B27">
        <w:rPr>
          <w:rFonts w:ascii="Times New Roman" w:hAnsi="Times New Roman" w:cs="Times New Roman"/>
          <w:sz w:val="24"/>
          <w:szCs w:val="24"/>
        </w:rPr>
        <w:t xml:space="preserve">UV-Visible calibration curves of (a) ibuprofen (IBU), (b) paracetamol (PARA), and (c) ciprofloxacin (CIP) at varying concentrations in aqueous buffers of pH 5.0 and pH 7.0. </w:t>
      </w:r>
    </w:p>
    <w:p w14:paraId="5E53239A" w14:textId="3689A708" w:rsidR="00AB1B27" w:rsidRPr="00620ABC" w:rsidRDefault="00AB1B27" w:rsidP="00AB1B27">
      <w:pPr>
        <w:spacing w:line="360" w:lineRule="auto"/>
        <w:ind w:left="-851"/>
        <w:jc w:val="both"/>
      </w:pPr>
      <w:r>
        <w:rPr>
          <w:noProof/>
        </w:rPr>
        <w:drawing>
          <wp:inline distT="0" distB="0" distL="0" distR="0" wp14:anchorId="4A521F3F" wp14:editId="4B8584E2">
            <wp:extent cx="6840000" cy="2160000"/>
            <wp:effectExtent l="0" t="0" r="0" b="0"/>
            <wp:docPr id="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png"/>
                    <pic:cNvPicPr preferRelativeResize="0"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216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24BC22" w14:textId="7F7E03BC" w:rsidR="00AB1B27" w:rsidRPr="00AB1B27" w:rsidRDefault="00AB1B27" w:rsidP="00AB1B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B27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F2EF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B1B27">
        <w:rPr>
          <w:rFonts w:ascii="Times New Roman" w:hAnsi="Times New Roman" w:cs="Times New Roman"/>
          <w:sz w:val="24"/>
          <w:szCs w:val="24"/>
        </w:rPr>
        <w:t xml:space="preserve"> DLS distribution of Cu-BTC and MIL-100 (a) representing the particle size and (b) representing the zeta potential.</w:t>
      </w:r>
    </w:p>
    <w:p w14:paraId="3151CD4F" w14:textId="62D3512F" w:rsidR="00AB1B27" w:rsidRPr="007F28CD" w:rsidRDefault="00AB1B27" w:rsidP="00AB1B27">
      <w:pPr>
        <w:spacing w:line="360" w:lineRule="auto"/>
        <w:ind w:left="-851"/>
        <w:rPr>
          <w:rFonts w:ascii="Times New Roman" w:hAnsi="Times New Roman" w:cs="Times New Roman"/>
        </w:rPr>
      </w:pPr>
    </w:p>
    <w:sectPr w:rsidR="00AB1B27" w:rsidRPr="007F28C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1448403">
    <w:abstractNumId w:val="8"/>
  </w:num>
  <w:num w:numId="2" w16cid:durableId="786394126">
    <w:abstractNumId w:val="6"/>
  </w:num>
  <w:num w:numId="3" w16cid:durableId="1807577111">
    <w:abstractNumId w:val="5"/>
  </w:num>
  <w:num w:numId="4" w16cid:durableId="198320672">
    <w:abstractNumId w:val="4"/>
  </w:num>
  <w:num w:numId="5" w16cid:durableId="118958887">
    <w:abstractNumId w:val="7"/>
  </w:num>
  <w:num w:numId="6" w16cid:durableId="385417711">
    <w:abstractNumId w:val="3"/>
  </w:num>
  <w:num w:numId="7" w16cid:durableId="631520580">
    <w:abstractNumId w:val="2"/>
  </w:num>
  <w:num w:numId="8" w16cid:durableId="210268402">
    <w:abstractNumId w:val="1"/>
  </w:num>
  <w:num w:numId="9" w16cid:durableId="1038165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36A3"/>
    <w:rsid w:val="0029639D"/>
    <w:rsid w:val="00326F90"/>
    <w:rsid w:val="00457A64"/>
    <w:rsid w:val="004F2EF9"/>
    <w:rsid w:val="00796DFC"/>
    <w:rsid w:val="007F28CD"/>
    <w:rsid w:val="008759F2"/>
    <w:rsid w:val="009D00FD"/>
    <w:rsid w:val="00AA1D8D"/>
    <w:rsid w:val="00AB1B27"/>
    <w:rsid w:val="00B47730"/>
    <w:rsid w:val="00CB0664"/>
    <w:rsid w:val="00EC0A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75F2AB"/>
  <w14:defaultImageDpi w14:val="32767"/>
  <w15:docId w15:val="{D96D84AE-58CB-4DA6-AC55-FA651780D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200</Words>
  <Characters>1143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Supplementary Information</vt:lpstr>
      <vt:lpstr>    Table S1. Physicochemical properties of synthesized MOFs</vt:lpstr>
      <vt:lpstr>    Table S2. Example calibration data</vt:lpstr>
      <vt:lpstr>    Table S3. Example Entrapment Efficiency (n=3)</vt:lpstr>
      <vt:lpstr>    Table S4. Example kinetic parameters</vt:lpstr>
      <vt:lpstr>    Placeholder Figures</vt:lpstr>
    </vt:vector>
  </TitlesOfParts>
  <Manager/>
  <Company/>
  <LinksUpToDate>false</LinksUpToDate>
  <CharactersWithSpaces>1341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Gitika Kumawat</cp:lastModifiedBy>
  <cp:revision>5</cp:revision>
  <dcterms:created xsi:type="dcterms:W3CDTF">2026-07-18T14:12:00Z</dcterms:created>
  <dcterms:modified xsi:type="dcterms:W3CDTF">2026-08-15T10:19:00Z</dcterms:modified>
  <cp:category/>
</cp:coreProperties>
</file>