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771F" w14:textId="77777777" w:rsidR="005C0A28" w:rsidRDefault="005C0A28" w:rsidP="005C0A2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114300" distR="114300" wp14:anchorId="14EF3E88" wp14:editId="393E9304">
            <wp:extent cx="4073525" cy="5760085"/>
            <wp:effectExtent l="0" t="0" r="3175" b="2540"/>
            <wp:docPr id="7" name="图片 7" descr="D:/科研/研究生实验结果/王用论文/论文写作/Fig.S1.tif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科研/研究生实验结果/王用论文/论文写作/Fig.S1.tifFig.S1"/>
                    <pic:cNvPicPr>
                      <a:picLocks noChangeAspect="1"/>
                    </pic:cNvPicPr>
                  </pic:nvPicPr>
                  <pic:blipFill>
                    <a:blip r:embed="rId4"/>
                    <a:srcRect l="6" r="6"/>
                    <a:stretch>
                      <a:fillRect/>
                    </a:stretch>
                  </pic:blipFill>
                  <pic:spPr>
                    <a:xfrm>
                      <a:off x="0" y="0"/>
                      <a:ext cx="407352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CB741" w14:textId="77777777" w:rsidR="005C0A28" w:rsidRDefault="005C0A28" w:rsidP="005C0A28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S1. SBFE at the tested concentrations does not apparently affect the viability of MC3T3-E1 cells or primary BMMs.</w:t>
      </w:r>
    </w:p>
    <w:p w14:paraId="3D6F0E08" w14:textId="77777777" w:rsidR="005C0A28" w:rsidRDefault="005C0A28" w:rsidP="005C0A2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 xml:space="preserve"> Representative Calcein-AM/PI staining of live and dead MC3T3-E1 cells after 24 h of treatment with 1 or 10 μg/mL SBFE. Scale bar=</w:t>
      </w:r>
      <w:r>
        <w:rPr>
          <w:rFonts w:ascii="Times New Roman" w:hAnsi="Times New Roman" w:cs="Times New Roman" w:hint="eastAsia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00</w:t>
      </w:r>
      <w:r>
        <w:rPr>
          <w:rFonts w:ascii="Times New Roman" w:hAnsi="Times New Roman" w:cs="Times New Roman"/>
          <w:lang w:val="el-GR"/>
        </w:rPr>
        <w:t>μ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 xml:space="preserve"> CCK-8 analysis of the viability of MC3T3-E1 cells following different concentration of 24 h SBFE treatment (n=3 per group). </w:t>
      </w:r>
      <w:r>
        <w:rPr>
          <w:rFonts w:ascii="Times New Roman" w:hAnsi="Times New Roman" w:cs="Times New Roman"/>
          <w:b/>
          <w:bCs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R</w:t>
      </w:r>
      <w:r>
        <w:rPr>
          <w:rFonts w:ascii="Times New Roman" w:hAnsi="Times New Roman" w:cs="Times New Roman"/>
          <w:sz w:val="22"/>
          <w:szCs w:val="22"/>
        </w:rPr>
        <w:t>epresentative Calcein-AM/PI staining of live and dead BMMs after 24 h of treatment with 1 or 10 μg/mL SBFE. Scale bar=</w:t>
      </w:r>
      <w:r>
        <w:rPr>
          <w:rFonts w:ascii="Times New Roman" w:hAnsi="Times New Roman" w:cs="Times New Roman" w:hint="eastAsia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00</w:t>
      </w:r>
      <w:r>
        <w:rPr>
          <w:rFonts w:ascii="Times New Roman" w:hAnsi="Times New Roman" w:cs="Times New Roman"/>
          <w:lang w:val="el-GR"/>
        </w:rPr>
        <w:t>μ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 CCK-8 analysis of the viability of primary BMMs, respectively following different concentration of 24 h SBFE treatment (n=3 per group). Data are presented as the mean ± SD; *</w:t>
      </w:r>
      <w:r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&lt; 0.05, **</w:t>
      </w:r>
      <w:r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&lt; 0.01,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***</w:t>
      </w:r>
      <w:r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&lt; 0.001, ****</w:t>
      </w:r>
      <w:r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&lt; 0.0001; </w:t>
      </w:r>
      <w:r>
        <w:rPr>
          <w:rFonts w:ascii="Times New Roman" w:hAnsi="Times New Roman" w:cs="Times New Roman"/>
          <w:i/>
          <w:iCs/>
          <w:sz w:val="22"/>
          <w:szCs w:val="22"/>
        </w:rPr>
        <w:t>ns</w:t>
      </w:r>
      <w:r>
        <w:rPr>
          <w:rFonts w:ascii="Times New Roman" w:hAnsi="Times New Roman" w:cs="Times New Roman"/>
          <w:sz w:val="22"/>
          <w:szCs w:val="22"/>
        </w:rPr>
        <w:t>, not significant.</w:t>
      </w:r>
    </w:p>
    <w:p w14:paraId="687A2571" w14:textId="77777777" w:rsidR="005C0A28" w:rsidRDefault="005C0A28" w:rsidP="005C0A2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30FB4667" w14:textId="77777777" w:rsidR="005C0A28" w:rsidRDefault="005C0A28" w:rsidP="005C0A2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114300" distR="114300" wp14:anchorId="309ACF5B" wp14:editId="3E1193CD">
            <wp:extent cx="4073525" cy="3674745"/>
            <wp:effectExtent l="0" t="0" r="3175" b="1905"/>
            <wp:docPr id="3" name="图片 3" descr="D:/科研/研究生实验结果/王用论文/论文写作/Fig.S2.tif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科研/研究生实验结果/王用论文/论文写作/Fig.S2.tifFig.S2"/>
                    <pic:cNvPicPr>
                      <a:picLocks noChangeAspect="1"/>
                    </pic:cNvPicPr>
                  </pic:nvPicPr>
                  <pic:blipFill>
                    <a:blip r:embed="rId5"/>
                    <a:srcRect t="4515" b="31697"/>
                    <a:stretch>
                      <a:fillRect/>
                    </a:stretch>
                  </pic:blipFill>
                  <pic:spPr>
                    <a:xfrm>
                      <a:off x="0" y="0"/>
                      <a:ext cx="4073525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8BBE7" w14:textId="77777777" w:rsidR="005C0A28" w:rsidRDefault="005C0A28" w:rsidP="005C0A28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S2. Protein–protein interaction network and molecular docking analyses of candidate SBFE targets</w:t>
      </w:r>
    </w:p>
    <w:p w14:paraId="59DD68A1" w14:textId="77777777" w:rsidR="005C0A28" w:rsidRDefault="005C0A28" w:rsidP="005C0A2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 xml:space="preserve"> Protein–protein interaction network constructed using the STRING database based on the 80 overlapping targets between SBFE and osteoporosis. Nodes represent target proteins, and edges represent known or predicted protein–protein interactions. </w:t>
      </w:r>
      <w:r>
        <w:rPr>
          <w:rFonts w:ascii="Times New Roman" w:hAnsi="Times New Roman" w:cs="Times New Roman"/>
          <w:b/>
          <w:bCs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 xml:space="preserve"> Molecular docking scores of selected SBFE-derived compounds with </w:t>
      </w:r>
      <w:r>
        <w:rPr>
          <w:rFonts w:ascii="Times New Roman" w:hAnsi="Times New Roman" w:cs="Times New Roman" w:hint="eastAsia"/>
          <w:sz w:val="22"/>
          <w:szCs w:val="22"/>
        </w:rPr>
        <w:t xml:space="preserve">the </w:t>
      </w:r>
      <w:r>
        <w:rPr>
          <w:rFonts w:ascii="Times New Roman" w:hAnsi="Times New Roman" w:cs="Times New Roman"/>
          <w:sz w:val="22"/>
          <w:szCs w:val="22"/>
        </w:rPr>
        <w:t>other</w:t>
      </w:r>
      <w:r>
        <w:rPr>
          <w:rFonts w:ascii="Times New Roman" w:hAnsi="Times New Roman" w:cs="Times New Roman" w:hint="eastAsia"/>
          <w:sz w:val="22"/>
          <w:szCs w:val="22"/>
        </w:rPr>
        <w:t xml:space="preserve"> top 4</w:t>
      </w:r>
      <w:r>
        <w:rPr>
          <w:rFonts w:ascii="Times New Roman" w:hAnsi="Times New Roman" w:cs="Times New Roman"/>
          <w:sz w:val="22"/>
          <w:szCs w:val="22"/>
        </w:rPr>
        <w:t xml:space="preserve"> target genes. </w:t>
      </w:r>
      <w:r>
        <w:rPr>
          <w:rFonts w:ascii="Times New Roman" w:hAnsi="Times New Roman" w:cs="Times New Roman"/>
          <w:b/>
          <w:bCs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 xml:space="preserve"> Representative molecular docking poses of the SBFE-derived compounds quercetin (MOL000098) and coumestrol (MOL010230) in the binding pocket of the androgen receptor (AR). </w:t>
      </w:r>
      <w:r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 Representative molecular docking poses of the SBFE-derived compounds quercetin (MOL000098) and coumestrol (MOL010230) in the binding pocket of the estrogen receptor α (ERα).</w:t>
      </w:r>
      <w:r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206"/>
        <w:gridCol w:w="1208"/>
        <w:gridCol w:w="1210"/>
        <w:gridCol w:w="1212"/>
        <w:gridCol w:w="1204"/>
        <w:gridCol w:w="1199"/>
      </w:tblGrid>
      <w:tr w:rsidR="005C0A28" w14:paraId="59808560" w14:textId="77777777" w:rsidTr="00E40EED">
        <w:tc>
          <w:tcPr>
            <w:tcW w:w="12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vAlign w:val="center"/>
          </w:tcPr>
          <w:p w14:paraId="1E03CEEB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sz w:val="24"/>
              </w:rPr>
              <w:lastRenderedPageBreak/>
              <w:br w:type="page"/>
            </w: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Target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25CC77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Host species</w:t>
            </w:r>
          </w:p>
        </w:tc>
        <w:tc>
          <w:tcPr>
            <w:tcW w:w="120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21A276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Supplier</w:t>
            </w:r>
          </w:p>
        </w:tc>
        <w:tc>
          <w:tcPr>
            <w:tcW w:w="12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162494F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Catalog No.</w:t>
            </w: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A31744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Application</w:t>
            </w:r>
          </w:p>
        </w:tc>
        <w:tc>
          <w:tcPr>
            <w:tcW w:w="12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C0750D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Dilution</w:t>
            </w:r>
          </w:p>
        </w:tc>
        <w:tc>
          <w:tcPr>
            <w:tcW w:w="119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575C66" w14:textId="77777777" w:rsidR="005C0A28" w:rsidRDefault="005C0A28" w:rsidP="00E40EED">
            <w:pPr>
              <w:jc w:val="center"/>
              <w:rPr>
                <w:rFonts w:eastAsia="DengXi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b/>
                <w:bCs/>
                <w:color w:val="000000"/>
                <w:sz w:val="16"/>
                <w:szCs w:val="16"/>
              </w:rPr>
              <w:t>Used in</w:t>
            </w:r>
          </w:p>
        </w:tc>
      </w:tr>
      <w:tr w:rsidR="005C0A28" w14:paraId="030299DD" w14:textId="77777777" w:rsidTr="00E40EED"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89A94A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GAPDH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630478F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Rabbit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5362452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Proteintech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91C42CA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10494-1-AP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C3B39E3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WB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728B8FF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1:5000</w:t>
            </w:r>
          </w:p>
        </w:tc>
        <w:tc>
          <w:tcPr>
            <w:tcW w:w="11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04DC81B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Fig. 5f and 5g</w:t>
            </w:r>
          </w:p>
        </w:tc>
      </w:tr>
      <w:tr w:rsidR="005C0A28" w14:paraId="43320151" w14:textId="77777777" w:rsidTr="00E40EED"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575E6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β- Catenin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8BE64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Rabbit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CD7E6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Proteintech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356A9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17565-1-AP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095DE" w14:textId="77777777" w:rsidR="005C0A28" w:rsidRDefault="005C0A28" w:rsidP="00E40EED">
            <w:pPr>
              <w:spacing w:line="360" w:lineRule="auto"/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IHC</w:t>
            </w:r>
          </w:p>
          <w:p w14:paraId="3C2244E2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WB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966C6" w14:textId="77777777" w:rsidR="005C0A28" w:rsidRDefault="005C0A28" w:rsidP="00E40EED">
            <w:pPr>
              <w:spacing w:line="360" w:lineRule="auto"/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IHC: 1:200</w:t>
            </w:r>
          </w:p>
          <w:p w14:paraId="28A87726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WB: 1:8000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FAFA4" w14:textId="77777777" w:rsidR="005C0A28" w:rsidRDefault="005C0A28" w:rsidP="00E40EED">
            <w:pPr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Fig. 5e, 5f, and 5g</w:t>
            </w:r>
          </w:p>
        </w:tc>
      </w:tr>
      <w:tr w:rsidR="005C0A28" w14:paraId="408AE0B8" w14:textId="77777777" w:rsidTr="00E40EED"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958FD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HRP-conjugated secondary antibody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D694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Goat anti-rabbit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9833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Proteintech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EAB5A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RGAR001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78D6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IHC</w:t>
            </w:r>
          </w:p>
          <w:p w14:paraId="1FE854C1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WB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82DA1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IHC: 1:200</w:t>
            </w:r>
          </w:p>
          <w:p w14:paraId="67CB5832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WB: 1:3000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366C7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Fig. 5e, 5f, and 5g</w:t>
            </w:r>
          </w:p>
        </w:tc>
      </w:tr>
      <w:tr w:rsidR="005C0A28" w14:paraId="7F2A2788" w14:textId="77777777" w:rsidTr="00E40EED">
        <w:tc>
          <w:tcPr>
            <w:tcW w:w="12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ADBD992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Alexa Fluor 488-conjugated secondary antibody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F369100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Goat anti-rabbit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B659A78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Thermo Fisher Scientific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3E3D5E6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A-11008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6918609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IF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7CFEAED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1:500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E744FE6" w14:textId="77777777" w:rsidR="005C0A28" w:rsidRDefault="005C0A28" w:rsidP="00E40EED">
            <w:pPr>
              <w:jc w:val="center"/>
              <w:rPr>
                <w:rFonts w:eastAsia="DengXian"/>
                <w:color w:val="000000"/>
                <w:sz w:val="16"/>
                <w:szCs w:val="16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 xml:space="preserve">Fig. </w:t>
            </w:r>
            <w:r>
              <w:rPr>
                <w:rFonts w:eastAsia="DengXian" w:hint="eastAsia"/>
                <w:color w:val="000000"/>
                <w:sz w:val="16"/>
                <w:szCs w:val="16"/>
              </w:rPr>
              <w:t>3f</w:t>
            </w:r>
            <w:r>
              <w:rPr>
                <w:rFonts w:eastAsia="DengXian"/>
                <w:color w:val="000000"/>
                <w:sz w:val="16"/>
                <w:szCs w:val="16"/>
              </w:rPr>
              <w:t xml:space="preserve"> and </w:t>
            </w:r>
            <w:r>
              <w:rPr>
                <w:rFonts w:eastAsia="DengXian" w:hint="eastAsia"/>
                <w:color w:val="000000"/>
                <w:sz w:val="16"/>
                <w:szCs w:val="16"/>
              </w:rPr>
              <w:t>fig. 4e</w:t>
            </w:r>
          </w:p>
        </w:tc>
      </w:tr>
    </w:tbl>
    <w:p w14:paraId="0F3B8BB6" w14:textId="77777777" w:rsidR="005C0A28" w:rsidRDefault="005C0A28" w:rsidP="005C0A2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bookmarkStart w:id="0" w:name="TableS1"/>
      <w:r>
        <w:rPr>
          <w:rFonts w:ascii="Times New Roman" w:hAnsi="Times New Roman" w:cs="Times New Roman"/>
          <w:b/>
          <w:bCs/>
          <w:sz w:val="18"/>
          <w:szCs w:val="18"/>
        </w:rPr>
        <w:t>Table S1. Relevant primary and secondary antibodies in this study</w:t>
      </w:r>
      <w:bookmarkEnd w:id="0"/>
    </w:p>
    <w:p w14:paraId="7A6B8FF8" w14:textId="77777777" w:rsidR="005C0A28" w:rsidRDefault="005C0A28" w:rsidP="005C0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"/>
        <w:gridCol w:w="1827"/>
        <w:gridCol w:w="675"/>
        <w:gridCol w:w="4943"/>
      </w:tblGrid>
      <w:tr w:rsidR="005C0A28" w14:paraId="71F464F0" w14:textId="77777777" w:rsidTr="00E40EED">
        <w:tc>
          <w:tcPr>
            <w:tcW w:w="10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B7F088B" w14:textId="77777777" w:rsidR="005C0A28" w:rsidRDefault="005C0A28" w:rsidP="00E40EED">
            <w:pPr>
              <w:spacing w:line="360" w:lineRule="auto"/>
              <w:jc w:val="lef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>Specie</w:t>
            </w:r>
          </w:p>
        </w:tc>
        <w:tc>
          <w:tcPr>
            <w:tcW w:w="18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3778242" w14:textId="77777777" w:rsidR="005C0A28" w:rsidRDefault="005C0A28" w:rsidP="00E40EED">
            <w:pPr>
              <w:spacing w:line="360" w:lineRule="auto"/>
              <w:jc w:val="lef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Primer</w:t>
            </w:r>
          </w:p>
        </w:tc>
        <w:tc>
          <w:tcPr>
            <w:tcW w:w="67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ACCD593" w14:textId="77777777" w:rsidR="005C0A28" w:rsidRDefault="005C0A28" w:rsidP="00E40EED">
            <w:pPr>
              <w:spacing w:line="360" w:lineRule="auto"/>
              <w:jc w:val="lef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4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F2A39B3" w14:textId="77777777" w:rsidR="005C0A28" w:rsidRDefault="005C0A28" w:rsidP="00E40EED">
            <w:pPr>
              <w:spacing w:line="360" w:lineRule="auto"/>
              <w:jc w:val="lef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Sequence (5'-3')</w:t>
            </w:r>
          </w:p>
        </w:tc>
      </w:tr>
      <w:tr w:rsidR="005C0A28" w14:paraId="530A9EE5" w14:textId="77777777" w:rsidTr="00E40EED">
        <w:tc>
          <w:tcPr>
            <w:tcW w:w="10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12E05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F3FC5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Acp5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4D20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16EF5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ATGGGCGCTGACTTCATCAT</w:t>
            </w:r>
          </w:p>
        </w:tc>
      </w:tr>
      <w:tr w:rsidR="005C0A28" w14:paraId="402B4FF1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7E94A0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8AB5E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Acp5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32EE9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B5A7C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GGTCTCCTGGAACCTCTTGT</w:t>
            </w:r>
          </w:p>
        </w:tc>
      </w:tr>
      <w:tr w:rsidR="005C0A28" w14:paraId="103713C6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6A4FE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49951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Cs/>
                <w:i/>
                <w:iCs/>
                <w:color w:val="000000"/>
                <w:sz w:val="16"/>
                <w:szCs w:val="16"/>
              </w:rPr>
              <w:t>Ctsk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A6144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220F3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CGAAAAGAGCCTAGCGAACA</w:t>
            </w:r>
          </w:p>
        </w:tc>
      </w:tr>
      <w:tr w:rsidR="005C0A28" w14:paraId="3EC63CA5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E5265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BC0C3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Cs/>
                <w:i/>
                <w:iCs/>
                <w:color w:val="000000"/>
                <w:sz w:val="16"/>
                <w:szCs w:val="16"/>
              </w:rPr>
              <w:t>Ctsk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ECB0A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FFC13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TGGGTAGCAGCAGAAACTTG</w:t>
            </w:r>
          </w:p>
        </w:tc>
      </w:tr>
      <w:tr w:rsidR="005C0A28" w14:paraId="08EC4187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15451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C811D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Nfatc1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21FA2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46B7B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ATACCTGGCTCGGTAACACC</w:t>
            </w:r>
          </w:p>
        </w:tc>
      </w:tr>
      <w:tr w:rsidR="005C0A28" w14:paraId="1FF55356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A849F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ECAE3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Nfatc1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A3B5C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40A8B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CATGCTCCAGTGCTGTCTTT</w:t>
            </w:r>
          </w:p>
        </w:tc>
      </w:tr>
      <w:tr w:rsidR="005C0A28" w14:paraId="5AE4F0E1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ABFBE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AAA06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Dcstamp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98564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F25AB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ACAAACAGTTCCAAAGCTTGC</w:t>
            </w:r>
          </w:p>
        </w:tc>
      </w:tr>
      <w:tr w:rsidR="005C0A28" w14:paraId="2098C85C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9C6D3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D5362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Dcstamp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4C26D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391AF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TCCTTGGGTTCCTTGCTTC</w:t>
            </w:r>
          </w:p>
        </w:tc>
      </w:tr>
      <w:tr w:rsidR="005C0A28" w14:paraId="647D62F6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B2679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FBA82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Cs/>
                <w:i/>
                <w:iCs/>
                <w:color w:val="000000"/>
                <w:sz w:val="16"/>
                <w:szCs w:val="16"/>
              </w:rPr>
              <w:t>Mmp9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3032A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D3881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GCAGAGGCATACTTGTACCG</w:t>
            </w:r>
          </w:p>
        </w:tc>
      </w:tr>
      <w:tr w:rsidR="005C0A28" w14:paraId="704E0F24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A56C0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EE65A" w14:textId="77777777" w:rsidR="005C0A28" w:rsidRDefault="005C0A28" w:rsidP="00E40EED">
            <w:pPr>
              <w:widowControl/>
              <w:jc w:val="left"/>
              <w:rPr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Cs/>
                <w:i/>
                <w:iCs/>
                <w:color w:val="000000"/>
                <w:sz w:val="16"/>
                <w:szCs w:val="16"/>
              </w:rPr>
              <w:t>Mmp9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80C66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068B7" w14:textId="77777777" w:rsidR="005C0A28" w:rsidRDefault="005C0A28" w:rsidP="00E40EED">
            <w:pPr>
              <w:widowControl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TGATGTTATGATGGTCCCACTTG</w:t>
            </w:r>
          </w:p>
        </w:tc>
      </w:tr>
      <w:tr w:rsidR="005C0A28" w14:paraId="43D708FC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D009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4E221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Runx2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3E561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8877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CGCCCCTCCCTGAACTCT</w:t>
            </w:r>
          </w:p>
        </w:tc>
      </w:tr>
      <w:tr w:rsidR="005C0A28" w14:paraId="35906642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07787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6308F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Runx2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D8D5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83906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TGCCTGCCTGGGATCTGTA</w:t>
            </w:r>
          </w:p>
        </w:tc>
      </w:tr>
      <w:tr w:rsidR="005C0A28" w14:paraId="21BC7A11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FCBF6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0A258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Sp7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0B4C0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1F16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GGAAAGGAGGCACAAAGAAGC</w:t>
            </w:r>
          </w:p>
        </w:tc>
      </w:tr>
      <w:tr w:rsidR="005C0A28" w14:paraId="5E0C6232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3A761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91FD5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Sp7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72849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166A9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CCCCTTAGGCACTAGGAGC</w:t>
            </w:r>
          </w:p>
        </w:tc>
      </w:tr>
      <w:tr w:rsidR="005C0A28" w14:paraId="7F4F9A44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FFB4C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85200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Alpl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E9719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96C3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ACACCAATGTAGCCAAGAATGTCA</w:t>
            </w:r>
          </w:p>
        </w:tc>
      </w:tr>
      <w:tr w:rsidR="005C0A28" w14:paraId="699749C2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2468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6D72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Alpl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E62B6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DD815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GATTCGGGCAGCGGTTACT</w:t>
            </w:r>
          </w:p>
        </w:tc>
      </w:tr>
      <w:tr w:rsidR="005C0A28" w14:paraId="707CAC35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59727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4A0CA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Col1a1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93554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FD073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CGAAGGCAACAGTCGATTCA</w:t>
            </w:r>
          </w:p>
        </w:tc>
      </w:tr>
      <w:tr w:rsidR="005C0A28" w14:paraId="11CB5A7E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764B0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A275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Col1a1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B3958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3D2D1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CCCCAAGTTCCGGTGTGA</w:t>
            </w:r>
          </w:p>
        </w:tc>
      </w:tr>
      <w:tr w:rsidR="005C0A28" w14:paraId="1F04C984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60F3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790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Bglap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19E9F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1567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CTGACAAAGCCTTCATGTCCAA</w:t>
            </w:r>
          </w:p>
        </w:tc>
      </w:tr>
      <w:tr w:rsidR="005C0A28" w14:paraId="153D15FF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3902B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727A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Bglap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7648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7855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GCGCCGGAGTCTGTTCACTA</w:t>
            </w:r>
          </w:p>
        </w:tc>
      </w:tr>
      <w:tr w:rsidR="005C0A28" w14:paraId="1A92D60B" w14:textId="77777777" w:rsidTr="00E40EED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18531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F936C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Spp1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8247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F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DB4B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GCTTGGCTTATGGACTGAGGTC</w:t>
            </w:r>
          </w:p>
        </w:tc>
      </w:tr>
      <w:tr w:rsidR="005C0A28" w14:paraId="28540885" w14:textId="77777777" w:rsidTr="00E40EED">
        <w:tc>
          <w:tcPr>
            <w:tcW w:w="107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E2A18F9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Mus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00CCC0C" w14:textId="77777777" w:rsidR="005C0A28" w:rsidRDefault="005C0A28" w:rsidP="00E40EED">
            <w:pPr>
              <w:widowControl/>
              <w:jc w:val="left"/>
              <w:rPr>
                <w:rFonts w:eastAsia="DengXian"/>
                <w:i/>
                <w:iCs/>
                <w:sz w:val="16"/>
                <w:szCs w:val="16"/>
              </w:rPr>
            </w:pPr>
            <w:r>
              <w:rPr>
                <w:rFonts w:eastAsia="DengXian"/>
                <w:i/>
                <w:iCs/>
                <w:sz w:val="16"/>
                <w:szCs w:val="16"/>
              </w:rPr>
              <w:t>Spp1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5FC95B2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R</w:t>
            </w:r>
          </w:p>
        </w:tc>
        <w:tc>
          <w:tcPr>
            <w:tcW w:w="494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6077D05" w14:textId="77777777" w:rsidR="005C0A28" w:rsidRDefault="005C0A28" w:rsidP="00E40EED">
            <w:pPr>
              <w:widowControl/>
              <w:jc w:val="left"/>
              <w:rPr>
                <w:rFonts w:eastAsia="DengXian"/>
                <w:sz w:val="16"/>
                <w:szCs w:val="16"/>
              </w:rPr>
            </w:pPr>
            <w:r>
              <w:rPr>
                <w:rFonts w:eastAsia="DengXian"/>
                <w:sz w:val="16"/>
                <w:szCs w:val="16"/>
              </w:rPr>
              <w:t>CCTTAGACTCACCGCTCTTCATG</w:t>
            </w:r>
          </w:p>
        </w:tc>
      </w:tr>
    </w:tbl>
    <w:p w14:paraId="3AD7A691" w14:textId="77777777" w:rsidR="005C0A28" w:rsidRDefault="005C0A28" w:rsidP="005C0A28">
      <w:pPr>
        <w:spacing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1" w:name="TableS2"/>
      <w:r>
        <w:rPr>
          <w:rFonts w:ascii="Times New Roman" w:hAnsi="Times New Roman" w:cs="Times New Roman"/>
          <w:b/>
          <w:bCs/>
          <w:sz w:val="18"/>
          <w:szCs w:val="18"/>
        </w:rPr>
        <w:t>Table S2</w:t>
      </w:r>
      <w:bookmarkEnd w:id="1"/>
      <w:r>
        <w:rPr>
          <w:rFonts w:ascii="Times New Roman" w:hAnsi="Times New Roman" w:cs="Times New Roman"/>
          <w:b/>
          <w:bCs/>
          <w:sz w:val="18"/>
          <w:szCs w:val="18"/>
        </w:rPr>
        <w:t>. Relevant primer sequences</w:t>
      </w: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2411"/>
        <w:gridCol w:w="2759"/>
        <w:gridCol w:w="4190"/>
      </w:tblGrid>
      <w:tr w:rsidR="005C0A28" w14:paraId="7AE267FD" w14:textId="77777777" w:rsidTr="00E40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tcW w:w="1288" w:type="pct"/>
            <w:noWrap/>
          </w:tcPr>
          <w:p w14:paraId="7E1DD0C1" w14:textId="77777777" w:rsidR="005C0A28" w:rsidRDefault="005C0A28" w:rsidP="00E40EED">
            <w:pPr>
              <w:widowControl/>
              <w:rPr>
                <w:b/>
                <w:bCs/>
                <w:color w:val="000000"/>
                <w:sz w:val="16"/>
                <w:szCs w:val="16"/>
                <w:lang w:bidi="th-TH"/>
              </w:rPr>
            </w:pPr>
            <w:r>
              <w:rPr>
                <w:b/>
                <w:bCs/>
                <w:color w:val="000000"/>
                <w:sz w:val="16"/>
                <w:szCs w:val="16"/>
                <w:lang w:bidi="th-TH"/>
              </w:rPr>
              <w:lastRenderedPageBreak/>
              <w:t>Target_name</w:t>
            </w:r>
          </w:p>
        </w:tc>
        <w:tc>
          <w:tcPr>
            <w:tcW w:w="1474" w:type="pct"/>
            <w:noWrap/>
          </w:tcPr>
          <w:p w14:paraId="58DE7246" w14:textId="77777777" w:rsidR="005C0A28" w:rsidRDefault="005C0A28" w:rsidP="00E40EED">
            <w:pPr>
              <w:widowControl/>
              <w:rPr>
                <w:b/>
                <w:bCs/>
                <w:color w:val="000000"/>
                <w:sz w:val="16"/>
                <w:szCs w:val="16"/>
                <w:lang w:bidi="th-TH"/>
              </w:rPr>
            </w:pPr>
            <w:r>
              <w:rPr>
                <w:b/>
                <w:bCs/>
                <w:color w:val="000000"/>
                <w:sz w:val="16"/>
                <w:szCs w:val="16"/>
                <w:lang w:bidi="th-TH"/>
              </w:rPr>
              <w:t>Ligand_name</w:t>
            </w:r>
          </w:p>
        </w:tc>
        <w:tc>
          <w:tcPr>
            <w:tcW w:w="2238" w:type="pct"/>
            <w:noWrap/>
          </w:tcPr>
          <w:p w14:paraId="68D2D280" w14:textId="77777777" w:rsidR="005C0A28" w:rsidRDefault="005C0A28" w:rsidP="00E40EED">
            <w:pPr>
              <w:widowControl/>
              <w:rPr>
                <w:b/>
                <w:bCs/>
                <w:color w:val="000000"/>
                <w:sz w:val="16"/>
                <w:szCs w:val="16"/>
                <w:lang w:bidi="th-TH"/>
              </w:rPr>
            </w:pPr>
            <w:r>
              <w:rPr>
                <w:b/>
                <w:bCs/>
                <w:color w:val="000000"/>
                <w:sz w:val="16"/>
                <w:szCs w:val="16"/>
                <w:lang w:bidi="th-TH"/>
              </w:rPr>
              <w:t>Docking_score(kcal/mol)</w:t>
            </w:r>
          </w:p>
        </w:tc>
      </w:tr>
      <w:tr w:rsidR="005C0A28" w14:paraId="0A741442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5ABC5FE7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ESR1</w:t>
            </w:r>
          </w:p>
        </w:tc>
        <w:tc>
          <w:tcPr>
            <w:tcW w:w="1474" w:type="pct"/>
            <w:noWrap/>
          </w:tcPr>
          <w:p w14:paraId="07B7F8AA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37CB39C5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-7.7</w:t>
            </w:r>
          </w:p>
        </w:tc>
      </w:tr>
      <w:tr w:rsidR="005C0A28" w14:paraId="510D20DE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2239EBB7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231486C0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65824139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-8.0</w:t>
            </w:r>
          </w:p>
        </w:tc>
      </w:tr>
      <w:tr w:rsidR="005C0A28" w14:paraId="71B46E1A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7FB2B378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AR</w:t>
            </w:r>
          </w:p>
        </w:tc>
        <w:tc>
          <w:tcPr>
            <w:tcW w:w="1474" w:type="pct"/>
            <w:noWrap/>
          </w:tcPr>
          <w:p w14:paraId="059C0619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4DA2982A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-8.7</w:t>
            </w:r>
          </w:p>
        </w:tc>
      </w:tr>
      <w:tr w:rsidR="005C0A28" w14:paraId="5C8EC1C3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31F0DC66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0043FFC3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4BB792FD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-4.6</w:t>
            </w:r>
          </w:p>
        </w:tc>
      </w:tr>
      <w:tr w:rsidR="005C0A28" w14:paraId="126AF437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6BAC337F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PGR</w:t>
            </w:r>
          </w:p>
        </w:tc>
        <w:tc>
          <w:tcPr>
            <w:tcW w:w="1474" w:type="pct"/>
            <w:noWrap/>
          </w:tcPr>
          <w:p w14:paraId="48409149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70128AFD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-7.8</w:t>
            </w:r>
          </w:p>
        </w:tc>
      </w:tr>
      <w:tr w:rsidR="005C0A28" w14:paraId="434C7EAA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2C278F77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04B78587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0F8A2F7D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-7.6</w:t>
            </w:r>
          </w:p>
        </w:tc>
      </w:tr>
      <w:tr w:rsidR="005C0A28" w14:paraId="32E8813B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68A418B2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FGF2</w:t>
            </w:r>
          </w:p>
        </w:tc>
        <w:tc>
          <w:tcPr>
            <w:tcW w:w="1474" w:type="pct"/>
            <w:noWrap/>
          </w:tcPr>
          <w:p w14:paraId="7A5455CD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106CA451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-5.8</w:t>
            </w:r>
          </w:p>
        </w:tc>
      </w:tr>
      <w:tr w:rsidR="005C0A28" w14:paraId="62B13A3F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1CB28B0E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088D4AAB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2F76268A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-6.5</w:t>
            </w:r>
          </w:p>
        </w:tc>
      </w:tr>
      <w:tr w:rsidR="005C0A28" w14:paraId="0BDB6775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441472FB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SMAD2</w:t>
            </w:r>
          </w:p>
        </w:tc>
        <w:tc>
          <w:tcPr>
            <w:tcW w:w="1474" w:type="pct"/>
            <w:noWrap/>
          </w:tcPr>
          <w:p w14:paraId="5F8BD6D5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12BD8671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-6.4</w:t>
            </w:r>
          </w:p>
        </w:tc>
      </w:tr>
      <w:tr w:rsidR="005C0A28" w14:paraId="746BACB1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7B1CB523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175E046A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0CDC245D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-7.8</w:t>
            </w:r>
          </w:p>
        </w:tc>
      </w:tr>
      <w:tr w:rsidR="005C0A28" w14:paraId="1C90AC43" w14:textId="77777777" w:rsidTr="00E40EED">
        <w:trPr>
          <w:trHeight w:val="279"/>
        </w:trPr>
        <w:tc>
          <w:tcPr>
            <w:tcW w:w="1288" w:type="pct"/>
            <w:vMerge w:val="restart"/>
            <w:noWrap/>
          </w:tcPr>
          <w:p w14:paraId="61CD093F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SMAD4</w:t>
            </w:r>
          </w:p>
        </w:tc>
        <w:tc>
          <w:tcPr>
            <w:tcW w:w="1474" w:type="pct"/>
            <w:noWrap/>
          </w:tcPr>
          <w:p w14:paraId="11E894F9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MOL000098</w:t>
            </w:r>
          </w:p>
        </w:tc>
        <w:tc>
          <w:tcPr>
            <w:tcW w:w="2238" w:type="pct"/>
            <w:noWrap/>
          </w:tcPr>
          <w:p w14:paraId="22A7DB31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-6.4</w:t>
            </w:r>
          </w:p>
        </w:tc>
      </w:tr>
      <w:tr w:rsidR="005C0A28" w14:paraId="6BA19C17" w14:textId="77777777" w:rsidTr="00E40EED">
        <w:trPr>
          <w:trHeight w:val="279"/>
        </w:trPr>
        <w:tc>
          <w:tcPr>
            <w:tcW w:w="1288" w:type="pct"/>
            <w:vMerge/>
            <w:noWrap/>
          </w:tcPr>
          <w:p w14:paraId="752D486C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74" w:type="pct"/>
            <w:noWrap/>
          </w:tcPr>
          <w:p w14:paraId="65405F61" w14:textId="77777777" w:rsidR="005C0A28" w:rsidRDefault="005C0A28" w:rsidP="00E40EED">
            <w:pPr>
              <w:widowControl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color w:val="000000"/>
                <w:sz w:val="16"/>
                <w:szCs w:val="16"/>
                <w:lang w:bidi="th-TH"/>
              </w:rPr>
              <w:t>MOL010230</w:t>
            </w:r>
          </w:p>
        </w:tc>
        <w:tc>
          <w:tcPr>
            <w:tcW w:w="2238" w:type="pct"/>
            <w:noWrap/>
          </w:tcPr>
          <w:p w14:paraId="7197E7B9" w14:textId="77777777" w:rsidR="005C0A28" w:rsidRDefault="005C0A28" w:rsidP="00E40EED">
            <w:pPr>
              <w:widowControl/>
              <w:jc w:val="center"/>
              <w:rPr>
                <w:color w:val="000000"/>
                <w:sz w:val="16"/>
                <w:szCs w:val="16"/>
                <w:lang w:bidi="th-TH"/>
              </w:rPr>
            </w:pPr>
            <w:r>
              <w:rPr>
                <w:rFonts w:eastAsia="DengXian"/>
                <w:color w:val="000000"/>
                <w:sz w:val="16"/>
                <w:szCs w:val="16"/>
              </w:rPr>
              <w:t>-7.1</w:t>
            </w:r>
          </w:p>
        </w:tc>
      </w:tr>
    </w:tbl>
    <w:p w14:paraId="31EE102C" w14:textId="77777777" w:rsidR="005C0A28" w:rsidRDefault="005C0A28" w:rsidP="005C0A28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Table S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3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. Molecular docking scores of selected SBFE-derived compounds with top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6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target genes</w:t>
      </w: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529D77D0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28"/>
    <w:rsid w:val="00127E0E"/>
    <w:rsid w:val="003C2EF4"/>
    <w:rsid w:val="00446799"/>
    <w:rsid w:val="00471820"/>
    <w:rsid w:val="005C0A28"/>
    <w:rsid w:val="006A7E07"/>
    <w:rsid w:val="00701021"/>
    <w:rsid w:val="00866E40"/>
    <w:rsid w:val="00B74216"/>
    <w:rsid w:val="00BD038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8003A"/>
  <w15:chartTrackingRefBased/>
  <w15:docId w15:val="{DAD69E4F-A5CB-4112-97AD-1FDC0333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A28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A2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A2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A2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A2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A2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A2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A2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A2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A2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A2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A2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A2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0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A28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0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A2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5C0A2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name w:val="三线表"/>
    <w:basedOn w:val="TableNormal"/>
    <w:uiPriority w:val="99"/>
    <w:qFormat/>
    <w:rsid w:val="005C0A28"/>
    <w:pPr>
      <w:spacing w:after="0" w:line="36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491</Words>
  <Characters>2805</Characters>
  <Application>Microsoft Office Word</Application>
  <DocSecurity>0</DocSecurity>
  <Lines>23</Lines>
  <Paragraphs>6</Paragraphs>
  <ScaleCrop>false</ScaleCrop>
  <Company>Springer Nature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2</cp:revision>
  <dcterms:created xsi:type="dcterms:W3CDTF">2026-09-16T05:22:00Z</dcterms:created>
  <dcterms:modified xsi:type="dcterms:W3CDTF">2026-09-16T05:22:00Z</dcterms:modified>
</cp:coreProperties>
</file>