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AEB89" w14:textId="65C3A494" w:rsidR="002F31D2" w:rsidRDefault="004D1F58">
      <w:pPr>
        <w:rPr>
          <w:rFonts w:hint="eastAsia"/>
        </w:rPr>
      </w:pPr>
      <w:r>
        <w:rPr>
          <w:noProof/>
        </w:rPr>
        <w:drawing>
          <wp:inline distT="0" distB="0" distL="0" distR="0" wp14:anchorId="50059A69" wp14:editId="695A20BA">
            <wp:extent cx="5274310" cy="4872990"/>
            <wp:effectExtent l="0" t="0" r="2540" b="3810"/>
            <wp:docPr id="6093640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4872990"/>
                    </a:xfrm>
                    <a:prstGeom prst="rect">
                      <a:avLst/>
                    </a:prstGeom>
                    <a:noFill/>
                    <a:ln>
                      <a:noFill/>
                    </a:ln>
                  </pic:spPr>
                </pic:pic>
              </a:graphicData>
            </a:graphic>
          </wp:inline>
        </w:drawing>
      </w:r>
    </w:p>
    <w:p w14:paraId="4C0D41F8" w14:textId="1ABA64B7" w:rsidR="00A87427" w:rsidRPr="00A87427" w:rsidRDefault="004D1F58" w:rsidP="00A87427">
      <w:pPr>
        <w:spacing w:line="240" w:lineRule="auto"/>
        <w:contextualSpacing/>
        <w:rPr>
          <w:rFonts w:ascii="Times New Roman" w:hAnsi="Times New Roman" w:cs="Times New Roman"/>
          <w:b/>
          <w:bCs/>
          <w:sz w:val="18"/>
          <w:szCs w:val="18"/>
        </w:rPr>
      </w:pPr>
      <w:r w:rsidRPr="004D1F58">
        <w:rPr>
          <w:rFonts w:ascii="Times New Roman" w:hAnsi="Times New Roman" w:cs="Times New Roman"/>
          <w:b/>
          <w:bCs/>
        </w:rPr>
        <w:t>Supplementary Figure 1</w:t>
      </w:r>
      <w:r w:rsidR="00A87427">
        <w:rPr>
          <w:rFonts w:ascii="Times New Roman" w:hAnsi="Times New Roman" w:cs="Times New Roman" w:hint="eastAsia"/>
          <w:b/>
          <w:bCs/>
        </w:rPr>
        <w:t xml:space="preserve">. </w:t>
      </w:r>
      <w:r w:rsidR="00A87427" w:rsidRPr="00A87427">
        <w:rPr>
          <w:rFonts w:ascii="Times New Roman" w:hAnsi="Times New Roman" w:cs="Times New Roman"/>
          <w:b/>
          <w:bCs/>
        </w:rPr>
        <w:t>Sensitivity analyses for the overall causal effect of BMI on depression</w:t>
      </w:r>
      <w:r w:rsidR="00A87427">
        <w:rPr>
          <w:rFonts w:ascii="Times New Roman" w:hAnsi="Times New Roman" w:cs="Times New Roman" w:hint="eastAsia"/>
          <w:b/>
          <w:bCs/>
        </w:rPr>
        <w:t xml:space="preserve">. </w:t>
      </w:r>
      <w:r w:rsidR="00A87427" w:rsidRPr="00A87427">
        <w:rPr>
          <w:rFonts w:ascii="Times New Roman" w:hAnsi="Times New Roman" w:cs="Times New Roman"/>
          <w:sz w:val="18"/>
          <w:szCs w:val="18"/>
        </w:rPr>
        <w:t>(a) Scatter plot of SNP effects on BMI vs. depression, with fitted lines from IVW, MR-Egger, weighted median, and weighted mode methods.</w:t>
      </w:r>
      <w:r w:rsidR="00A87427" w:rsidRPr="00A87427">
        <w:rPr>
          <w:rFonts w:ascii="Times New Roman" w:hAnsi="Times New Roman" w:cs="Times New Roman" w:hint="eastAsia"/>
          <w:sz w:val="18"/>
          <w:szCs w:val="18"/>
        </w:rPr>
        <w:t xml:space="preserve"> </w:t>
      </w:r>
      <w:r w:rsidR="00A87427" w:rsidRPr="00A87427">
        <w:rPr>
          <w:rFonts w:ascii="Times New Roman" w:hAnsi="Times New Roman" w:cs="Times New Roman"/>
          <w:sz w:val="18"/>
          <w:szCs w:val="18"/>
        </w:rPr>
        <w:t>(b) Forest plot of single-SNP Wald ratio estimates; bottom row (red) shows the pooled IVW estimate.</w:t>
      </w:r>
      <w:r w:rsidR="00A87427" w:rsidRPr="00A87427">
        <w:rPr>
          <w:rFonts w:ascii="Times New Roman" w:hAnsi="Times New Roman" w:cs="Times New Roman" w:hint="eastAsia"/>
          <w:sz w:val="18"/>
          <w:szCs w:val="18"/>
        </w:rPr>
        <w:t xml:space="preserve"> </w:t>
      </w:r>
      <w:r w:rsidR="00A87427" w:rsidRPr="00A87427">
        <w:rPr>
          <w:rFonts w:ascii="Times New Roman" w:hAnsi="Times New Roman" w:cs="Times New Roman"/>
          <w:sz w:val="18"/>
          <w:szCs w:val="18"/>
        </w:rPr>
        <w:t>(c) Leave-one-out sensitivity analysis; bottom row (red) shows the estimate using all SNPs.</w:t>
      </w:r>
      <w:r w:rsidR="00A87427" w:rsidRPr="00A87427">
        <w:rPr>
          <w:rFonts w:ascii="Times New Roman" w:hAnsi="Times New Roman" w:cs="Times New Roman" w:hint="eastAsia"/>
          <w:sz w:val="18"/>
          <w:szCs w:val="18"/>
        </w:rPr>
        <w:t xml:space="preserve"> </w:t>
      </w:r>
      <w:r w:rsidR="00A87427" w:rsidRPr="00A87427">
        <w:rPr>
          <w:rFonts w:ascii="Times New Roman" w:hAnsi="Times New Roman" w:cs="Times New Roman"/>
          <w:sz w:val="18"/>
          <w:szCs w:val="18"/>
        </w:rPr>
        <w:t>(d) Funnel plot of instrument strength (1/SE) vs. single-SNP causal estimate (</w:t>
      </w:r>
      <w:proofErr w:type="spellStart"/>
      <w:r w:rsidR="00A87427" w:rsidRPr="00A87427">
        <w:rPr>
          <w:rFonts w:ascii="Times New Roman" w:hAnsi="Times New Roman" w:cs="Times New Roman"/>
          <w:sz w:val="18"/>
          <w:szCs w:val="18"/>
        </w:rPr>
        <w:t>θ_IV</w:t>
      </w:r>
      <w:proofErr w:type="spellEnd"/>
      <w:r w:rsidR="00A87427" w:rsidRPr="00A87427">
        <w:rPr>
          <w:rFonts w:ascii="Times New Roman" w:hAnsi="Times New Roman" w:cs="Times New Roman"/>
          <w:sz w:val="18"/>
          <w:szCs w:val="18"/>
        </w:rPr>
        <w:t>), assessing pleiotropy asymmetry; vertical lines denote IVW (grey) and MR-Egger (blue) estimates.</w:t>
      </w:r>
    </w:p>
    <w:p w14:paraId="6AE0220A" w14:textId="77777777" w:rsidR="00805D45" w:rsidRPr="00A87427" w:rsidRDefault="00805D45">
      <w:pPr>
        <w:rPr>
          <w:rFonts w:ascii="Times New Roman" w:hAnsi="Times New Roman" w:cs="Times New Roman"/>
          <w:b/>
          <w:bCs/>
        </w:rPr>
      </w:pPr>
    </w:p>
    <w:p w14:paraId="2D9D55E6" w14:textId="77777777" w:rsidR="00805D45" w:rsidRDefault="00805D45">
      <w:pPr>
        <w:rPr>
          <w:rFonts w:ascii="Times New Roman" w:hAnsi="Times New Roman" w:cs="Times New Roman"/>
          <w:b/>
          <w:bCs/>
        </w:rPr>
      </w:pPr>
    </w:p>
    <w:p w14:paraId="48811E00" w14:textId="77777777" w:rsidR="00AA3D1E" w:rsidRDefault="00AA3D1E">
      <w:pPr>
        <w:rPr>
          <w:rFonts w:ascii="Times New Roman" w:hAnsi="Times New Roman" w:cs="Times New Roman"/>
          <w:b/>
          <w:bCs/>
        </w:rPr>
      </w:pPr>
    </w:p>
    <w:p w14:paraId="7BB69434" w14:textId="77777777" w:rsidR="00AA3D1E" w:rsidRDefault="00AA3D1E">
      <w:pPr>
        <w:rPr>
          <w:rFonts w:ascii="Times New Roman" w:hAnsi="Times New Roman" w:cs="Times New Roman"/>
          <w:b/>
          <w:bCs/>
        </w:rPr>
      </w:pPr>
    </w:p>
    <w:p w14:paraId="5EF17966" w14:textId="77777777" w:rsidR="00AA3D1E" w:rsidRDefault="00AA3D1E">
      <w:pPr>
        <w:rPr>
          <w:rFonts w:ascii="Times New Roman" w:hAnsi="Times New Roman" w:cs="Times New Roman"/>
          <w:b/>
          <w:bCs/>
        </w:rPr>
      </w:pPr>
    </w:p>
    <w:p w14:paraId="3C85852A" w14:textId="77777777" w:rsidR="00AA3D1E" w:rsidRDefault="00AA3D1E">
      <w:pPr>
        <w:rPr>
          <w:rFonts w:ascii="Times New Roman" w:hAnsi="Times New Roman" w:cs="Times New Roman"/>
          <w:b/>
          <w:bCs/>
        </w:rPr>
      </w:pPr>
    </w:p>
    <w:p w14:paraId="188151AD" w14:textId="77777777" w:rsidR="00AA3D1E" w:rsidRPr="00AA3D1E" w:rsidRDefault="00AA3D1E">
      <w:pPr>
        <w:rPr>
          <w:rFonts w:ascii="Times New Roman" w:hAnsi="Times New Roman" w:cs="Times New Roman"/>
          <w:b/>
          <w:bCs/>
        </w:rPr>
      </w:pPr>
    </w:p>
    <w:p w14:paraId="6292ECC6" w14:textId="44D918D9" w:rsidR="00805D45" w:rsidRDefault="00ED23C1">
      <w:pPr>
        <w:rPr>
          <w:rFonts w:ascii="Times New Roman" w:hAnsi="Times New Roman" w:cs="Times New Roman"/>
          <w:b/>
          <w:bCs/>
        </w:rPr>
      </w:pPr>
      <w:r>
        <w:rPr>
          <w:noProof/>
        </w:rPr>
        <w:lastRenderedPageBreak/>
        <w:drawing>
          <wp:inline distT="0" distB="0" distL="0" distR="0" wp14:anchorId="146B9ABD" wp14:editId="4A9C2CC3">
            <wp:extent cx="5274310" cy="4968240"/>
            <wp:effectExtent l="0" t="0" r="2540" b="3810"/>
            <wp:docPr id="3563882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4968240"/>
                    </a:xfrm>
                    <a:prstGeom prst="rect">
                      <a:avLst/>
                    </a:prstGeom>
                    <a:noFill/>
                    <a:ln>
                      <a:noFill/>
                    </a:ln>
                  </pic:spPr>
                </pic:pic>
              </a:graphicData>
            </a:graphic>
          </wp:inline>
        </w:drawing>
      </w:r>
    </w:p>
    <w:p w14:paraId="78E1B769" w14:textId="2DAB52A8" w:rsidR="00A87427" w:rsidRPr="00A87427" w:rsidRDefault="00805D45" w:rsidP="00A87427">
      <w:pPr>
        <w:spacing w:line="240" w:lineRule="auto"/>
        <w:contextualSpacing/>
        <w:rPr>
          <w:rFonts w:ascii="Times New Roman" w:hAnsi="Times New Roman" w:cs="Times New Roman"/>
          <w:sz w:val="18"/>
          <w:szCs w:val="20"/>
        </w:rPr>
      </w:pPr>
      <w:r w:rsidRPr="004D1F58">
        <w:rPr>
          <w:rFonts w:ascii="Times New Roman" w:hAnsi="Times New Roman" w:cs="Times New Roman"/>
          <w:b/>
          <w:bCs/>
        </w:rPr>
        <w:t xml:space="preserve">Supplementary Figure </w:t>
      </w:r>
      <w:r>
        <w:rPr>
          <w:rFonts w:ascii="Times New Roman" w:hAnsi="Times New Roman" w:cs="Times New Roman" w:hint="eastAsia"/>
          <w:b/>
          <w:bCs/>
        </w:rPr>
        <w:t>2.</w:t>
      </w:r>
      <w:r w:rsidR="00A87427">
        <w:rPr>
          <w:rFonts w:ascii="Times New Roman" w:hAnsi="Times New Roman" w:cs="Times New Roman" w:hint="eastAsia"/>
          <w:b/>
          <w:bCs/>
        </w:rPr>
        <w:t xml:space="preserve"> </w:t>
      </w:r>
      <w:r w:rsidR="00A87427" w:rsidRPr="00A87427">
        <w:rPr>
          <w:rFonts w:ascii="Times New Roman" w:hAnsi="Times New Roman" w:cs="Times New Roman"/>
          <w:b/>
          <w:bCs/>
        </w:rPr>
        <w:t>Sensitivity analyses for the causal effect of C1 on depression.</w:t>
      </w:r>
      <w:r w:rsidR="00A87427">
        <w:rPr>
          <w:rFonts w:ascii="Times New Roman" w:hAnsi="Times New Roman" w:cs="Times New Roman" w:hint="eastAsia"/>
          <w:b/>
          <w:bCs/>
        </w:rPr>
        <w:t xml:space="preserve"> </w:t>
      </w:r>
      <w:r w:rsidR="00A87427" w:rsidRPr="00A87427">
        <w:rPr>
          <w:rFonts w:ascii="Times New Roman" w:hAnsi="Times New Roman" w:cs="Times New Roman"/>
          <w:sz w:val="18"/>
          <w:szCs w:val="20"/>
        </w:rPr>
        <w:t>(a) Scatter plot of SNP effects on C1 vs. depression, with fitted lines from IVW, MR-Egger, weighted median, and weighted mode methods.</w:t>
      </w:r>
      <w:r w:rsidR="00A87427" w:rsidRPr="00A87427">
        <w:rPr>
          <w:rFonts w:ascii="Times New Roman" w:hAnsi="Times New Roman" w:cs="Times New Roman" w:hint="eastAsia"/>
          <w:sz w:val="18"/>
          <w:szCs w:val="20"/>
        </w:rPr>
        <w:t xml:space="preserve"> </w:t>
      </w:r>
      <w:r w:rsidR="00A87427" w:rsidRPr="00A87427">
        <w:rPr>
          <w:rFonts w:ascii="Times New Roman" w:hAnsi="Times New Roman" w:cs="Times New Roman"/>
          <w:sz w:val="18"/>
          <w:szCs w:val="20"/>
        </w:rPr>
        <w:t>(b) Forest plot of single-SNP Wald ratio estimates; bottom row (red) shows the pooled IVW estimate.</w:t>
      </w:r>
      <w:r w:rsidR="00A87427" w:rsidRPr="00A87427">
        <w:rPr>
          <w:rFonts w:ascii="Times New Roman" w:hAnsi="Times New Roman" w:cs="Times New Roman" w:hint="eastAsia"/>
          <w:sz w:val="18"/>
          <w:szCs w:val="20"/>
        </w:rPr>
        <w:t xml:space="preserve"> </w:t>
      </w:r>
      <w:r w:rsidR="00A87427" w:rsidRPr="00A87427">
        <w:rPr>
          <w:rFonts w:ascii="Times New Roman" w:hAnsi="Times New Roman" w:cs="Times New Roman"/>
          <w:sz w:val="18"/>
          <w:szCs w:val="20"/>
        </w:rPr>
        <w:t>(c) Leave-one-out sensitivity analysis; bottom row (red) shows the estimate using all SNPs.</w:t>
      </w:r>
      <w:r w:rsidR="00A87427" w:rsidRPr="00A87427">
        <w:rPr>
          <w:rFonts w:ascii="Times New Roman" w:hAnsi="Times New Roman" w:cs="Times New Roman" w:hint="eastAsia"/>
          <w:sz w:val="18"/>
          <w:szCs w:val="20"/>
        </w:rPr>
        <w:t xml:space="preserve"> </w:t>
      </w:r>
      <w:r w:rsidR="00A87427" w:rsidRPr="00A87427">
        <w:rPr>
          <w:rFonts w:ascii="Times New Roman" w:hAnsi="Times New Roman" w:cs="Times New Roman"/>
          <w:sz w:val="18"/>
          <w:szCs w:val="20"/>
        </w:rPr>
        <w:t>(d) Funnel plot of instrument strength (1/SE) vs. single-SNP causal estimate (</w:t>
      </w:r>
      <w:proofErr w:type="spellStart"/>
      <w:r w:rsidR="00A87427" w:rsidRPr="00A87427">
        <w:rPr>
          <w:rFonts w:ascii="Times New Roman" w:hAnsi="Times New Roman" w:cs="Times New Roman"/>
          <w:sz w:val="18"/>
          <w:szCs w:val="20"/>
        </w:rPr>
        <w:t>θ_IV</w:t>
      </w:r>
      <w:proofErr w:type="spellEnd"/>
      <w:r w:rsidR="00A87427" w:rsidRPr="00A87427">
        <w:rPr>
          <w:rFonts w:ascii="Times New Roman" w:hAnsi="Times New Roman" w:cs="Times New Roman"/>
          <w:sz w:val="18"/>
          <w:szCs w:val="20"/>
        </w:rPr>
        <w:t>), assessing pleiotropy asymmetry; vertical lines denote IVW (grey) and MR-Egger (blue) estimates.</w:t>
      </w:r>
    </w:p>
    <w:p w14:paraId="3A3592B0" w14:textId="0646219F" w:rsidR="00805D45" w:rsidRDefault="00805D45">
      <w:pPr>
        <w:rPr>
          <w:rFonts w:ascii="Times New Roman" w:hAnsi="Times New Roman" w:cs="Times New Roman"/>
          <w:b/>
          <w:bCs/>
        </w:rPr>
      </w:pPr>
    </w:p>
    <w:p w14:paraId="5130411F" w14:textId="77777777" w:rsidR="00805D45" w:rsidRDefault="00805D45">
      <w:pPr>
        <w:rPr>
          <w:rFonts w:ascii="Times New Roman" w:hAnsi="Times New Roman" w:cs="Times New Roman"/>
          <w:b/>
          <w:bCs/>
        </w:rPr>
      </w:pPr>
    </w:p>
    <w:p w14:paraId="03E25FC1" w14:textId="77777777" w:rsidR="00805D45" w:rsidRDefault="00805D45">
      <w:pPr>
        <w:rPr>
          <w:rFonts w:ascii="Times New Roman" w:hAnsi="Times New Roman" w:cs="Times New Roman"/>
          <w:b/>
          <w:bCs/>
        </w:rPr>
      </w:pPr>
    </w:p>
    <w:p w14:paraId="1D1A474E" w14:textId="77777777" w:rsidR="00805D45" w:rsidRDefault="00805D45">
      <w:pPr>
        <w:rPr>
          <w:rFonts w:ascii="Times New Roman" w:hAnsi="Times New Roman" w:cs="Times New Roman"/>
          <w:b/>
          <w:bCs/>
        </w:rPr>
      </w:pPr>
    </w:p>
    <w:p w14:paraId="4BFA4565" w14:textId="77777777" w:rsidR="00805D45" w:rsidRDefault="00805D45">
      <w:pPr>
        <w:rPr>
          <w:rFonts w:ascii="Times New Roman" w:hAnsi="Times New Roman" w:cs="Times New Roman"/>
          <w:b/>
          <w:bCs/>
        </w:rPr>
      </w:pPr>
    </w:p>
    <w:p w14:paraId="05FC2B5D" w14:textId="77777777" w:rsidR="00805D45" w:rsidRDefault="00805D45">
      <w:pPr>
        <w:rPr>
          <w:rFonts w:ascii="Times New Roman" w:hAnsi="Times New Roman" w:cs="Times New Roman"/>
          <w:b/>
          <w:bCs/>
        </w:rPr>
      </w:pPr>
    </w:p>
    <w:p w14:paraId="5A9C028E" w14:textId="77777777" w:rsidR="00805D45" w:rsidRDefault="00805D45">
      <w:pPr>
        <w:rPr>
          <w:rFonts w:ascii="Times New Roman" w:hAnsi="Times New Roman" w:cs="Times New Roman"/>
          <w:b/>
          <w:bCs/>
        </w:rPr>
      </w:pPr>
    </w:p>
    <w:p w14:paraId="5DACFE8B" w14:textId="33C3E46D" w:rsidR="00805D45" w:rsidRDefault="00952ABF">
      <w:pPr>
        <w:rPr>
          <w:rFonts w:ascii="Times New Roman" w:hAnsi="Times New Roman" w:cs="Times New Roman"/>
          <w:b/>
          <w:bCs/>
        </w:rPr>
      </w:pPr>
      <w:r>
        <w:rPr>
          <w:noProof/>
        </w:rPr>
        <w:lastRenderedPageBreak/>
        <w:drawing>
          <wp:inline distT="0" distB="0" distL="0" distR="0" wp14:anchorId="337F6FA1" wp14:editId="1D69354D">
            <wp:extent cx="5274310" cy="4943475"/>
            <wp:effectExtent l="0" t="0" r="2540" b="9525"/>
            <wp:docPr id="38655190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4943475"/>
                    </a:xfrm>
                    <a:prstGeom prst="rect">
                      <a:avLst/>
                    </a:prstGeom>
                    <a:noFill/>
                    <a:ln>
                      <a:noFill/>
                    </a:ln>
                  </pic:spPr>
                </pic:pic>
              </a:graphicData>
            </a:graphic>
          </wp:inline>
        </w:drawing>
      </w:r>
    </w:p>
    <w:p w14:paraId="7221440A" w14:textId="3B72A53C" w:rsidR="00A87427" w:rsidRPr="00A87427" w:rsidRDefault="00805D45" w:rsidP="00A87427">
      <w:pPr>
        <w:spacing w:line="240" w:lineRule="auto"/>
        <w:contextualSpacing/>
        <w:rPr>
          <w:rFonts w:ascii="Times New Roman" w:hAnsi="Times New Roman" w:cs="Times New Roman"/>
          <w:sz w:val="18"/>
          <w:szCs w:val="20"/>
        </w:rPr>
      </w:pPr>
      <w:r w:rsidRPr="004D1F58">
        <w:rPr>
          <w:rFonts w:ascii="Times New Roman" w:hAnsi="Times New Roman" w:cs="Times New Roman"/>
          <w:b/>
          <w:bCs/>
        </w:rPr>
        <w:t xml:space="preserve">Supplementary Figure </w:t>
      </w:r>
      <w:r>
        <w:rPr>
          <w:rFonts w:ascii="Times New Roman" w:hAnsi="Times New Roman" w:cs="Times New Roman" w:hint="eastAsia"/>
          <w:b/>
          <w:bCs/>
        </w:rPr>
        <w:t>3.</w:t>
      </w:r>
      <w:r w:rsidR="00A87427" w:rsidRPr="00A87427">
        <w:rPr>
          <w:rFonts w:ascii="Times New Roman" w:hAnsi="Times New Roman" w:cs="Times New Roman"/>
          <w:b/>
          <w:bCs/>
        </w:rPr>
        <w:t xml:space="preserve"> Sensitivity analyses for the causal effect of C</w:t>
      </w:r>
      <w:r w:rsidR="00A87427">
        <w:rPr>
          <w:rFonts w:ascii="Times New Roman" w:hAnsi="Times New Roman" w:cs="Times New Roman" w:hint="eastAsia"/>
          <w:b/>
          <w:bCs/>
        </w:rPr>
        <w:t>2</w:t>
      </w:r>
      <w:r w:rsidR="00A87427" w:rsidRPr="00A87427">
        <w:rPr>
          <w:rFonts w:ascii="Times New Roman" w:hAnsi="Times New Roman" w:cs="Times New Roman"/>
          <w:b/>
          <w:bCs/>
        </w:rPr>
        <w:t xml:space="preserve"> on depression.</w:t>
      </w:r>
      <w:r w:rsidR="00A87427">
        <w:rPr>
          <w:rFonts w:ascii="Times New Roman" w:hAnsi="Times New Roman" w:cs="Times New Roman" w:hint="eastAsia"/>
          <w:b/>
          <w:bCs/>
        </w:rPr>
        <w:t xml:space="preserve"> </w:t>
      </w:r>
      <w:r w:rsidR="00A87427" w:rsidRPr="00A87427">
        <w:rPr>
          <w:rFonts w:ascii="Times New Roman" w:hAnsi="Times New Roman" w:cs="Times New Roman"/>
          <w:sz w:val="18"/>
          <w:szCs w:val="20"/>
        </w:rPr>
        <w:t>(a) Scatter plot of SNP effects on C</w:t>
      </w:r>
      <w:r w:rsidR="00A87427">
        <w:rPr>
          <w:rFonts w:ascii="Times New Roman" w:hAnsi="Times New Roman" w:cs="Times New Roman" w:hint="eastAsia"/>
          <w:sz w:val="18"/>
          <w:szCs w:val="20"/>
        </w:rPr>
        <w:t>2</w:t>
      </w:r>
      <w:r w:rsidR="00A87427" w:rsidRPr="00A87427">
        <w:rPr>
          <w:rFonts w:ascii="Times New Roman" w:hAnsi="Times New Roman" w:cs="Times New Roman"/>
          <w:sz w:val="18"/>
          <w:szCs w:val="20"/>
        </w:rPr>
        <w:t xml:space="preserve"> vs. depression, with fitted lines from IVW, MR-Egger, weighted median, and weighted mode methods.</w:t>
      </w:r>
      <w:r w:rsidR="00A87427" w:rsidRPr="00A87427">
        <w:rPr>
          <w:rFonts w:ascii="Times New Roman" w:hAnsi="Times New Roman" w:cs="Times New Roman" w:hint="eastAsia"/>
          <w:sz w:val="18"/>
          <w:szCs w:val="20"/>
        </w:rPr>
        <w:t xml:space="preserve"> </w:t>
      </w:r>
      <w:r w:rsidR="00A87427" w:rsidRPr="00A87427">
        <w:rPr>
          <w:rFonts w:ascii="Times New Roman" w:hAnsi="Times New Roman" w:cs="Times New Roman"/>
          <w:sz w:val="18"/>
          <w:szCs w:val="20"/>
        </w:rPr>
        <w:t>(b) Forest plot of single-SNP Wald ratio estimates; bottom row (red) shows the pooled IVW estimate.</w:t>
      </w:r>
      <w:r w:rsidR="00A87427" w:rsidRPr="00A87427">
        <w:rPr>
          <w:rFonts w:ascii="Times New Roman" w:hAnsi="Times New Roman" w:cs="Times New Roman" w:hint="eastAsia"/>
          <w:sz w:val="18"/>
          <w:szCs w:val="20"/>
        </w:rPr>
        <w:t xml:space="preserve"> </w:t>
      </w:r>
      <w:r w:rsidR="00A87427" w:rsidRPr="00A87427">
        <w:rPr>
          <w:rFonts w:ascii="Times New Roman" w:hAnsi="Times New Roman" w:cs="Times New Roman"/>
          <w:sz w:val="18"/>
          <w:szCs w:val="20"/>
        </w:rPr>
        <w:t>(c) Leave-one-out sensitivity analysis; bottom row (red) shows the estimate using all SNPs.</w:t>
      </w:r>
      <w:r w:rsidR="00A87427" w:rsidRPr="00A87427">
        <w:rPr>
          <w:rFonts w:ascii="Times New Roman" w:hAnsi="Times New Roman" w:cs="Times New Roman" w:hint="eastAsia"/>
          <w:sz w:val="18"/>
          <w:szCs w:val="20"/>
        </w:rPr>
        <w:t xml:space="preserve"> </w:t>
      </w:r>
      <w:r w:rsidR="00A87427" w:rsidRPr="00A87427">
        <w:rPr>
          <w:rFonts w:ascii="Times New Roman" w:hAnsi="Times New Roman" w:cs="Times New Roman"/>
          <w:sz w:val="18"/>
          <w:szCs w:val="20"/>
        </w:rPr>
        <w:t>(d) Funnel plot of instrument strength (1/SE) vs. single-SNP causal estimate (</w:t>
      </w:r>
      <w:proofErr w:type="spellStart"/>
      <w:r w:rsidR="00A87427" w:rsidRPr="00A87427">
        <w:rPr>
          <w:rFonts w:ascii="Times New Roman" w:hAnsi="Times New Roman" w:cs="Times New Roman"/>
          <w:sz w:val="18"/>
          <w:szCs w:val="20"/>
        </w:rPr>
        <w:t>θ_IV</w:t>
      </w:r>
      <w:proofErr w:type="spellEnd"/>
      <w:r w:rsidR="00A87427" w:rsidRPr="00A87427">
        <w:rPr>
          <w:rFonts w:ascii="Times New Roman" w:hAnsi="Times New Roman" w:cs="Times New Roman"/>
          <w:sz w:val="18"/>
          <w:szCs w:val="20"/>
        </w:rPr>
        <w:t>), assessing pleiotropy asymmetry; vertical lines denote IVW (grey) and MR-Egger (blue) estimates.</w:t>
      </w:r>
    </w:p>
    <w:p w14:paraId="5BC15A46" w14:textId="013C2694" w:rsidR="00805D45" w:rsidRPr="00A87427" w:rsidRDefault="00805D45" w:rsidP="00805D45">
      <w:pPr>
        <w:rPr>
          <w:rFonts w:ascii="Times New Roman" w:hAnsi="Times New Roman" w:cs="Times New Roman"/>
          <w:b/>
          <w:bCs/>
        </w:rPr>
      </w:pPr>
    </w:p>
    <w:p w14:paraId="7551BCB5" w14:textId="77777777" w:rsidR="00805D45" w:rsidRDefault="00805D45">
      <w:pPr>
        <w:rPr>
          <w:rFonts w:ascii="Times New Roman" w:hAnsi="Times New Roman" w:cs="Times New Roman"/>
          <w:b/>
          <w:bCs/>
        </w:rPr>
      </w:pPr>
    </w:p>
    <w:p w14:paraId="33D2C9D7" w14:textId="77777777" w:rsidR="00805D45" w:rsidRDefault="00805D45">
      <w:pPr>
        <w:rPr>
          <w:rFonts w:ascii="Times New Roman" w:hAnsi="Times New Roman" w:cs="Times New Roman"/>
          <w:b/>
          <w:bCs/>
        </w:rPr>
      </w:pPr>
    </w:p>
    <w:p w14:paraId="6CFBC1A0" w14:textId="77777777" w:rsidR="00805D45" w:rsidRDefault="00805D45">
      <w:pPr>
        <w:rPr>
          <w:rFonts w:ascii="Times New Roman" w:hAnsi="Times New Roman" w:cs="Times New Roman"/>
          <w:b/>
          <w:bCs/>
        </w:rPr>
      </w:pPr>
    </w:p>
    <w:p w14:paraId="5E5F3637" w14:textId="77777777" w:rsidR="00805D45" w:rsidRDefault="00805D45">
      <w:pPr>
        <w:rPr>
          <w:rFonts w:ascii="Times New Roman" w:hAnsi="Times New Roman" w:cs="Times New Roman"/>
          <w:b/>
          <w:bCs/>
        </w:rPr>
      </w:pPr>
    </w:p>
    <w:p w14:paraId="43B64A3E" w14:textId="77777777" w:rsidR="00805D45" w:rsidRDefault="00805D45">
      <w:pPr>
        <w:rPr>
          <w:rFonts w:ascii="Times New Roman" w:hAnsi="Times New Roman" w:cs="Times New Roman"/>
          <w:b/>
          <w:bCs/>
        </w:rPr>
      </w:pPr>
    </w:p>
    <w:p w14:paraId="2F291C01" w14:textId="77777777" w:rsidR="00805D45" w:rsidRDefault="00805D45">
      <w:pPr>
        <w:rPr>
          <w:rFonts w:ascii="Times New Roman" w:hAnsi="Times New Roman" w:cs="Times New Roman"/>
          <w:b/>
          <w:bCs/>
        </w:rPr>
      </w:pPr>
    </w:p>
    <w:p w14:paraId="2D8208ED" w14:textId="11011816" w:rsidR="00805D45" w:rsidRDefault="00952ABF">
      <w:pPr>
        <w:rPr>
          <w:rFonts w:ascii="Times New Roman" w:hAnsi="Times New Roman" w:cs="Times New Roman"/>
          <w:b/>
          <w:bCs/>
        </w:rPr>
      </w:pPr>
      <w:r>
        <w:rPr>
          <w:noProof/>
        </w:rPr>
        <w:lastRenderedPageBreak/>
        <w:drawing>
          <wp:inline distT="0" distB="0" distL="0" distR="0" wp14:anchorId="6361285C" wp14:editId="23DE2CCB">
            <wp:extent cx="5274310" cy="4868545"/>
            <wp:effectExtent l="0" t="0" r="2540" b="8255"/>
            <wp:docPr id="17002528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4868545"/>
                    </a:xfrm>
                    <a:prstGeom prst="rect">
                      <a:avLst/>
                    </a:prstGeom>
                    <a:noFill/>
                    <a:ln>
                      <a:noFill/>
                    </a:ln>
                  </pic:spPr>
                </pic:pic>
              </a:graphicData>
            </a:graphic>
          </wp:inline>
        </w:drawing>
      </w:r>
    </w:p>
    <w:p w14:paraId="193DC4A2" w14:textId="34DAF053" w:rsidR="00A87427" w:rsidRPr="00A87427" w:rsidRDefault="00A87427" w:rsidP="00A87427">
      <w:pPr>
        <w:spacing w:line="240" w:lineRule="auto"/>
        <w:contextualSpacing/>
        <w:rPr>
          <w:rFonts w:ascii="Times New Roman" w:hAnsi="Times New Roman" w:cs="Times New Roman"/>
          <w:sz w:val="18"/>
          <w:szCs w:val="20"/>
        </w:rPr>
      </w:pPr>
      <w:r w:rsidRPr="004D1F58">
        <w:rPr>
          <w:rFonts w:ascii="Times New Roman" w:hAnsi="Times New Roman" w:cs="Times New Roman"/>
          <w:b/>
          <w:bCs/>
        </w:rPr>
        <w:t xml:space="preserve">Supplementary Figure </w:t>
      </w:r>
      <w:r>
        <w:rPr>
          <w:rFonts w:ascii="Times New Roman" w:hAnsi="Times New Roman" w:cs="Times New Roman" w:hint="eastAsia"/>
          <w:b/>
          <w:bCs/>
        </w:rPr>
        <w:t>44.</w:t>
      </w:r>
      <w:r w:rsidRPr="00A87427">
        <w:rPr>
          <w:rFonts w:ascii="Times New Roman" w:hAnsi="Times New Roman" w:cs="Times New Roman"/>
          <w:b/>
          <w:bCs/>
        </w:rPr>
        <w:t xml:space="preserve"> Sensitivity analyses for the causal effect of C</w:t>
      </w:r>
      <w:r>
        <w:rPr>
          <w:rFonts w:ascii="Times New Roman" w:hAnsi="Times New Roman" w:cs="Times New Roman" w:hint="eastAsia"/>
          <w:b/>
          <w:bCs/>
        </w:rPr>
        <w:t>3</w:t>
      </w:r>
      <w:r w:rsidRPr="00A87427">
        <w:rPr>
          <w:rFonts w:ascii="Times New Roman" w:hAnsi="Times New Roman" w:cs="Times New Roman"/>
          <w:b/>
          <w:bCs/>
        </w:rPr>
        <w:t xml:space="preserve"> on depression.</w:t>
      </w:r>
      <w:r>
        <w:rPr>
          <w:rFonts w:ascii="Times New Roman" w:hAnsi="Times New Roman" w:cs="Times New Roman" w:hint="eastAsia"/>
          <w:b/>
          <w:bCs/>
        </w:rPr>
        <w:t xml:space="preserve"> </w:t>
      </w:r>
      <w:r w:rsidRPr="00A87427">
        <w:rPr>
          <w:rFonts w:ascii="Times New Roman" w:hAnsi="Times New Roman" w:cs="Times New Roman"/>
          <w:sz w:val="18"/>
          <w:szCs w:val="20"/>
        </w:rPr>
        <w:t>(a) Scatter plot of SNP effects on C</w:t>
      </w:r>
      <w:r>
        <w:rPr>
          <w:rFonts w:ascii="Times New Roman" w:hAnsi="Times New Roman" w:cs="Times New Roman" w:hint="eastAsia"/>
          <w:sz w:val="18"/>
          <w:szCs w:val="20"/>
        </w:rPr>
        <w:t>3</w:t>
      </w:r>
      <w:r w:rsidRPr="00A87427">
        <w:rPr>
          <w:rFonts w:ascii="Times New Roman" w:hAnsi="Times New Roman" w:cs="Times New Roman"/>
          <w:sz w:val="18"/>
          <w:szCs w:val="20"/>
        </w:rPr>
        <w:t xml:space="preserve"> vs. depression, with fitted lines from IVW, MR-Egger, weighted median, and weighted mode methods.</w:t>
      </w:r>
      <w:r w:rsidRPr="00A87427">
        <w:rPr>
          <w:rFonts w:ascii="Times New Roman" w:hAnsi="Times New Roman" w:cs="Times New Roman" w:hint="eastAsia"/>
          <w:sz w:val="18"/>
          <w:szCs w:val="20"/>
        </w:rPr>
        <w:t xml:space="preserve"> </w:t>
      </w:r>
      <w:r w:rsidRPr="00A87427">
        <w:rPr>
          <w:rFonts w:ascii="Times New Roman" w:hAnsi="Times New Roman" w:cs="Times New Roman"/>
          <w:sz w:val="18"/>
          <w:szCs w:val="20"/>
        </w:rPr>
        <w:t>(b) Forest plot of single-SNP Wald ratio estimates; bottom row (red) shows the pooled IVW estimate.</w:t>
      </w:r>
      <w:r w:rsidRPr="00A87427">
        <w:rPr>
          <w:rFonts w:ascii="Times New Roman" w:hAnsi="Times New Roman" w:cs="Times New Roman" w:hint="eastAsia"/>
          <w:sz w:val="18"/>
          <w:szCs w:val="20"/>
        </w:rPr>
        <w:t xml:space="preserve"> </w:t>
      </w:r>
      <w:r w:rsidRPr="00A87427">
        <w:rPr>
          <w:rFonts w:ascii="Times New Roman" w:hAnsi="Times New Roman" w:cs="Times New Roman"/>
          <w:sz w:val="18"/>
          <w:szCs w:val="20"/>
        </w:rPr>
        <w:t>(c) Leave-one-out sensitivity analysis; bottom row (red) shows the estimate using all SNPs.</w:t>
      </w:r>
      <w:r w:rsidRPr="00A87427">
        <w:rPr>
          <w:rFonts w:ascii="Times New Roman" w:hAnsi="Times New Roman" w:cs="Times New Roman" w:hint="eastAsia"/>
          <w:sz w:val="18"/>
          <w:szCs w:val="20"/>
        </w:rPr>
        <w:t xml:space="preserve"> </w:t>
      </w:r>
      <w:r w:rsidRPr="00A87427">
        <w:rPr>
          <w:rFonts w:ascii="Times New Roman" w:hAnsi="Times New Roman" w:cs="Times New Roman"/>
          <w:sz w:val="18"/>
          <w:szCs w:val="20"/>
        </w:rPr>
        <w:t>(d) Funnel plot of instrument strength (1/SE) vs. single-SNP causal estimate (</w:t>
      </w:r>
      <w:proofErr w:type="spellStart"/>
      <w:r w:rsidRPr="00A87427">
        <w:rPr>
          <w:rFonts w:ascii="Times New Roman" w:hAnsi="Times New Roman" w:cs="Times New Roman"/>
          <w:sz w:val="18"/>
          <w:szCs w:val="20"/>
        </w:rPr>
        <w:t>θ_IV</w:t>
      </w:r>
      <w:proofErr w:type="spellEnd"/>
      <w:r w:rsidRPr="00A87427">
        <w:rPr>
          <w:rFonts w:ascii="Times New Roman" w:hAnsi="Times New Roman" w:cs="Times New Roman"/>
          <w:sz w:val="18"/>
          <w:szCs w:val="20"/>
        </w:rPr>
        <w:t>), assessing pleiotropy asymmetry; vertical lines denote IVW (grey) and MR-Egger (blue) estimates.</w:t>
      </w:r>
    </w:p>
    <w:p w14:paraId="66FD7079" w14:textId="77777777" w:rsidR="0053766F" w:rsidRPr="00A87427" w:rsidRDefault="0053766F">
      <w:pPr>
        <w:rPr>
          <w:rFonts w:ascii="Times New Roman" w:hAnsi="Times New Roman" w:cs="Times New Roman"/>
          <w:b/>
          <w:bCs/>
        </w:rPr>
      </w:pPr>
    </w:p>
    <w:p w14:paraId="198C0991" w14:textId="77777777" w:rsidR="0053766F" w:rsidRDefault="0053766F">
      <w:pPr>
        <w:rPr>
          <w:rFonts w:ascii="Times New Roman" w:hAnsi="Times New Roman" w:cs="Times New Roman"/>
          <w:b/>
          <w:bCs/>
        </w:rPr>
      </w:pPr>
    </w:p>
    <w:p w14:paraId="3BBD0E20" w14:textId="77777777" w:rsidR="0053766F" w:rsidRDefault="0053766F">
      <w:pPr>
        <w:rPr>
          <w:rFonts w:ascii="Times New Roman" w:hAnsi="Times New Roman" w:cs="Times New Roman"/>
          <w:b/>
          <w:bCs/>
        </w:rPr>
      </w:pPr>
    </w:p>
    <w:p w14:paraId="7A41C79E" w14:textId="77777777" w:rsidR="0053766F" w:rsidRDefault="0053766F">
      <w:pPr>
        <w:rPr>
          <w:rFonts w:ascii="Times New Roman" w:hAnsi="Times New Roman" w:cs="Times New Roman"/>
          <w:b/>
          <w:bCs/>
        </w:rPr>
      </w:pPr>
    </w:p>
    <w:p w14:paraId="6E02F125" w14:textId="77777777" w:rsidR="0053766F" w:rsidRDefault="0053766F">
      <w:pPr>
        <w:rPr>
          <w:rFonts w:ascii="Times New Roman" w:hAnsi="Times New Roman" w:cs="Times New Roman"/>
          <w:b/>
          <w:bCs/>
        </w:rPr>
      </w:pPr>
    </w:p>
    <w:p w14:paraId="08341825" w14:textId="77777777" w:rsidR="0053766F" w:rsidRDefault="0053766F">
      <w:pPr>
        <w:rPr>
          <w:rFonts w:ascii="Times New Roman" w:hAnsi="Times New Roman" w:cs="Times New Roman"/>
          <w:b/>
          <w:bCs/>
        </w:rPr>
      </w:pPr>
    </w:p>
    <w:p w14:paraId="73D1A779" w14:textId="77777777" w:rsidR="0053766F" w:rsidRDefault="0053766F">
      <w:pPr>
        <w:rPr>
          <w:rFonts w:ascii="Times New Roman" w:hAnsi="Times New Roman" w:cs="Times New Roman"/>
          <w:b/>
          <w:bCs/>
        </w:rPr>
      </w:pPr>
    </w:p>
    <w:p w14:paraId="2FDEF9FA" w14:textId="77777777" w:rsidR="0053766F" w:rsidRDefault="0053766F">
      <w:pPr>
        <w:rPr>
          <w:rFonts w:ascii="Times New Roman" w:hAnsi="Times New Roman" w:cs="Times New Roman"/>
          <w:b/>
          <w:bCs/>
        </w:rPr>
      </w:pPr>
    </w:p>
    <w:p w14:paraId="45DC1202" w14:textId="2AEF8341" w:rsidR="0053766F" w:rsidRDefault="0053766F">
      <w:pPr>
        <w:rPr>
          <w:rFonts w:ascii="Times New Roman" w:hAnsi="Times New Roman" w:cs="Times New Roman"/>
          <w:b/>
          <w:bCs/>
        </w:rPr>
      </w:pPr>
      <w:r>
        <w:rPr>
          <w:noProof/>
        </w:rPr>
        <w:lastRenderedPageBreak/>
        <w:drawing>
          <wp:inline distT="0" distB="0" distL="0" distR="0" wp14:anchorId="45C2566F" wp14:editId="2A41645D">
            <wp:extent cx="5274310" cy="3076575"/>
            <wp:effectExtent l="0" t="0" r="2540" b="9525"/>
            <wp:docPr id="85839130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3076575"/>
                    </a:xfrm>
                    <a:prstGeom prst="rect">
                      <a:avLst/>
                    </a:prstGeom>
                    <a:noFill/>
                    <a:ln>
                      <a:noFill/>
                    </a:ln>
                  </pic:spPr>
                </pic:pic>
              </a:graphicData>
            </a:graphic>
          </wp:inline>
        </w:drawing>
      </w:r>
    </w:p>
    <w:p w14:paraId="25982E58" w14:textId="68F9E4F4" w:rsidR="001045F6" w:rsidRPr="001045F6" w:rsidRDefault="0053766F" w:rsidP="001045F6">
      <w:pPr>
        <w:spacing w:line="240" w:lineRule="auto"/>
        <w:contextualSpacing/>
        <w:rPr>
          <w:rFonts w:ascii="Times New Roman" w:hAnsi="Times New Roman" w:cs="Times New Roman"/>
        </w:rPr>
      </w:pPr>
      <w:r>
        <w:rPr>
          <w:rFonts w:ascii="Times New Roman" w:hAnsi="Times New Roman" w:cs="Times New Roman" w:hint="eastAsia"/>
          <w:b/>
          <w:bCs/>
        </w:rPr>
        <w:t>Supplementary Figure 5.</w:t>
      </w:r>
      <w:r w:rsidR="001045F6">
        <w:rPr>
          <w:rFonts w:ascii="Times New Roman" w:hAnsi="Times New Roman" w:cs="Times New Roman" w:hint="eastAsia"/>
          <w:b/>
          <w:bCs/>
        </w:rPr>
        <w:t xml:space="preserve"> </w:t>
      </w:r>
      <w:r w:rsidR="001045F6" w:rsidRPr="001045F6">
        <w:rPr>
          <w:rFonts w:ascii="Times New Roman" w:hAnsi="Times New Roman" w:cs="Times New Roman"/>
          <w:b/>
          <w:bCs/>
        </w:rPr>
        <w:t>CAUSE analysis of the causal effect of C3 on depression</w:t>
      </w:r>
      <w:r w:rsidR="001045F6">
        <w:rPr>
          <w:rFonts w:ascii="Times New Roman" w:hAnsi="Times New Roman" w:cs="Times New Roman" w:hint="eastAsia"/>
          <w:b/>
          <w:bCs/>
        </w:rPr>
        <w:t xml:space="preserve">. </w:t>
      </w:r>
      <w:r w:rsidR="001045F6" w:rsidRPr="001045F6">
        <w:rPr>
          <w:rFonts w:ascii="Times New Roman" w:hAnsi="Times New Roman" w:cs="Times New Roman"/>
          <w:sz w:val="18"/>
          <w:szCs w:val="20"/>
        </w:rPr>
        <w:t xml:space="preserve">Top left: Model comparison table showing expected log pointwise predictive density (ELPD) differences between the null, sharing, and causal models. Negative </w:t>
      </w:r>
      <w:proofErr w:type="spellStart"/>
      <w:r w:rsidR="001045F6" w:rsidRPr="001045F6">
        <w:rPr>
          <w:rFonts w:ascii="Times New Roman" w:hAnsi="Times New Roman" w:cs="Times New Roman"/>
          <w:sz w:val="18"/>
          <w:szCs w:val="20"/>
        </w:rPr>
        <w:t>delta_ELPD</w:t>
      </w:r>
      <w:proofErr w:type="spellEnd"/>
      <w:r w:rsidR="001045F6" w:rsidRPr="001045F6">
        <w:rPr>
          <w:rFonts w:ascii="Times New Roman" w:hAnsi="Times New Roman" w:cs="Times New Roman"/>
          <w:sz w:val="18"/>
          <w:szCs w:val="20"/>
        </w:rPr>
        <w:t xml:space="preserve"> with z &lt; −2 and P &lt; 0.05 indicates the more complex model (model2) fits significantly better than the simpler model (model1); the causal model outperforms both the null and sharing models</w:t>
      </w:r>
      <w:r w:rsidR="001045F6" w:rsidRPr="001045F6">
        <w:rPr>
          <w:rFonts w:ascii="Times New Roman" w:hAnsi="Times New Roman" w:cs="Times New Roman" w:hint="eastAsia"/>
          <w:sz w:val="18"/>
          <w:szCs w:val="20"/>
        </w:rPr>
        <w:t xml:space="preserve">. </w:t>
      </w:r>
      <w:r w:rsidR="001045F6" w:rsidRPr="001045F6">
        <w:rPr>
          <w:rFonts w:ascii="Times New Roman" w:hAnsi="Times New Roman" w:cs="Times New Roman"/>
          <w:sz w:val="18"/>
          <w:szCs w:val="20"/>
        </w:rPr>
        <w:t>Top right: Posterior estimates (median, 95% credible interval) for the sharing and causal models. gamma, causal effect of C3 on depression; eta, effect of the shared latent factor; q, proportion of variants exhibiting the shared factor effect.</w:t>
      </w:r>
      <w:r w:rsidR="001045F6" w:rsidRPr="001045F6">
        <w:rPr>
          <w:rFonts w:ascii="Times New Roman" w:hAnsi="Times New Roman" w:cs="Times New Roman" w:hint="eastAsia"/>
          <w:sz w:val="18"/>
          <w:szCs w:val="20"/>
        </w:rPr>
        <w:t xml:space="preserve"> </w:t>
      </w:r>
      <w:r w:rsidR="001045F6" w:rsidRPr="001045F6">
        <w:rPr>
          <w:rFonts w:ascii="Times New Roman" w:hAnsi="Times New Roman" w:cs="Times New Roman"/>
          <w:sz w:val="18"/>
          <w:szCs w:val="20"/>
        </w:rPr>
        <w:t>Bottom: Posterior (solid) and prior (dashed) density distributions for eta and q under the sharing model (top row), and for gamma, eta, and q under the causal model (bottom row).</w:t>
      </w:r>
    </w:p>
    <w:p w14:paraId="491366EB" w14:textId="5A36AFEC" w:rsidR="0053766F" w:rsidRDefault="0053766F">
      <w:pPr>
        <w:rPr>
          <w:rFonts w:ascii="Times New Roman" w:hAnsi="Times New Roman" w:cs="Times New Roman"/>
          <w:b/>
          <w:bCs/>
        </w:rPr>
      </w:pPr>
    </w:p>
    <w:p w14:paraId="23559404" w14:textId="77777777" w:rsidR="00D861DA" w:rsidRDefault="00D861DA">
      <w:pPr>
        <w:rPr>
          <w:rFonts w:ascii="Times New Roman" w:hAnsi="Times New Roman" w:cs="Times New Roman"/>
          <w:b/>
          <w:bCs/>
        </w:rPr>
      </w:pPr>
    </w:p>
    <w:p w14:paraId="43B36A40" w14:textId="77777777" w:rsidR="00D861DA" w:rsidRDefault="00D861DA">
      <w:pPr>
        <w:rPr>
          <w:rFonts w:ascii="Times New Roman" w:hAnsi="Times New Roman" w:cs="Times New Roman"/>
          <w:b/>
          <w:bCs/>
        </w:rPr>
      </w:pPr>
    </w:p>
    <w:p w14:paraId="7937955F" w14:textId="77777777" w:rsidR="00D861DA" w:rsidRDefault="00D861DA">
      <w:pPr>
        <w:rPr>
          <w:rFonts w:ascii="Times New Roman" w:hAnsi="Times New Roman" w:cs="Times New Roman"/>
          <w:b/>
          <w:bCs/>
        </w:rPr>
      </w:pPr>
    </w:p>
    <w:p w14:paraId="5D32E2E7" w14:textId="77777777" w:rsidR="00D861DA" w:rsidRDefault="00D861DA">
      <w:pPr>
        <w:rPr>
          <w:rFonts w:ascii="Times New Roman" w:hAnsi="Times New Roman" w:cs="Times New Roman"/>
          <w:b/>
          <w:bCs/>
        </w:rPr>
      </w:pPr>
    </w:p>
    <w:p w14:paraId="63C866AC" w14:textId="77777777" w:rsidR="00D861DA" w:rsidRDefault="00D861DA">
      <w:pPr>
        <w:rPr>
          <w:rFonts w:ascii="Times New Roman" w:hAnsi="Times New Roman" w:cs="Times New Roman"/>
          <w:b/>
          <w:bCs/>
        </w:rPr>
      </w:pPr>
    </w:p>
    <w:p w14:paraId="1B2E04D1" w14:textId="77777777" w:rsidR="00D861DA" w:rsidRDefault="00D861DA">
      <w:pPr>
        <w:rPr>
          <w:rFonts w:ascii="Times New Roman" w:hAnsi="Times New Roman" w:cs="Times New Roman"/>
          <w:b/>
          <w:bCs/>
        </w:rPr>
      </w:pPr>
    </w:p>
    <w:p w14:paraId="500F8907" w14:textId="77777777" w:rsidR="00D861DA" w:rsidRDefault="00D861DA">
      <w:pPr>
        <w:rPr>
          <w:rFonts w:ascii="Times New Roman" w:hAnsi="Times New Roman" w:cs="Times New Roman"/>
          <w:b/>
          <w:bCs/>
        </w:rPr>
      </w:pPr>
    </w:p>
    <w:p w14:paraId="0B6FB718" w14:textId="77777777" w:rsidR="00D861DA" w:rsidRDefault="00D861DA">
      <w:pPr>
        <w:rPr>
          <w:rFonts w:ascii="Times New Roman" w:hAnsi="Times New Roman" w:cs="Times New Roman"/>
          <w:b/>
          <w:bCs/>
        </w:rPr>
      </w:pPr>
    </w:p>
    <w:p w14:paraId="5B3042C8" w14:textId="77777777" w:rsidR="00D861DA" w:rsidRDefault="00D861DA">
      <w:pPr>
        <w:rPr>
          <w:rFonts w:ascii="Times New Roman" w:hAnsi="Times New Roman" w:cs="Times New Roman"/>
          <w:b/>
          <w:bCs/>
        </w:rPr>
      </w:pPr>
    </w:p>
    <w:p w14:paraId="4C83754A" w14:textId="77777777" w:rsidR="00D861DA" w:rsidRDefault="00D861DA">
      <w:pPr>
        <w:rPr>
          <w:rFonts w:ascii="Times New Roman" w:hAnsi="Times New Roman" w:cs="Times New Roman"/>
          <w:b/>
          <w:bCs/>
        </w:rPr>
      </w:pPr>
    </w:p>
    <w:p w14:paraId="50D79647" w14:textId="77777777" w:rsidR="00D861DA" w:rsidRDefault="00D861DA">
      <w:pPr>
        <w:rPr>
          <w:rFonts w:ascii="Times New Roman" w:hAnsi="Times New Roman" w:cs="Times New Roman"/>
          <w:b/>
          <w:bCs/>
        </w:rPr>
      </w:pPr>
    </w:p>
    <w:p w14:paraId="2706727B" w14:textId="367E91F3" w:rsidR="00AA3D1E" w:rsidRDefault="00A86816">
      <w:pPr>
        <w:rPr>
          <w:rFonts w:ascii="Times New Roman" w:hAnsi="Times New Roman" w:cs="Times New Roman"/>
          <w:b/>
          <w:bCs/>
        </w:rPr>
      </w:pPr>
      <w:r>
        <w:rPr>
          <w:noProof/>
        </w:rPr>
        <w:lastRenderedPageBreak/>
        <w:drawing>
          <wp:inline distT="0" distB="0" distL="0" distR="0" wp14:anchorId="7C5BB89D" wp14:editId="179E3974">
            <wp:extent cx="5274310" cy="3966845"/>
            <wp:effectExtent l="0" t="0" r="2540" b="0"/>
            <wp:docPr id="4936867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3966845"/>
                    </a:xfrm>
                    <a:prstGeom prst="rect">
                      <a:avLst/>
                    </a:prstGeom>
                    <a:noFill/>
                    <a:ln>
                      <a:noFill/>
                    </a:ln>
                  </pic:spPr>
                </pic:pic>
              </a:graphicData>
            </a:graphic>
          </wp:inline>
        </w:drawing>
      </w:r>
    </w:p>
    <w:p w14:paraId="164E3199" w14:textId="6ECB0D0F" w:rsidR="00AA3D1E" w:rsidRDefault="00AA3D1E" w:rsidP="00AA3D1E">
      <w:pPr>
        <w:spacing w:line="240" w:lineRule="auto"/>
        <w:contextualSpacing/>
        <w:rPr>
          <w:rFonts w:ascii="Times New Roman" w:hAnsi="Times New Roman" w:cs="Times New Roman"/>
          <w:b/>
          <w:bCs/>
        </w:rPr>
      </w:pPr>
      <w:r>
        <w:rPr>
          <w:rFonts w:ascii="Times New Roman" w:hAnsi="Times New Roman" w:cs="Times New Roman" w:hint="eastAsia"/>
          <w:b/>
          <w:bCs/>
        </w:rPr>
        <w:t>Supplementary Figure 6.</w:t>
      </w:r>
      <w:r w:rsidRPr="00AA3D1E">
        <w:t xml:space="preserve"> </w:t>
      </w:r>
      <w:r w:rsidRPr="00AA3D1E">
        <w:rPr>
          <w:rFonts w:ascii="Times New Roman" w:hAnsi="Times New Roman" w:cs="Times New Roman"/>
          <w:b/>
          <w:bCs/>
        </w:rPr>
        <w:t xml:space="preserve">Differentially expressed genes associated with the four clusters. </w:t>
      </w:r>
      <w:r w:rsidRPr="00AA3D1E">
        <w:rPr>
          <w:rFonts w:ascii="Times New Roman" w:hAnsi="Times New Roman" w:cs="Times New Roman"/>
          <w:sz w:val="18"/>
          <w:szCs w:val="18"/>
        </w:rPr>
        <w:t xml:space="preserve">SNPs for each </w:t>
      </w:r>
      <w:proofErr w:type="spellStart"/>
      <w:r w:rsidRPr="00AA3D1E">
        <w:rPr>
          <w:rFonts w:ascii="Times New Roman" w:hAnsi="Times New Roman" w:cs="Times New Roman"/>
          <w:sz w:val="18"/>
          <w:szCs w:val="18"/>
        </w:rPr>
        <w:t>cluste</w:t>
      </w:r>
      <w:proofErr w:type="spellEnd"/>
      <w:r w:rsidRPr="00AA3D1E">
        <w:rPr>
          <w:rFonts w:ascii="Times New Roman" w:hAnsi="Times New Roman" w:cs="Times New Roman"/>
          <w:sz w:val="18"/>
          <w:szCs w:val="18"/>
        </w:rPr>
        <w:t xml:space="preserve"> were annotated to genes using the SNP2GENE function in FUMA. Functional enrichment analyses were then performed using the GENE2FUNC function, including assessment of differential gene expression across 54 tissues based on </w:t>
      </w:r>
      <w:proofErr w:type="spellStart"/>
      <w:r w:rsidRPr="00AA3D1E">
        <w:rPr>
          <w:rFonts w:ascii="Times New Roman" w:hAnsi="Times New Roman" w:cs="Times New Roman"/>
          <w:sz w:val="18"/>
          <w:szCs w:val="18"/>
        </w:rPr>
        <w:t>GTex</w:t>
      </w:r>
      <w:proofErr w:type="spellEnd"/>
      <w:r w:rsidRPr="00AA3D1E">
        <w:rPr>
          <w:rFonts w:ascii="Times New Roman" w:hAnsi="Times New Roman" w:cs="Times New Roman"/>
          <w:sz w:val="18"/>
          <w:szCs w:val="18"/>
        </w:rPr>
        <w:t xml:space="preserve"> v8. Enrichment analysis was conducted using the hypergeometric test as implemented in </w:t>
      </w:r>
      <w:proofErr w:type="gramStart"/>
      <w:r w:rsidRPr="00AA3D1E">
        <w:rPr>
          <w:rFonts w:ascii="Times New Roman" w:hAnsi="Times New Roman" w:cs="Times New Roman"/>
          <w:sz w:val="18"/>
          <w:szCs w:val="18"/>
        </w:rPr>
        <w:t>g:Profiler</w:t>
      </w:r>
      <w:proofErr w:type="gramEnd"/>
      <w:r w:rsidRPr="00AA3D1E">
        <w:rPr>
          <w:rFonts w:ascii="Times New Roman" w:hAnsi="Times New Roman" w:cs="Times New Roman"/>
          <w:sz w:val="18"/>
          <w:szCs w:val="18"/>
        </w:rPr>
        <w:t xml:space="preserve">. </w:t>
      </w:r>
      <w:proofErr w:type="spellStart"/>
      <w:r w:rsidRPr="00AA3D1E">
        <w:rPr>
          <w:rFonts w:ascii="Times New Roman" w:hAnsi="Times New Roman" w:cs="Times New Roman"/>
          <w:sz w:val="18"/>
          <w:szCs w:val="18"/>
        </w:rPr>
        <w:t>Padj</w:t>
      </w:r>
      <w:proofErr w:type="spellEnd"/>
      <w:r w:rsidRPr="00AA3D1E">
        <w:rPr>
          <w:rFonts w:ascii="Times New Roman" w:hAnsi="Times New Roman" w:cs="Times New Roman"/>
          <w:sz w:val="18"/>
          <w:szCs w:val="18"/>
        </w:rPr>
        <w:t xml:space="preserve"> - the experiment-wide adjusted </w:t>
      </w:r>
      <w:proofErr w:type="gramStart"/>
      <w:r w:rsidRPr="00AA3D1E">
        <w:rPr>
          <w:rFonts w:ascii="Times New Roman" w:hAnsi="Times New Roman" w:cs="Times New Roman"/>
          <w:sz w:val="18"/>
          <w:szCs w:val="18"/>
        </w:rPr>
        <w:t>Red</w:t>
      </w:r>
      <w:proofErr w:type="gramEnd"/>
      <w:r w:rsidRPr="00AA3D1E">
        <w:rPr>
          <w:rFonts w:ascii="Times New Roman" w:hAnsi="Times New Roman" w:cs="Times New Roman"/>
          <w:sz w:val="18"/>
          <w:szCs w:val="18"/>
        </w:rPr>
        <w:t xml:space="preserve"> bars indicate significant enrichment at Bonferroni corrected two-sided P-value of ≤ 0.05.</w:t>
      </w:r>
    </w:p>
    <w:p w14:paraId="15699C21" w14:textId="77777777" w:rsidR="00AA3D1E" w:rsidRDefault="00AA3D1E">
      <w:pPr>
        <w:rPr>
          <w:rFonts w:ascii="Times New Roman" w:hAnsi="Times New Roman" w:cs="Times New Roman"/>
          <w:b/>
          <w:bCs/>
        </w:rPr>
      </w:pPr>
    </w:p>
    <w:p w14:paraId="3E840CB8" w14:textId="77777777" w:rsidR="00AA3D1E" w:rsidRDefault="00AA3D1E">
      <w:pPr>
        <w:rPr>
          <w:rFonts w:ascii="Times New Roman" w:hAnsi="Times New Roman" w:cs="Times New Roman"/>
          <w:b/>
          <w:bCs/>
        </w:rPr>
      </w:pPr>
    </w:p>
    <w:p w14:paraId="3AA9F421" w14:textId="77777777" w:rsidR="00F77802" w:rsidRDefault="00F77802">
      <w:pPr>
        <w:rPr>
          <w:rFonts w:ascii="Times New Roman" w:hAnsi="Times New Roman" w:cs="Times New Roman"/>
          <w:b/>
          <w:bCs/>
        </w:rPr>
      </w:pPr>
    </w:p>
    <w:p w14:paraId="27969DFE" w14:textId="77777777" w:rsidR="00F77802" w:rsidRDefault="00F77802">
      <w:pPr>
        <w:rPr>
          <w:rFonts w:ascii="Times New Roman" w:hAnsi="Times New Roman" w:cs="Times New Roman"/>
          <w:b/>
          <w:bCs/>
        </w:rPr>
      </w:pPr>
    </w:p>
    <w:p w14:paraId="749EDAE7" w14:textId="77777777" w:rsidR="00F77802" w:rsidRDefault="00F77802">
      <w:pPr>
        <w:rPr>
          <w:rFonts w:ascii="Times New Roman" w:hAnsi="Times New Roman" w:cs="Times New Roman"/>
          <w:b/>
          <w:bCs/>
        </w:rPr>
      </w:pPr>
    </w:p>
    <w:p w14:paraId="0ABF241D" w14:textId="77777777" w:rsidR="00F77802" w:rsidRDefault="00F77802">
      <w:pPr>
        <w:rPr>
          <w:rFonts w:ascii="Times New Roman" w:hAnsi="Times New Roman" w:cs="Times New Roman"/>
          <w:b/>
          <w:bCs/>
        </w:rPr>
      </w:pPr>
    </w:p>
    <w:p w14:paraId="60FE8CA6" w14:textId="77777777" w:rsidR="00F77802" w:rsidRDefault="00F77802">
      <w:pPr>
        <w:rPr>
          <w:rFonts w:ascii="Times New Roman" w:hAnsi="Times New Roman" w:cs="Times New Roman"/>
          <w:b/>
          <w:bCs/>
        </w:rPr>
      </w:pPr>
    </w:p>
    <w:p w14:paraId="1DB7174B" w14:textId="77777777" w:rsidR="00F77802" w:rsidRDefault="00F77802">
      <w:pPr>
        <w:rPr>
          <w:rFonts w:ascii="Times New Roman" w:hAnsi="Times New Roman" w:cs="Times New Roman"/>
          <w:b/>
          <w:bCs/>
        </w:rPr>
      </w:pPr>
    </w:p>
    <w:p w14:paraId="2B8CDA7E" w14:textId="77777777" w:rsidR="00F77802" w:rsidRDefault="00F77802">
      <w:pPr>
        <w:rPr>
          <w:rFonts w:ascii="Times New Roman" w:hAnsi="Times New Roman" w:cs="Times New Roman"/>
          <w:b/>
          <w:bCs/>
        </w:rPr>
      </w:pPr>
    </w:p>
    <w:p w14:paraId="7B648657" w14:textId="77777777" w:rsidR="00F77802" w:rsidRDefault="00F77802">
      <w:pPr>
        <w:rPr>
          <w:rFonts w:ascii="Times New Roman" w:hAnsi="Times New Roman" w:cs="Times New Roman"/>
          <w:b/>
          <w:bCs/>
        </w:rPr>
      </w:pPr>
    </w:p>
    <w:p w14:paraId="36B9DF26" w14:textId="3B420EC5" w:rsidR="00F77802" w:rsidRDefault="00F77802">
      <w:pPr>
        <w:rPr>
          <w:rFonts w:ascii="Times New Roman" w:hAnsi="Times New Roman" w:cs="Times New Roman"/>
          <w:b/>
          <w:bCs/>
        </w:rPr>
      </w:pPr>
      <w:r>
        <w:rPr>
          <w:noProof/>
        </w:rPr>
        <w:lastRenderedPageBreak/>
        <w:drawing>
          <wp:inline distT="0" distB="0" distL="0" distR="0" wp14:anchorId="08FD7E91" wp14:editId="3564D911">
            <wp:extent cx="5274310" cy="6384925"/>
            <wp:effectExtent l="0" t="0" r="2540" b="0"/>
            <wp:docPr id="13566873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6384925"/>
                    </a:xfrm>
                    <a:prstGeom prst="rect">
                      <a:avLst/>
                    </a:prstGeom>
                    <a:noFill/>
                    <a:ln>
                      <a:noFill/>
                    </a:ln>
                  </pic:spPr>
                </pic:pic>
              </a:graphicData>
            </a:graphic>
          </wp:inline>
        </w:drawing>
      </w:r>
    </w:p>
    <w:p w14:paraId="5A400A0A" w14:textId="25211F39" w:rsidR="00F77802" w:rsidRDefault="00F77802" w:rsidP="000C2522">
      <w:pPr>
        <w:spacing w:line="240" w:lineRule="auto"/>
        <w:contextualSpacing/>
        <w:rPr>
          <w:rFonts w:ascii="Times New Roman" w:hAnsi="Times New Roman" w:cs="Times New Roman" w:hint="eastAsia"/>
          <w:b/>
          <w:bCs/>
        </w:rPr>
      </w:pPr>
      <w:r>
        <w:rPr>
          <w:rFonts w:ascii="Times New Roman" w:hAnsi="Times New Roman" w:cs="Times New Roman" w:hint="eastAsia"/>
          <w:b/>
          <w:bCs/>
        </w:rPr>
        <w:t>Supplementary Figure 7.</w:t>
      </w:r>
      <w:r w:rsidR="000C2522">
        <w:rPr>
          <w:rFonts w:ascii="Times New Roman" w:hAnsi="Times New Roman" w:cs="Times New Roman" w:hint="eastAsia"/>
          <w:b/>
          <w:bCs/>
        </w:rPr>
        <w:t xml:space="preserve"> </w:t>
      </w:r>
      <w:r w:rsidR="000C2522" w:rsidRPr="000C2522">
        <w:rPr>
          <w:rFonts w:ascii="Times New Roman" w:hAnsi="Times New Roman" w:cs="Times New Roman"/>
          <w:b/>
          <w:bCs/>
        </w:rPr>
        <w:t>Cluster-specific pathway enrichment of BMI-associated genetic clusters.</w:t>
      </w:r>
      <w:r w:rsidR="000C2522" w:rsidRPr="000C2522">
        <w:rPr>
          <w:rFonts w:ascii="Times New Roman" w:hAnsi="Times New Roman" w:cs="Times New Roman" w:hint="eastAsia"/>
          <w:b/>
          <w:bCs/>
          <w:sz w:val="18"/>
          <w:szCs w:val="18"/>
        </w:rPr>
        <w:t xml:space="preserve"> </w:t>
      </w:r>
      <w:r w:rsidR="000C2522" w:rsidRPr="000C2522">
        <w:rPr>
          <w:rFonts w:ascii="Times New Roman" w:hAnsi="Times New Roman" w:cs="Times New Roman"/>
          <w:sz w:val="18"/>
          <w:szCs w:val="18"/>
        </w:rPr>
        <w:t xml:space="preserve">Dot plots of Gene Ontology (GO; biological process [BP], cellular component [CC], molecular function [MF]) and KEGG pathway enrichment for genes mapped to each cluster: (a) C1 (high-risk), (b) C2 (moderate-risk), (c) C3 (protective), and (d) C4 (null). The x-axis shows the </w:t>
      </w:r>
      <w:proofErr w:type="spellStart"/>
      <w:r w:rsidR="000C2522" w:rsidRPr="000C2522">
        <w:rPr>
          <w:rFonts w:ascii="Times New Roman" w:hAnsi="Times New Roman" w:cs="Times New Roman"/>
          <w:sz w:val="18"/>
          <w:szCs w:val="18"/>
        </w:rPr>
        <w:t>GeneRatio</w:t>
      </w:r>
      <w:proofErr w:type="spellEnd"/>
      <w:r w:rsidR="000C2522" w:rsidRPr="000C2522">
        <w:rPr>
          <w:rFonts w:ascii="Times New Roman" w:hAnsi="Times New Roman" w:cs="Times New Roman"/>
          <w:sz w:val="18"/>
          <w:szCs w:val="18"/>
        </w:rPr>
        <w:t xml:space="preserve"> (proportion of cluster-mapped genes within each term); dot size indicates the number of overlapping genes, and dot color indicates the Benjamini–Hochberg adjusted P value. Terms are grouped by ontology category and ordered by </w:t>
      </w:r>
      <w:proofErr w:type="spellStart"/>
      <w:r w:rsidR="000C2522" w:rsidRPr="000C2522">
        <w:rPr>
          <w:rFonts w:ascii="Times New Roman" w:hAnsi="Times New Roman" w:cs="Times New Roman"/>
          <w:sz w:val="18"/>
          <w:szCs w:val="18"/>
        </w:rPr>
        <w:t>GeneRatio</w:t>
      </w:r>
      <w:proofErr w:type="spellEnd"/>
      <w:r w:rsidR="000C2522" w:rsidRPr="000C2522">
        <w:rPr>
          <w:rFonts w:ascii="Times New Roman" w:hAnsi="Times New Roman" w:cs="Times New Roman"/>
          <w:sz w:val="18"/>
          <w:szCs w:val="18"/>
        </w:rPr>
        <w:t>. Genes were assigned to clusters by MR-</w:t>
      </w:r>
      <w:proofErr w:type="spellStart"/>
      <w:r w:rsidR="000C2522" w:rsidRPr="000C2522">
        <w:rPr>
          <w:rFonts w:ascii="Times New Roman" w:hAnsi="Times New Roman" w:cs="Times New Roman"/>
          <w:sz w:val="18"/>
          <w:szCs w:val="18"/>
        </w:rPr>
        <w:t>Clust</w:t>
      </w:r>
      <w:proofErr w:type="spellEnd"/>
      <w:r w:rsidR="000C2522" w:rsidRPr="000C2522">
        <w:rPr>
          <w:rFonts w:ascii="Times New Roman" w:hAnsi="Times New Roman" w:cs="Times New Roman"/>
          <w:sz w:val="18"/>
          <w:szCs w:val="18"/>
        </w:rPr>
        <w:t xml:space="preserve"> and mapped via FUMA SNP2GENE; enrichment was tested against a protein-coding background using </w:t>
      </w:r>
      <w:proofErr w:type="spellStart"/>
      <w:r w:rsidR="000C2522" w:rsidRPr="000C2522">
        <w:rPr>
          <w:rFonts w:ascii="Times New Roman" w:hAnsi="Times New Roman" w:cs="Times New Roman"/>
          <w:sz w:val="18"/>
          <w:szCs w:val="18"/>
        </w:rPr>
        <w:t>clusterProfiler</w:t>
      </w:r>
      <w:proofErr w:type="spellEnd"/>
      <w:r w:rsidR="000C2522" w:rsidRPr="000C2522">
        <w:rPr>
          <w:rFonts w:ascii="Times New Roman" w:hAnsi="Times New Roman" w:cs="Times New Roman"/>
          <w:sz w:val="18"/>
          <w:szCs w:val="18"/>
        </w:rPr>
        <w:t xml:space="preserve"> with an adjusted P &lt; 0.05 significance threshold.</w:t>
      </w:r>
    </w:p>
    <w:p w14:paraId="7F774267" w14:textId="7B4CA249" w:rsidR="00D861DA" w:rsidRDefault="00870A65">
      <w:pPr>
        <w:rPr>
          <w:rFonts w:ascii="Times New Roman" w:hAnsi="Times New Roman" w:cs="Times New Roman"/>
          <w:b/>
          <w:bCs/>
        </w:rPr>
      </w:pPr>
      <w:r>
        <w:rPr>
          <w:noProof/>
        </w:rPr>
        <w:lastRenderedPageBreak/>
        <w:drawing>
          <wp:inline distT="0" distB="0" distL="0" distR="0" wp14:anchorId="2775C2FE" wp14:editId="0A8F7828">
            <wp:extent cx="5274310" cy="3521075"/>
            <wp:effectExtent l="0" t="0" r="2540" b="3175"/>
            <wp:docPr id="3137396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3521075"/>
                    </a:xfrm>
                    <a:prstGeom prst="rect">
                      <a:avLst/>
                    </a:prstGeom>
                    <a:noFill/>
                    <a:ln>
                      <a:noFill/>
                    </a:ln>
                  </pic:spPr>
                </pic:pic>
              </a:graphicData>
            </a:graphic>
          </wp:inline>
        </w:drawing>
      </w:r>
    </w:p>
    <w:p w14:paraId="42C9F206" w14:textId="24749943" w:rsidR="00870A65" w:rsidRPr="00870A65" w:rsidRDefault="00870A65" w:rsidP="00870A65">
      <w:pPr>
        <w:spacing w:line="240" w:lineRule="auto"/>
        <w:contextualSpacing/>
        <w:rPr>
          <w:rFonts w:ascii="Times New Roman" w:hAnsi="Times New Roman" w:cs="Times New Roman"/>
          <w:b/>
          <w:bCs/>
        </w:rPr>
      </w:pPr>
      <w:r>
        <w:rPr>
          <w:rFonts w:ascii="Times New Roman" w:hAnsi="Times New Roman" w:cs="Times New Roman" w:hint="eastAsia"/>
          <w:b/>
          <w:bCs/>
        </w:rPr>
        <w:t xml:space="preserve">Supplementary Figure </w:t>
      </w:r>
      <w:r w:rsidR="00F77802">
        <w:rPr>
          <w:rFonts w:ascii="Times New Roman" w:hAnsi="Times New Roman" w:cs="Times New Roman" w:hint="eastAsia"/>
          <w:b/>
          <w:bCs/>
        </w:rPr>
        <w:t>8</w:t>
      </w:r>
      <w:r>
        <w:rPr>
          <w:rFonts w:ascii="Times New Roman" w:hAnsi="Times New Roman" w:cs="Times New Roman" w:hint="eastAsia"/>
          <w:b/>
          <w:bCs/>
        </w:rPr>
        <w:t xml:space="preserve">. </w:t>
      </w:r>
      <w:r w:rsidRPr="00870A65">
        <w:rPr>
          <w:rFonts w:ascii="Times New Roman" w:hAnsi="Times New Roman" w:cs="Times New Roman"/>
          <w:b/>
          <w:bCs/>
        </w:rPr>
        <w:t>Flowchart of participant selection in the UK Biobank.</w:t>
      </w:r>
      <w:r>
        <w:rPr>
          <w:rFonts w:ascii="Times New Roman" w:hAnsi="Times New Roman" w:cs="Times New Roman" w:hint="eastAsia"/>
          <w:b/>
          <w:bCs/>
        </w:rPr>
        <w:t xml:space="preserve"> </w:t>
      </w:r>
      <w:r w:rsidRPr="00522E7A">
        <w:rPr>
          <w:rFonts w:ascii="Times New Roman" w:hAnsi="Times New Roman" w:cs="Times New Roman"/>
          <w:sz w:val="18"/>
          <w:szCs w:val="18"/>
        </w:rPr>
        <w:t>Of 502,142 UK Biobank participants, 472,374 individuals of European ancestry were identified. After excluding 14,445 individuals for missing genotyping data, sample QC failure, sex mismatch, X-chromosome aneuploidy, or third-degree kinship, 457,929 participants with complete proxy variant genotyping remained for analysis, comprising 79,358 individuals with depression and 378,571 without.</w:t>
      </w:r>
    </w:p>
    <w:p w14:paraId="545B24CC" w14:textId="5856ABE4" w:rsidR="00870A65" w:rsidRDefault="00870A65">
      <w:pPr>
        <w:rPr>
          <w:rFonts w:ascii="Times New Roman" w:hAnsi="Times New Roman" w:cs="Times New Roman"/>
          <w:b/>
          <w:bCs/>
        </w:rPr>
      </w:pPr>
    </w:p>
    <w:p w14:paraId="5DCC43C2" w14:textId="77777777" w:rsidR="00522E7A" w:rsidRDefault="00522E7A">
      <w:pPr>
        <w:rPr>
          <w:rFonts w:ascii="Times New Roman" w:hAnsi="Times New Roman" w:cs="Times New Roman"/>
          <w:b/>
          <w:bCs/>
        </w:rPr>
      </w:pPr>
    </w:p>
    <w:p w14:paraId="2324C13D" w14:textId="77777777" w:rsidR="00522E7A" w:rsidRDefault="00522E7A">
      <w:pPr>
        <w:rPr>
          <w:rFonts w:ascii="Times New Roman" w:hAnsi="Times New Roman" w:cs="Times New Roman"/>
          <w:b/>
          <w:bCs/>
        </w:rPr>
      </w:pPr>
    </w:p>
    <w:p w14:paraId="69233399" w14:textId="77777777" w:rsidR="00522E7A" w:rsidRDefault="00522E7A">
      <w:pPr>
        <w:rPr>
          <w:rFonts w:ascii="Times New Roman" w:hAnsi="Times New Roman" w:cs="Times New Roman"/>
          <w:b/>
          <w:bCs/>
        </w:rPr>
      </w:pPr>
    </w:p>
    <w:p w14:paraId="61852224" w14:textId="77777777" w:rsidR="00522E7A" w:rsidRDefault="00522E7A">
      <w:pPr>
        <w:rPr>
          <w:rFonts w:ascii="Times New Roman" w:hAnsi="Times New Roman" w:cs="Times New Roman"/>
          <w:b/>
          <w:bCs/>
        </w:rPr>
      </w:pPr>
    </w:p>
    <w:p w14:paraId="6091F670" w14:textId="77777777" w:rsidR="00522E7A" w:rsidRDefault="00522E7A">
      <w:pPr>
        <w:rPr>
          <w:rFonts w:ascii="Times New Roman" w:hAnsi="Times New Roman" w:cs="Times New Roman"/>
          <w:b/>
          <w:bCs/>
        </w:rPr>
      </w:pPr>
    </w:p>
    <w:p w14:paraId="7B3180D0" w14:textId="77777777" w:rsidR="00522E7A" w:rsidRDefault="00522E7A">
      <w:pPr>
        <w:rPr>
          <w:rFonts w:ascii="Times New Roman" w:hAnsi="Times New Roman" w:cs="Times New Roman"/>
          <w:b/>
          <w:bCs/>
        </w:rPr>
      </w:pPr>
    </w:p>
    <w:p w14:paraId="4E9088F7" w14:textId="77777777" w:rsidR="00522E7A" w:rsidRDefault="00522E7A">
      <w:pPr>
        <w:rPr>
          <w:rFonts w:ascii="Times New Roman" w:hAnsi="Times New Roman" w:cs="Times New Roman"/>
          <w:b/>
          <w:bCs/>
        </w:rPr>
      </w:pPr>
    </w:p>
    <w:p w14:paraId="41100B45" w14:textId="77777777" w:rsidR="00522E7A" w:rsidRDefault="00522E7A">
      <w:pPr>
        <w:rPr>
          <w:rFonts w:ascii="Times New Roman" w:hAnsi="Times New Roman" w:cs="Times New Roman"/>
          <w:b/>
          <w:bCs/>
        </w:rPr>
      </w:pPr>
    </w:p>
    <w:p w14:paraId="04A4DDC7" w14:textId="77777777" w:rsidR="00522E7A" w:rsidRDefault="00522E7A">
      <w:pPr>
        <w:rPr>
          <w:rFonts w:ascii="Times New Roman" w:hAnsi="Times New Roman" w:cs="Times New Roman"/>
          <w:b/>
          <w:bCs/>
        </w:rPr>
      </w:pPr>
    </w:p>
    <w:p w14:paraId="0A95FA7D" w14:textId="77777777" w:rsidR="00522E7A" w:rsidRDefault="00522E7A">
      <w:pPr>
        <w:rPr>
          <w:rFonts w:ascii="Times New Roman" w:hAnsi="Times New Roman" w:cs="Times New Roman"/>
          <w:b/>
          <w:bCs/>
        </w:rPr>
      </w:pPr>
    </w:p>
    <w:p w14:paraId="319F9ADA" w14:textId="77777777" w:rsidR="00522E7A" w:rsidRDefault="00522E7A">
      <w:pPr>
        <w:rPr>
          <w:rFonts w:ascii="Times New Roman" w:hAnsi="Times New Roman" w:cs="Times New Roman"/>
          <w:b/>
          <w:bCs/>
        </w:rPr>
      </w:pPr>
    </w:p>
    <w:p w14:paraId="218CFBE7" w14:textId="77777777" w:rsidR="00522E7A" w:rsidRPr="00522E7A" w:rsidRDefault="00522E7A">
      <w:pPr>
        <w:rPr>
          <w:rFonts w:ascii="Times New Roman" w:hAnsi="Times New Roman" w:cs="Times New Roman"/>
          <w:b/>
          <w:bCs/>
        </w:rPr>
      </w:pPr>
    </w:p>
    <w:sectPr w:rsidR="00522E7A" w:rsidRPr="00522E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39332" w14:textId="77777777" w:rsidR="005A2F7E" w:rsidRDefault="005A2F7E" w:rsidP="004D1F58">
      <w:pPr>
        <w:spacing w:after="0" w:line="240" w:lineRule="auto"/>
        <w:rPr>
          <w:rFonts w:hint="eastAsia"/>
        </w:rPr>
      </w:pPr>
      <w:r>
        <w:separator/>
      </w:r>
    </w:p>
  </w:endnote>
  <w:endnote w:type="continuationSeparator" w:id="0">
    <w:p w14:paraId="3EF1DEC5" w14:textId="77777777" w:rsidR="005A2F7E" w:rsidRDefault="005A2F7E" w:rsidP="004D1F5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7E81E" w14:textId="77777777" w:rsidR="005A2F7E" w:rsidRDefault="005A2F7E" w:rsidP="004D1F58">
      <w:pPr>
        <w:spacing w:after="0" w:line="240" w:lineRule="auto"/>
        <w:rPr>
          <w:rFonts w:hint="eastAsia"/>
        </w:rPr>
      </w:pPr>
      <w:r>
        <w:separator/>
      </w:r>
    </w:p>
  </w:footnote>
  <w:footnote w:type="continuationSeparator" w:id="0">
    <w:p w14:paraId="1FBFBC93" w14:textId="77777777" w:rsidR="005A2F7E" w:rsidRDefault="005A2F7E" w:rsidP="004D1F58">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667"/>
    <w:rsid w:val="00021C3A"/>
    <w:rsid w:val="000C2522"/>
    <w:rsid w:val="001045F6"/>
    <w:rsid w:val="0020029F"/>
    <w:rsid w:val="00224B35"/>
    <w:rsid w:val="002F31D2"/>
    <w:rsid w:val="00336D5A"/>
    <w:rsid w:val="004D1F58"/>
    <w:rsid w:val="00522E7A"/>
    <w:rsid w:val="0053766F"/>
    <w:rsid w:val="00591667"/>
    <w:rsid w:val="005A2F7E"/>
    <w:rsid w:val="006545EB"/>
    <w:rsid w:val="00661100"/>
    <w:rsid w:val="00666C38"/>
    <w:rsid w:val="006C52F2"/>
    <w:rsid w:val="006C5BEE"/>
    <w:rsid w:val="006F61E4"/>
    <w:rsid w:val="00805D45"/>
    <w:rsid w:val="00843531"/>
    <w:rsid w:val="00870A65"/>
    <w:rsid w:val="008E02BE"/>
    <w:rsid w:val="00952ABF"/>
    <w:rsid w:val="00A3221E"/>
    <w:rsid w:val="00A86816"/>
    <w:rsid w:val="00A87427"/>
    <w:rsid w:val="00AA3D1E"/>
    <w:rsid w:val="00B51D2C"/>
    <w:rsid w:val="00BD4BD2"/>
    <w:rsid w:val="00CB4261"/>
    <w:rsid w:val="00D26DB2"/>
    <w:rsid w:val="00D861DA"/>
    <w:rsid w:val="00E170E1"/>
    <w:rsid w:val="00ED23C1"/>
    <w:rsid w:val="00F1308E"/>
    <w:rsid w:val="00F77802"/>
    <w:rsid w:val="00FD1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F02C3"/>
  <w15:chartTrackingRefBased/>
  <w15:docId w15:val="{9EF11DC9-4FD9-4222-BEE6-D6AE90110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9166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9166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9166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9166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9166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591667"/>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9166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9166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9166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9166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9166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9166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91667"/>
    <w:rPr>
      <w:rFonts w:cstheme="majorBidi"/>
      <w:color w:val="0F4761" w:themeColor="accent1" w:themeShade="BF"/>
      <w:sz w:val="28"/>
      <w:szCs w:val="28"/>
    </w:rPr>
  </w:style>
  <w:style w:type="character" w:customStyle="1" w:styleId="50">
    <w:name w:val="标题 5 字符"/>
    <w:basedOn w:val="a0"/>
    <w:link w:val="5"/>
    <w:uiPriority w:val="9"/>
    <w:semiHidden/>
    <w:rsid w:val="00591667"/>
    <w:rPr>
      <w:rFonts w:cstheme="majorBidi"/>
      <w:color w:val="0F4761" w:themeColor="accent1" w:themeShade="BF"/>
      <w:sz w:val="24"/>
    </w:rPr>
  </w:style>
  <w:style w:type="character" w:customStyle="1" w:styleId="60">
    <w:name w:val="标题 6 字符"/>
    <w:basedOn w:val="a0"/>
    <w:link w:val="6"/>
    <w:uiPriority w:val="9"/>
    <w:semiHidden/>
    <w:rsid w:val="00591667"/>
    <w:rPr>
      <w:rFonts w:cstheme="majorBidi"/>
      <w:b/>
      <w:bCs/>
      <w:color w:val="0F4761" w:themeColor="accent1" w:themeShade="BF"/>
    </w:rPr>
  </w:style>
  <w:style w:type="character" w:customStyle="1" w:styleId="70">
    <w:name w:val="标题 7 字符"/>
    <w:basedOn w:val="a0"/>
    <w:link w:val="7"/>
    <w:uiPriority w:val="9"/>
    <w:semiHidden/>
    <w:rsid w:val="00591667"/>
    <w:rPr>
      <w:rFonts w:cstheme="majorBidi"/>
      <w:b/>
      <w:bCs/>
      <w:color w:val="595959" w:themeColor="text1" w:themeTint="A6"/>
    </w:rPr>
  </w:style>
  <w:style w:type="character" w:customStyle="1" w:styleId="80">
    <w:name w:val="标题 8 字符"/>
    <w:basedOn w:val="a0"/>
    <w:link w:val="8"/>
    <w:uiPriority w:val="9"/>
    <w:semiHidden/>
    <w:rsid w:val="00591667"/>
    <w:rPr>
      <w:rFonts w:cstheme="majorBidi"/>
      <w:color w:val="595959" w:themeColor="text1" w:themeTint="A6"/>
    </w:rPr>
  </w:style>
  <w:style w:type="character" w:customStyle="1" w:styleId="90">
    <w:name w:val="标题 9 字符"/>
    <w:basedOn w:val="a0"/>
    <w:link w:val="9"/>
    <w:uiPriority w:val="9"/>
    <w:semiHidden/>
    <w:rsid w:val="00591667"/>
    <w:rPr>
      <w:rFonts w:eastAsiaTheme="majorEastAsia" w:cstheme="majorBidi"/>
      <w:color w:val="595959" w:themeColor="text1" w:themeTint="A6"/>
    </w:rPr>
  </w:style>
  <w:style w:type="paragraph" w:styleId="a3">
    <w:name w:val="Title"/>
    <w:basedOn w:val="a"/>
    <w:next w:val="a"/>
    <w:link w:val="a4"/>
    <w:uiPriority w:val="10"/>
    <w:qFormat/>
    <w:rsid w:val="0059166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916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166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9166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91667"/>
    <w:pPr>
      <w:spacing w:before="160"/>
      <w:jc w:val="center"/>
    </w:pPr>
    <w:rPr>
      <w:i/>
      <w:iCs/>
      <w:color w:val="404040" w:themeColor="text1" w:themeTint="BF"/>
    </w:rPr>
  </w:style>
  <w:style w:type="character" w:customStyle="1" w:styleId="a8">
    <w:name w:val="引用 字符"/>
    <w:basedOn w:val="a0"/>
    <w:link w:val="a7"/>
    <w:uiPriority w:val="29"/>
    <w:rsid w:val="00591667"/>
    <w:rPr>
      <w:i/>
      <w:iCs/>
      <w:color w:val="404040" w:themeColor="text1" w:themeTint="BF"/>
    </w:rPr>
  </w:style>
  <w:style w:type="paragraph" w:styleId="a9">
    <w:name w:val="List Paragraph"/>
    <w:basedOn w:val="a"/>
    <w:uiPriority w:val="34"/>
    <w:qFormat/>
    <w:rsid w:val="00591667"/>
    <w:pPr>
      <w:ind w:left="720"/>
      <w:contextualSpacing/>
    </w:pPr>
  </w:style>
  <w:style w:type="character" w:styleId="aa">
    <w:name w:val="Intense Emphasis"/>
    <w:basedOn w:val="a0"/>
    <w:uiPriority w:val="21"/>
    <w:qFormat/>
    <w:rsid w:val="00591667"/>
    <w:rPr>
      <w:i/>
      <w:iCs/>
      <w:color w:val="0F4761" w:themeColor="accent1" w:themeShade="BF"/>
    </w:rPr>
  </w:style>
  <w:style w:type="paragraph" w:styleId="ab">
    <w:name w:val="Intense Quote"/>
    <w:basedOn w:val="a"/>
    <w:next w:val="a"/>
    <w:link w:val="ac"/>
    <w:uiPriority w:val="30"/>
    <w:qFormat/>
    <w:rsid w:val="005916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91667"/>
    <w:rPr>
      <w:i/>
      <w:iCs/>
      <w:color w:val="0F4761" w:themeColor="accent1" w:themeShade="BF"/>
    </w:rPr>
  </w:style>
  <w:style w:type="character" w:styleId="ad">
    <w:name w:val="Intense Reference"/>
    <w:basedOn w:val="a0"/>
    <w:uiPriority w:val="32"/>
    <w:qFormat/>
    <w:rsid w:val="00591667"/>
    <w:rPr>
      <w:b/>
      <w:bCs/>
      <w:smallCaps/>
      <w:color w:val="0F4761" w:themeColor="accent1" w:themeShade="BF"/>
      <w:spacing w:val="5"/>
    </w:rPr>
  </w:style>
  <w:style w:type="paragraph" w:styleId="ae">
    <w:name w:val="header"/>
    <w:basedOn w:val="a"/>
    <w:link w:val="af"/>
    <w:uiPriority w:val="99"/>
    <w:unhideWhenUsed/>
    <w:rsid w:val="004D1F58"/>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4D1F58"/>
    <w:rPr>
      <w:sz w:val="18"/>
      <w:szCs w:val="18"/>
    </w:rPr>
  </w:style>
  <w:style w:type="paragraph" w:styleId="af0">
    <w:name w:val="footer"/>
    <w:basedOn w:val="a"/>
    <w:link w:val="af1"/>
    <w:uiPriority w:val="99"/>
    <w:unhideWhenUsed/>
    <w:rsid w:val="004D1F58"/>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4D1F5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8</Pages>
  <Words>755</Words>
  <Characters>4441</Characters>
  <Application>Microsoft Office Word</Application>
  <DocSecurity>0</DocSecurity>
  <Lines>130</Lines>
  <Paragraphs>9</Paragraphs>
  <ScaleCrop>false</ScaleCrop>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 H</dc:creator>
  <cp:keywords/>
  <dc:description/>
  <cp:lastModifiedBy>ZZ H</cp:lastModifiedBy>
  <cp:revision>13</cp:revision>
  <dcterms:created xsi:type="dcterms:W3CDTF">2026-07-27T07:52:00Z</dcterms:created>
  <dcterms:modified xsi:type="dcterms:W3CDTF">2026-08-04T15:37:00Z</dcterms:modified>
</cp:coreProperties>
</file>