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40D3F5" w14:textId="77777777" w:rsidR="00223DF1" w:rsidRDefault="00000000">
      <w:pPr>
        <w:spacing w:after="60"/>
      </w:pPr>
      <w:r>
        <w:rPr>
          <w:b/>
          <w:sz w:val="28"/>
        </w:rPr>
        <w:t>Synthesis Without Meta-analysis (SWiM) reporting checklist</w:t>
      </w:r>
    </w:p>
    <w:p w14:paraId="6C10524A" w14:textId="77777777" w:rsidR="00223DF1" w:rsidRDefault="00000000">
      <w:pPr>
        <w:spacing w:after="60"/>
      </w:pPr>
      <w:r>
        <w:rPr>
          <w:i/>
          <w:sz w:val="19"/>
        </w:rPr>
        <w:t>Germline pharmacogenomic predictors of treatment-related toxicity in non-small cell lung cancer: a systematic review of the discovery-to-implementation gap</w:t>
      </w:r>
    </w:p>
    <w:p w14:paraId="4931DD7D" w14:textId="77777777" w:rsidR="00223DF1" w:rsidRDefault="00000000">
      <w:pPr>
        <w:spacing w:after="200"/>
      </w:pPr>
      <w:r>
        <w:t>SWiM guideline: Campbell M, McKenzie JE, Sowden A, et al. BMJ 2020;368:l6890. Item numbering and wording follow the nine items of the published guideline. Completed alongside the PRISMA 2020 checklist because the synthesis in this review is structured and narrative rather than meta-analytic.</w:t>
      </w:r>
    </w:p>
    <w:p w14:paraId="190AE0F3" w14:textId="77777777" w:rsidR="00223DF1" w:rsidRDefault="00000000">
      <w:pPr>
        <w:spacing w:before="160" w:after="40"/>
      </w:pPr>
      <w:r>
        <w:rPr>
          <w:b/>
          <w:sz w:val="21"/>
        </w:rPr>
        <w:t>1. Grouping studies for synthesis</w:t>
      </w:r>
    </w:p>
    <w:p w14:paraId="51648A44" w14:textId="77777777" w:rsidR="00223DF1" w:rsidRDefault="00000000">
      <w:pPr>
        <w:spacing w:after="40"/>
      </w:pPr>
      <w:r>
        <w:rPr>
          <w:i/>
        </w:rPr>
        <w:t>Reported in: §2.7; §3.4; Table 1; Fig. 3</w:t>
      </w:r>
    </w:p>
    <w:p w14:paraId="19193131" w14:textId="77777777" w:rsidR="00223DF1" w:rsidRDefault="00000000">
      <w:r>
        <w:t>Studies were grouped a priori by the biological mechanism of the implicated gene, as specified in the registered protocol: drug metabolism and transport (n=9); DNA repair and cell cycle (n=5); immune regulation (n=12); target pathway signaling (n=6); with a fifth group for non-characterized loci (n=2). Grouping rests on annotated gene function rather than on demonstrated causal pathways, and is described as provisional in §3.4. Secondary cross-groupings by treatment modality and toxicity phenotype are shown descriptively in Fig. 3; no formal enrichment testing was performed.</w:t>
      </w:r>
    </w:p>
    <w:p w14:paraId="7680DA26" w14:textId="77777777" w:rsidR="00223DF1" w:rsidRDefault="00000000">
      <w:pPr>
        <w:spacing w:before="160" w:after="40"/>
      </w:pPr>
      <w:r>
        <w:rPr>
          <w:b/>
          <w:sz w:val="21"/>
        </w:rPr>
        <w:t>2. Standardised metric and transformation methods</w:t>
      </w:r>
    </w:p>
    <w:p w14:paraId="483DCA3B" w14:textId="77777777" w:rsidR="00223DF1" w:rsidRDefault="00000000">
      <w:pPr>
        <w:spacing w:after="40"/>
      </w:pPr>
      <w:r>
        <w:rPr>
          <w:i/>
        </w:rPr>
        <w:t>Reported in: §2.5; §2.7; Supplementary Table S3</w:t>
      </w:r>
    </w:p>
    <w:p w14:paraId="05841EF7" w14:textId="77777777" w:rsidR="00223DF1" w:rsidRDefault="00000000">
      <w:r>
        <w:t>No common effect metric was imposed. Estimates are reported as published (odds ratios, hazard ratios, risk ratios, and percentage differences where a study reported proportions) and were not interconverted, because the underlying designs, endpoints and exposure definitions were not comparable. For the winner's-curse analysis only, ratio estimates were treated as log-ratio estimates with approximately normal sampling distributions, with standard errors derived from the published confidence intervals. Corrected values are interpreted within measure and not compared across measures.</w:t>
      </w:r>
    </w:p>
    <w:p w14:paraId="38A4A1ED" w14:textId="77777777" w:rsidR="00223DF1" w:rsidRDefault="00000000">
      <w:pPr>
        <w:spacing w:before="160" w:after="40"/>
      </w:pPr>
      <w:r>
        <w:rPr>
          <w:b/>
          <w:sz w:val="21"/>
        </w:rPr>
        <w:t>3. Description of synthesis methods</w:t>
      </w:r>
    </w:p>
    <w:p w14:paraId="1EE4E3C8" w14:textId="77777777" w:rsidR="00223DF1" w:rsidRDefault="00000000">
      <w:pPr>
        <w:spacing w:after="40"/>
      </w:pPr>
      <w:r>
        <w:rPr>
          <w:i/>
        </w:rPr>
        <w:t>Reported in: §2.7</w:t>
      </w:r>
    </w:p>
    <w:p w14:paraId="4E032B99" w14:textId="77777777" w:rsidR="00223DF1" w:rsidRDefault="00000000">
      <w:r>
        <w:t>Structured narrative synthesis without meta-analysis. Meta-analytic pooling was pre-specified conditionally, to be undertaken only where endpoints, populations and effect-measure scales were concordant; the observed heterogeneity did not satisfy these conditions, so no pooled estimates are reported. Omission of the conditionally pre-specified meta-analysis is the only deviation from the registered protocol. Two quantitative analyses supplement the narrative synthesis: a rank correlation between absolute log effect size and log sample size, and winner's-curse correction under two estimators.</w:t>
      </w:r>
    </w:p>
    <w:p w14:paraId="6AAC7268" w14:textId="77777777" w:rsidR="00223DF1" w:rsidRDefault="00000000">
      <w:pPr>
        <w:spacing w:before="160" w:after="40"/>
      </w:pPr>
      <w:r>
        <w:rPr>
          <w:b/>
          <w:sz w:val="21"/>
        </w:rPr>
        <w:t>4. Criteria used to prioritise results for summary and synthesis</w:t>
      </w:r>
    </w:p>
    <w:p w14:paraId="74ADFA36" w14:textId="77777777" w:rsidR="00223DF1" w:rsidRDefault="00000000">
      <w:pPr>
        <w:spacing w:after="40"/>
      </w:pPr>
      <w:r>
        <w:rPr>
          <w:i/>
        </w:rPr>
        <w:t>Reported in: Table 2 legend; §2.8; §3.5; §4.8.1</w:t>
      </w:r>
    </w:p>
    <w:p w14:paraId="5164E22D" w14:textId="77777777" w:rsidR="00223DF1" w:rsidRDefault="00000000">
      <w:r>
        <w:t>Twelve of the 34 associations were prioritized for evidence benchmarking against three stated criteria, any one of which was sufficient: (i) independent replication or validation within the original publication; (ii) genome-wide significance; (iii) biological plausibility through a known drug-gene pathway. These criteria are stated in §2.8 and in the legend to Table 2. Within the twelve, §4.8.1 and §5 identify three as closest to actionability on the basis of replication and effect size, followed by a second tier of convergent but unreplicated signals.</w:t>
      </w:r>
    </w:p>
    <w:p w14:paraId="2645BC3B" w14:textId="77777777" w:rsidR="00223DF1" w:rsidRDefault="00000000">
      <w:pPr>
        <w:spacing w:before="160" w:after="40"/>
      </w:pPr>
      <w:r>
        <w:rPr>
          <w:b/>
          <w:sz w:val="21"/>
        </w:rPr>
        <w:t>5. Investigation of heterogeneity in reported effects</w:t>
      </w:r>
    </w:p>
    <w:p w14:paraId="5C52DBC7" w14:textId="77777777" w:rsidR="00223DF1" w:rsidRDefault="00000000">
      <w:pPr>
        <w:spacing w:after="40"/>
      </w:pPr>
      <w:r>
        <w:rPr>
          <w:i/>
        </w:rPr>
        <w:t>Reported in: §3.2; §3.6; §4.6; §4.7; Fig. 2; Supplementary Figures S3-S4; Supplementary Tables S1-S2</w:t>
      </w:r>
    </w:p>
    <w:p w14:paraId="71C651E8" w14:textId="77777777" w:rsidR="00223DF1" w:rsidRDefault="00000000">
      <w:r>
        <w:t>Heterogeneity was examined descriptively rather than by formal statistical testing: no marker-outcome combination reached the number of independent studies required for funnel-plot or I² interpretation. Sources examined were study design, ancestry distribution, treatment modality, toxicity grading system, sample size and endpoint definition. The relationship between effect size and sample size was quantified over the 20 risk-increasing associations that report both a ratio estimate and an NSCLC-specific sample size (Spearman ρ=−0.64, P=0.002; bootstrap 95% CI −0.83 to −0.29 over 10,000 resamples; Supplementary Figure S3). XRCC1 rs25487 is presented as a worked example of directional heterogeneity across three cohorts (Supplementary Figure S4).</w:t>
      </w:r>
    </w:p>
    <w:p w14:paraId="604131B5" w14:textId="77777777" w:rsidR="00223DF1" w:rsidRDefault="00000000">
      <w:pPr>
        <w:spacing w:before="160" w:after="40"/>
      </w:pPr>
      <w:r>
        <w:rPr>
          <w:b/>
          <w:sz w:val="21"/>
        </w:rPr>
        <w:t>6. Certainty of evidence</w:t>
      </w:r>
    </w:p>
    <w:p w14:paraId="401CD355" w14:textId="77777777" w:rsidR="00223DF1" w:rsidRDefault="00000000">
      <w:pPr>
        <w:spacing w:after="40"/>
      </w:pPr>
      <w:r>
        <w:rPr>
          <w:i/>
        </w:rPr>
        <w:t>Reported in: §2.6; §2.7; §3.3; §3.5; §4.8.2</w:t>
      </w:r>
    </w:p>
    <w:p w14:paraId="2CE430E8" w14:textId="77777777" w:rsidR="00223DF1" w:rsidRDefault="00000000">
      <w:r>
        <w:t>No formal outcome-level certainty assessment (for example GRADE) was applied, because the heterogeneity that precluded quantitative synthesis also precluded outcome-level grading; this is stated explicitly in §2.7. In its place, study-level methodological quality was assessed with the Newcastle-Ottawa Scale (§2.6, §3.3), and the twelve priority variants were benchmarked against the CPIC and PharmGKB evidence hierarchies (§3.5, §4.8.2, Table 3), which is the actionability standard used in this field.</w:t>
      </w:r>
    </w:p>
    <w:p w14:paraId="493503A1" w14:textId="77777777" w:rsidR="00223DF1" w:rsidRDefault="00000000">
      <w:pPr>
        <w:spacing w:before="160" w:after="40"/>
      </w:pPr>
      <w:r>
        <w:rPr>
          <w:b/>
          <w:sz w:val="21"/>
        </w:rPr>
        <w:t>7. Data presentation methods</w:t>
      </w:r>
    </w:p>
    <w:p w14:paraId="11D91F0B" w14:textId="77777777" w:rsidR="00223DF1" w:rsidRDefault="00000000">
      <w:pPr>
        <w:spacing w:after="40"/>
      </w:pPr>
      <w:r>
        <w:rPr>
          <w:i/>
        </w:rPr>
        <w:t>Reported in: Figs 1-3; Tables 1-3; Supplementary Figures S1-S4; Supplementary Tables S1-S3</w:t>
      </w:r>
    </w:p>
    <w:p w14:paraId="51889D85" w14:textId="77777777" w:rsidR="00223DF1" w:rsidRDefault="00000000">
      <w:r>
        <w:t>All 34 associations are tabulated in full (Table 1). The 29 variant-cohort estimates that report a ratio measure are displayed as a forest plot grouped by mechanism, with no pooled estimate and with marker shape denoting the effect measure (Fig. 2). A Sankey diagram links treatment modality, mechanism and toxicity phenotype (Fig. 3). Priority variants with cross-ancestry allele frequencies are given in Table 2 and Supplementary Table S2, and their evidence benchmarking in Table 3. No pooled diamond or summary line appears anywhere, so that no synthesis is implied that was not performed.</w:t>
      </w:r>
    </w:p>
    <w:p w14:paraId="010FDDD3" w14:textId="77777777" w:rsidR="00223DF1" w:rsidRDefault="00000000">
      <w:pPr>
        <w:spacing w:before="160" w:after="40"/>
      </w:pPr>
      <w:r>
        <w:rPr>
          <w:b/>
          <w:sz w:val="21"/>
        </w:rPr>
        <w:t>8. Reporting results</w:t>
      </w:r>
    </w:p>
    <w:p w14:paraId="58BD8759" w14:textId="77777777" w:rsidR="00223DF1" w:rsidRDefault="00000000">
      <w:pPr>
        <w:spacing w:after="40"/>
      </w:pPr>
      <w:r>
        <w:rPr>
          <w:i/>
        </w:rPr>
        <w:lastRenderedPageBreak/>
        <w:t>Reported in: §3.4; §4.1-4.6</w:t>
      </w:r>
    </w:p>
    <w:p w14:paraId="79FE34CD" w14:textId="77777777" w:rsidR="00223DF1" w:rsidRDefault="00000000">
      <w:r>
        <w:t>Results are reported by mechanism group, giving direction, magnitude and precision as published together with the number of contributing studies. Where an association rests on a single small cohort this is stated at the point of reporting. The four associations that did not reach significance are identified as non-significant trends and retained for biological plausibility rather than omitted. All p-values are described as nominal and uncorrected for multiple testing, with two stated exceptions: PPARα 209G&gt;A (Heersche et al., 2025), which remained significant after Bonferroni correction, and GRID2 rs17020773 (Khan et al., 2023), which crossed the conventional genome-wide threshold; both are identified as such in §3.4 and in Table 1.</w:t>
      </w:r>
    </w:p>
    <w:p w14:paraId="283C8F1D" w14:textId="77777777" w:rsidR="00223DF1" w:rsidRDefault="00000000">
      <w:pPr>
        <w:spacing w:before="160" w:after="40"/>
      </w:pPr>
      <w:r>
        <w:rPr>
          <w:b/>
          <w:sz w:val="21"/>
        </w:rPr>
        <w:t>9. Limitations of the synthesis</w:t>
      </w:r>
    </w:p>
    <w:p w14:paraId="364B21EE" w14:textId="77777777" w:rsidR="00223DF1" w:rsidRDefault="00000000">
      <w:pPr>
        <w:spacing w:after="40"/>
      </w:pPr>
      <w:r>
        <w:rPr>
          <w:i/>
        </w:rPr>
        <w:t>Reported in: §4.7; Supplementary Methods</w:t>
      </w:r>
    </w:p>
    <w:p w14:paraId="7B616B7E" w14:textId="77777777" w:rsidR="00223DF1" w:rsidRDefault="00000000">
      <w:r>
        <w:t>Substantive limitations are enumerated in §4.7: the validation deficit (30 of 35 studies, 85.7%); heterogeneity precluding pooling, with nominal uncorrected p-values; concentration of evidence in Asian cohorts (16 of 35 studies, 45.7%) and reliance on general-population rather than NSCLC-specific reference allele frequencies; small median sample size and consequent winner's-curse inflation; publication bias; three congress abstracts with incomplete reporting; uncharacterized variant function; confounding by co-administration of multiple agents; and differences between cohorts in survival selection and discontinuation policy. Six reporting-process limitations are disclosed separately in the Supplementary Methods, including one eligible report (Heersche et al., 2025) identified by journal hand-searching rather than by the database strategy.</w:t>
      </w:r>
    </w:p>
    <w:sectPr w:rsidR="00223DF1" w:rsidSect="00034616">
      <w:pgSz w:w="12240" w:h="15840"/>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305747548">
    <w:abstractNumId w:val="8"/>
  </w:num>
  <w:num w:numId="2" w16cid:durableId="513156056">
    <w:abstractNumId w:val="6"/>
  </w:num>
  <w:num w:numId="3" w16cid:durableId="1457748348">
    <w:abstractNumId w:val="5"/>
  </w:num>
  <w:num w:numId="4" w16cid:durableId="617414884">
    <w:abstractNumId w:val="4"/>
  </w:num>
  <w:num w:numId="5" w16cid:durableId="1796755524">
    <w:abstractNumId w:val="7"/>
  </w:num>
  <w:num w:numId="6" w16cid:durableId="1587151995">
    <w:abstractNumId w:val="3"/>
  </w:num>
  <w:num w:numId="7" w16cid:durableId="622267520">
    <w:abstractNumId w:val="2"/>
  </w:num>
  <w:num w:numId="8" w16cid:durableId="1075469589">
    <w:abstractNumId w:val="1"/>
  </w:num>
  <w:num w:numId="9" w16cid:durableId="53381497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3DF1"/>
    <w:rsid w:val="0029639D"/>
    <w:rsid w:val="00326F90"/>
    <w:rsid w:val="006307B9"/>
    <w:rsid w:val="00AA1D8D"/>
    <w:rsid w:val="00B47730"/>
    <w:rsid w:val="00CB0664"/>
    <w:rsid w:val="00F9554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72A331"/>
  <w14:defaultImageDpi w14:val="300"/>
  <w15:docId w15:val="{1EE54772-EA3A-954C-844B-235A001FC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Liberation Sans" w:eastAsia="Liberation Sans" w:hAnsi="Liberation Sans"/>
      <w:sz w:val="18"/>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rPr>
      <w:b/>
      <w:bCs/>
      <w:color w:val="4F81BD" w:themeColor="accent1"/>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978</Words>
  <Characters>6109</Characters>
  <Application>Microsoft Office Word</Application>
  <DocSecurity>0</DocSecurity>
  <Lines>72</Lines>
  <Paragraphs>30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7057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oliver</dc:creator>
  <cp:keywords/>
  <dc:description/>
  <cp:lastModifiedBy>javier oliver</cp:lastModifiedBy>
  <cp:revision>2</cp:revision>
  <dcterms:created xsi:type="dcterms:W3CDTF">2013-12-23T23:15:00Z</dcterms:created>
  <dcterms:modified xsi:type="dcterms:W3CDTF">2026-09-07T12:23:00Z</dcterms:modified>
  <cp:category/>
</cp:coreProperties>
</file>