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3E18" w14:textId="77777777" w:rsidR="0094064F" w:rsidRDefault="0094064F" w:rsidP="0094064F">
      <w:pPr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Supplementary File List</w:t>
      </w:r>
    </w:p>
    <w:p w14:paraId="42CE0752" w14:textId="77777777" w:rsidR="0094064F" w:rsidRDefault="0094064F" w:rsidP="0094064F">
      <w:pPr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The following supplementary files are submitted with this manuscript: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0"/>
        <w:gridCol w:w="1173"/>
        <w:gridCol w:w="5233"/>
      </w:tblGrid>
      <w:tr w:rsidR="0094064F" w14:paraId="64A93FF3" w14:textId="77777777" w:rsidTr="0017714A">
        <w:tc>
          <w:tcPr>
            <w:tcW w:w="245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74FB9E24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Supplementary Data (number and title)</w:t>
            </w:r>
          </w:p>
        </w:tc>
        <w:tc>
          <w:tcPr>
            <w:tcW w:w="117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3EEC49C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File Type</w:t>
            </w:r>
          </w:p>
        </w:tc>
        <w:tc>
          <w:tcPr>
            <w:tcW w:w="523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9F9867D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Description</w:t>
            </w:r>
          </w:p>
        </w:tc>
      </w:tr>
      <w:tr w:rsidR="0094064F" w14:paraId="06CAA3FF" w14:textId="77777777" w:rsidTr="0017714A">
        <w:tc>
          <w:tcPr>
            <w:tcW w:w="24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C07459D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Supplementary Materials</w:t>
            </w:r>
          </w:p>
        </w:tc>
        <w:tc>
          <w:tcPr>
            <w:tcW w:w="11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E0666EF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PDF</w:t>
            </w:r>
          </w:p>
        </w:tc>
        <w:tc>
          <w:tcPr>
            <w:tcW w:w="52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6A7C2ED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One combined PDF file containing: Supplementary Methods (Detailed Analytical Protocols for mIHC and Spatial Topology); Supplementary Tables S1–S7; legends for Supplementary Figures S1–S4. Supplementary Methods: Detailed Analytical Protocols for mIHC and Spatial Topology.</w:t>
            </w:r>
          </w:p>
          <w:p w14:paraId="4CEDF1B6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Supplementary Table S1. Primary antibodies and mIHC panel specifications.</w:t>
            </w:r>
          </w:p>
          <w:p w14:paraId="5F5EB75F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Supplementary Table S2. Clinicopathological features of the 110 NSCLC patients by TTF-1/p40 expression status.</w:t>
            </w:r>
          </w:p>
          <w:p w14:paraId="4FAD92B3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Supplementary Table S3. List of 68 genes in the targeted NGS panel.</w:t>
            </w:r>
          </w:p>
          <w:p w14:paraId="50E1B90A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Supplementary Table S4. Per-case morphology, immunophenotype, grading, and molecular annotations of the 110 NSCLC patients.</w:t>
            </w:r>
          </w:p>
          <w:p w14:paraId="7E849091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Supplementary Table S5. Patient-level re-analysis of spatial density, ratio, and NND metrics (750 ROI nested in 30 patients), including sensitivity analyses excluding mixed-phenotype cases and heterogeneity (CV and stromal-proportion) metrics.</w:t>
            </w:r>
          </w:p>
          <w:p w14:paraId="3EAB0602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Supplementary Table S6. NGS mutation re-analysis: key genes, VAF/read-depth inspection, genome-wide Fisher tests with Benjamini–Hochberg FDR, and driver annotation.</w:t>
            </w:r>
          </w:p>
          <w:p w14:paraId="421253F7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Supplementary Table S7. Additional re-analyses: smoking and driver-gene distributions, follow-up metrics, and per-patient ROI breakdown.</w:t>
            </w:r>
          </w:p>
          <w:p w14:paraId="542C1162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Supplementary Figure S1. Mutation frequencies of the top 20 most frequently altered genes by lineage group.</w:t>
            </w:r>
          </w:p>
          <w:p w14:paraId="39A3B099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Supplementary Figure S2. HRR-pathway mutation burden score by lineage group.</w:t>
            </w:r>
          </w:p>
          <w:p w14:paraId="57BAA8CF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Supplementary Figure S3. Patient-level spatial comparisons (per-patient regional means) for key immune metrics.</w:t>
            </w:r>
          </w:p>
          <w:p w14:paraId="2EEAF520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Supplementary Figure S4. Sensitivity analysis excluding mixed-phenotype cases: pure TTF-1 only versus pure diffuse regions.</w:t>
            </w:r>
          </w:p>
        </w:tc>
      </w:tr>
      <w:tr w:rsidR="0094064F" w14:paraId="0C6453AD" w14:textId="77777777" w:rsidTr="0017714A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02192C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lastRenderedPageBreak/>
              <w:t>Supplementary Figure S1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8C74EB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PDF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6E1D3C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Mutation frequencies of the top 20 most frequently altered genes by lineage group (TTF-1 only, n = 13; focal, n = 21; diffuse, n = 11), with Wilson 95% confidence intervals and nominal Fisher exact P values.</w:t>
            </w:r>
          </w:p>
        </w:tc>
      </w:tr>
      <w:tr w:rsidR="0094064F" w14:paraId="54573E03" w14:textId="77777777" w:rsidTr="0017714A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EAD542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Supplementary Figure S2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0434C4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PDF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6943B5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HRR-pathway mutation burden score by lineage group (exploratory genomic-scar metric; not a validated clinical HRD assay).</w:t>
            </w:r>
          </w:p>
        </w:tc>
      </w:tr>
      <w:tr w:rsidR="0094064F" w14:paraId="50399F48" w14:textId="77777777" w:rsidTr="0017714A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F2C8F7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Supplementary Figure S3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147755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PDF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32DC49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Patient-level spatial comparisons (per-patient regional means) for key immune metrics: CD8+, FOXP3+, CD4+FOXP3+, and CD25+CD4+FOXP3+ densities in tumor and stromal compartments, and stroma-to-total tissue area ratio.</w:t>
            </w:r>
          </w:p>
        </w:tc>
      </w:tr>
      <w:tr w:rsidR="0094064F" w14:paraId="77CE1627" w14:textId="77777777" w:rsidTr="0017714A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A060ED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Supplementary Figure S4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B340C9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PDF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C92CF2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Sensitivity analysis excluding the 11 mixed-phenotype cases: pure TTF-1 only (n = 10) versus pure diffuse (n = 9) regions across the same nine spatial metrics.</w:t>
            </w:r>
          </w:p>
        </w:tc>
      </w:tr>
      <w:tr w:rsidR="0094064F" w14:paraId="2AF86E56" w14:textId="77777777" w:rsidTr="0017714A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34D8FE" w14:textId="77777777" w:rsidR="0094064F" w:rsidRDefault="0094064F" w:rsidP="0017714A">
            <w:pPr>
              <w:spacing w:line="360" w:lineRule="auto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Supplementary Table S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7567CE" w14:textId="77777777" w:rsidR="0094064F" w:rsidRDefault="0094064F" w:rsidP="0017714A">
            <w:pPr>
              <w:spacing w:line="360" w:lineRule="auto"/>
              <w:rPr>
                <w:rFonts w:ascii="Times New Roman" w:eastAsiaTheme="minorEastAsia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XLSX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1C3A61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Per-case morphology, immunophenotype, grading, and molecular annotations of the 110 NSCLC patients.</w:t>
            </w:r>
          </w:p>
        </w:tc>
      </w:tr>
      <w:tr w:rsidR="0094064F" w14:paraId="643B38F7" w14:textId="77777777" w:rsidTr="0017714A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AD9D94" w14:textId="77777777" w:rsidR="0094064F" w:rsidRDefault="0094064F" w:rsidP="0017714A">
            <w:pPr>
              <w:spacing w:line="360" w:lineRule="auto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Supplementary Table S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83036A" w14:textId="77777777" w:rsidR="0094064F" w:rsidRDefault="0094064F" w:rsidP="0017714A">
            <w:pPr>
              <w:spacing w:line="360" w:lineRule="auto"/>
              <w:rPr>
                <w:rFonts w:ascii="Times New Roman" w:eastAsiaTheme="minorEastAsia" w:hAnsi="Times New Roman" w:cs="Times New Roman"/>
                <w:color w:val="00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XLSX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26F2BF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Patient-level re-analysis of spatial density, ratio, and NND metrics (750 ROI nested in 30 patients), including sensitivity analyses excluding mixed-phenotype cases and heterogeneity (CV and stromal-proportion) metrics.</w:t>
            </w:r>
          </w:p>
        </w:tc>
      </w:tr>
      <w:tr w:rsidR="0094064F" w14:paraId="33A22AF0" w14:textId="77777777" w:rsidTr="0017714A"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0542AE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Supplementary Table S6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DBFD15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XLSX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88C95F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NGS mutation re-analysis: key genes, VAF/read-depth inspection, genome-wide Fisher tests with Benjamini–Hochberg FDR, and driver annotation.</w:t>
            </w:r>
          </w:p>
        </w:tc>
      </w:tr>
      <w:tr w:rsidR="0094064F" w14:paraId="6EEEE5DE" w14:textId="77777777" w:rsidTr="0017714A">
        <w:tc>
          <w:tcPr>
            <w:tcW w:w="24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F56028A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Supplementary Table S7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1AC61AA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XLSX</w:t>
            </w:r>
          </w:p>
        </w:tc>
        <w:tc>
          <w:tcPr>
            <w:tcW w:w="523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D2BA893" w14:textId="77777777" w:rsidR="0094064F" w:rsidRDefault="0094064F" w:rsidP="0017714A">
            <w:pPr>
              <w:spacing w:line="360" w:lineRule="auto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Additional re-analyses: smoking and driver-gene distributions, follow-up metrics, and per-patient ROI breakdown.</w:t>
            </w:r>
          </w:p>
        </w:tc>
      </w:tr>
    </w:tbl>
    <w:p w14:paraId="5DF56703" w14:textId="77777777" w:rsidR="0094064F" w:rsidRDefault="0094064F" w:rsidP="0094064F">
      <w:pPr>
        <w:spacing w:line="360" w:lineRule="auto"/>
        <w:rPr>
          <w:rFonts w:ascii="Times New Roman" w:eastAsia="Google Sans" w:hAnsi="Times New Roman" w:cs="Times New Roman"/>
          <w:color w:val="1F1F1F"/>
          <w:sz w:val="24"/>
          <w:szCs w:val="24"/>
        </w:rPr>
      </w:pPr>
      <w:r>
        <w:rPr>
          <w:rFonts w:ascii="Times New Roman" w:hAnsi="Times New Roman" w:cs="Times New Roman"/>
          <w:sz w:val="20"/>
        </w:rPr>
        <w:t>Note: In accordance with the journal’s guidelines, there is no limit on the number of supplementary materials; all text-based supplementary content (Methods, Tables S1–S7, and Figure S1–S4) is combined into one PDF file, with figures additionally provided as separate high-resolution files and large datasets as machine-readable XLSX files.</w:t>
      </w:r>
    </w:p>
    <w:p w14:paraId="33F5CF69" w14:textId="77777777" w:rsidR="009542D6" w:rsidRDefault="009542D6"/>
    <w:sectPr w:rsidR="009542D6" w:rsidSect="0094064F">
      <w:pgSz w:w="12240" w:h="15840"/>
      <w:pgMar w:top="1440" w:right="1440" w:bottom="1440" w:left="1440" w:header="0" w:footer="720" w:gutter="0"/>
      <w:lnNumType w:countBy="1" w:restart="continuous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oogle Sans">
    <w:altName w:val="Times New Roman"/>
    <w:charset w:val="00"/>
    <w:family w:val="roman"/>
    <w:pitch w:val="default"/>
    <w:sig w:usb0="00000000" w:usb1="0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64F"/>
    <w:rsid w:val="00264C10"/>
    <w:rsid w:val="00470242"/>
    <w:rsid w:val="00726E03"/>
    <w:rsid w:val="00934BC8"/>
    <w:rsid w:val="0094064F"/>
    <w:rsid w:val="009542D6"/>
    <w:rsid w:val="00C8679A"/>
    <w:rsid w:val="00F4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3D68E"/>
  <w15:chartTrackingRefBased/>
  <w15:docId w15:val="{522B65C1-C138-4964-8513-2E64802B6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064F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064F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64F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64F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64F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64F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64F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64F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64F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64F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6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6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6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6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6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6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64F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0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64F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0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64F"/>
    <w:pPr>
      <w:widowControl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06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64F"/>
    <w:pPr>
      <w:widowControl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06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64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6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6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94064F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40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2026-10-01T18:14:00Z</dcterms:created>
  <dcterms:modified xsi:type="dcterms:W3CDTF">2026-10-01T18:15:00Z</dcterms:modified>
</cp:coreProperties>
</file>