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40"/>
        <w:jc w:val="left"/>
      </w:pPr>
      <w:r>
        <w:rPr>
          <w:rFonts w:ascii="Times New Roman" w:cs="Times New Roman" w:eastAsia="Times New Roman" w:hAnsi="Times New Roman"/>
          <w:b/>
          <w:bCs/>
          <w:color w:val="000000"/>
          <w:sz w:val="24"/>
          <w:szCs w:val="24"/>
        </w:rPr>
        <w:t xml:space="preserve">Supplementary material</w:t>
      </w:r>
    </w:p>
    <w:p>
      <w:pPr>
        <w:spacing w:after="240" w:before="0" w:line="240"/>
        <w:jc w:val="left"/>
      </w:pPr>
      <w:r>
        <w:rPr>
          <w:rFonts w:ascii="Times New Roman" w:cs="Times New Roman" w:eastAsia="Times New Roman" w:hAnsi="Times New Roman"/>
          <w:color w:val="000000"/>
          <w:sz w:val="18"/>
          <w:szCs w:val="18"/>
        </w:rPr>
        <w:t>Spinal bupivacaine dose and recorded blood pressure during caesarean delivery without intrathecal opioids: a retrospective cohort study</w:t>
      </w:r>
    </w:p>
    <w:p>
      <w:pPr>
        <w:spacing w:after="60" w:before="0" w:line="240"/>
        <w:jc w:val="left"/>
      </w:pPr>
      <w:r>
        <w:rPr>
          <w:rFonts w:ascii="Times New Roman" w:cs="Times New Roman" w:eastAsia="Times New Roman" w:hAnsi="Times New Roman"/>
          <w:b/>
          <w:bCs/>
          <w:color w:val="000000"/>
          <w:sz w:val="22"/>
          <w:szCs w:val="22"/>
        </w:rPr>
        <w:t xml:space="preserve">Supplementary Table S1</w:t>
      </w:r>
    </w:p>
    <w:p>
      <w:pPr>
        <w:spacing w:after="160" w:before="0" w:line="240"/>
        <w:jc w:val="left"/>
      </w:pPr>
      <w:r>
        <w:rPr>
          <w:rFonts w:ascii="Times New Roman" w:cs="Times New Roman" w:eastAsia="Times New Roman" w:hAnsi="Times New Roman"/>
          <w:color w:val="000000"/>
          <w:sz w:val="20"/>
          <w:szCs w:val="20"/>
        </w:rPr>
        <w:t xml:space="preserve">Covariate balance before and after propensity-score matching and weighting, spinal anaesthesia cohort.</w:t>
      </w:r>
    </w:p>
    <w:tbl>
      <w:tblPr>
        <w:tblW w:type="dxa" w:w="12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1500"/>
        <w:gridCol w:w="1500"/>
        <w:gridCol w:w="900"/>
        <w:gridCol w:w="1500"/>
        <w:gridCol w:w="1500"/>
        <w:gridCol w:w="900"/>
        <w:gridCol w:w="1100"/>
      </w:tblGrid>
      <w:tr>
        <w:trPr>
          <w:tblHeader/>
        </w:trPr>
        <w:tc>
          <w:tcPr>
            <w:tcW w:type="dxa" w:w="3100"/>
            <w:tcBorders>
              <w:top w:val="single" w:color="000000" w:sz="6"/>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b/>
                <w:color w:val="000000"/>
              </w:rPr>
              <w:t xml:space="preserve"/>
            </w:r>
          </w:p>
        </w:tc>
        <w:tc>
          <w:tcPr>
            <w:tcW w:type="dxa" w:w="3900"/>
            <w:gridSpan w:val="3"/>
            <w:tcBorders>
              <w:top w:val="single" w:color="000000" w:sz="6"/>
              <w:left w:val="none" w:color="FFFFFF" w:sz="0"/>
              <w:bottom w:val="single" w:color="BBBBBB" w:sz="2"/>
              <w:right w:val="none" w:color="FFFFFF" w:sz="0"/>
            </w:tcBorders>
            <w:tcMar>
              <w:top w:type="dxa" w:w="40"/>
              <w:left w:type="dxa" w:w="80"/>
              <w:bottom w:type="dxa" w:w="40"/>
              <w:right w:type="dxa" w:w="80"/>
            </w:tcMar>
          </w:tcPr>
          <w:p>
            <w:pPr>
              <w:keepNext w:val="0"/>
              <w:keepLines w:val="0"/>
              <w:spacing w:after="0" w:line="312" w:lineRule="auto"/>
              <w:jc w:val="center"/>
            </w:pPr>
            <w:r>
              <w:rPr>
                <w:rFonts w:ascii="Times New Roman" w:cs="Times New Roman" w:eastAsia="Times New Roman" w:hAnsi="Times New Roman"/>
                <w:b/>
                <w:bCs/>
                <w:color w:val="000000"/>
                <w:sz w:val="20"/>
                <w:szCs w:val="20"/>
              </w:rPr>
              <w:t xml:space="preserve">Before matching (n = 196 vs 803)</w:t>
            </w:r>
          </w:p>
        </w:tc>
        <w:tc>
          <w:tcPr>
            <w:tcW w:type="dxa" w:w="3900"/>
            <w:gridSpan w:val="3"/>
            <w:tcBorders>
              <w:top w:val="single" w:color="000000" w:sz="6"/>
              <w:left w:val="none" w:color="FFFFFF" w:sz="0"/>
              <w:bottom w:val="single" w:color="BBBBBB" w:sz="2"/>
              <w:right w:val="none" w:color="FFFFFF" w:sz="0"/>
            </w:tcBorders>
            <w:tcMar>
              <w:top w:type="dxa" w:w="40"/>
              <w:left w:type="dxa" w:w="80"/>
              <w:bottom w:type="dxa" w:w="40"/>
              <w:right w:type="dxa" w:w="80"/>
            </w:tcMar>
          </w:tcPr>
          <w:p>
            <w:pPr>
              <w:keepNext w:val="0"/>
              <w:keepLines w:val="0"/>
              <w:spacing w:after="0" w:line="312" w:lineRule="auto"/>
              <w:jc w:val="center"/>
            </w:pPr>
            <w:r>
              <w:rPr>
                <w:rFonts w:ascii="Times New Roman" w:cs="Times New Roman" w:eastAsia="Times New Roman" w:hAnsi="Times New Roman"/>
                <w:b/>
                <w:bCs/>
                <w:color w:val="000000"/>
                <w:sz w:val="20"/>
                <w:szCs w:val="20"/>
              </w:rPr>
              <w:t xml:space="preserve">After matching (196 pairs)</w:t>
            </w:r>
          </w:p>
        </w:tc>
        <w:tc>
          <w:tcPr>
            <w:tcW w:type="dxa" w:w="1100"/>
            <w:tcBorders>
              <w:top w:val="single" w:color="000000" w:sz="6"/>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b/>
                <w:color w:val="000000"/>
              </w:rPr>
              <w:t xml:space="preserve"/>
            </w:r>
          </w:p>
        </w:tc>
      </w:tr>
      <w:tr>
        <w:trPr/>
        <w:tc>
          <w:tcPr>
            <w:tcW w:type="dxa" w:w="31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b/>
                <w:bCs/>
                <w:color w:val="000000"/>
              </w:rPr>
              <w:t xml:space="preserve">Variable</w:t>
            </w:r>
          </w:p>
        </w:tc>
        <w:tc>
          <w:tcPr>
            <w:tcW w:type="dxa" w:w="15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&lt; 12 mg</w:t>
            </w:r>
          </w:p>
        </w:tc>
        <w:tc>
          <w:tcPr>
            <w:tcW w:type="dxa" w:w="15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 12 mg</w:t>
            </w:r>
          </w:p>
        </w:tc>
        <w:tc>
          <w:tcPr>
            <w:tcW w:type="dxa" w:w="9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SMD</w:t>
            </w:r>
          </w:p>
        </w:tc>
        <w:tc>
          <w:tcPr>
            <w:tcW w:type="dxa" w:w="15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&lt; 12 mg</w:t>
            </w:r>
          </w:p>
        </w:tc>
        <w:tc>
          <w:tcPr>
            <w:tcW w:type="dxa" w:w="15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 12 mg</w:t>
            </w:r>
          </w:p>
        </w:tc>
        <w:tc>
          <w:tcPr>
            <w:tcW w:type="dxa" w:w="9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SMD</w:t>
            </w:r>
          </w:p>
        </w:tc>
        <w:tc>
          <w:tcPr>
            <w:tcW w:type="dxa" w:w="11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IPTW SMD</w:t>
            </w:r>
          </w:p>
        </w:tc>
      </w:tr>
      <w:tr>
        <w:trPr/>
        <w:tc>
          <w:tcPr>
            <w:tcW w:type="dxa" w:w="3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color w:val="000000"/>
              </w:rPr>
              <w:t xml:space="preserve">Age, y</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34.8 (5.0)</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34.7 (4.5)</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−0.02</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34.8 (5.0)</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34.6 (4.6)</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−0.04</w:t>
            </w:r>
          </w:p>
        </w:tc>
        <w:tc>
          <w:tcPr>
            <w:tcW w:type="dxa" w:w="1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−0.09</w:t>
            </w:r>
          </w:p>
        </w:tc>
      </w:tr>
      <w:tr>
        <w:trPr/>
        <w:tc>
          <w:tcPr>
            <w:tcW w:type="dxa" w:w="3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color w:val="000000"/>
              </w:rPr>
              <w:t xml:space="preserve">Height, cm</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157.0 (4.5)</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161.0 (5.2)</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+0.81</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157.0 (4.5)</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157.1 (4.8)</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+0.01</w:t>
            </w:r>
          </w:p>
        </w:tc>
        <w:tc>
          <w:tcPr>
            <w:tcW w:type="dxa" w:w="1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+0.15</w:t>
            </w:r>
          </w:p>
        </w:tc>
      </w:tr>
      <w:tr>
        <w:trPr/>
        <w:tc>
          <w:tcPr>
            <w:tcW w:type="dxa" w:w="3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color w:val="000000"/>
              </w:rPr>
              <w:t xml:space="preserve">Body mass index, kg m⁻²</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27.5 (3.9)</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26.9 (3.9)</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−0.16</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27.5 (3.9)</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27.2 (4.1)</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−0.07</w:t>
            </w:r>
          </w:p>
        </w:tc>
        <w:tc>
          <w:tcPr>
            <w:tcW w:type="dxa" w:w="1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−0.06</w:t>
            </w:r>
          </w:p>
        </w:tc>
      </w:tr>
      <w:tr>
        <w:trPr/>
        <w:tc>
          <w:tcPr>
            <w:tcW w:type="dxa" w:w="3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color w:val="000000"/>
              </w:rPr>
              <w:t xml:space="preserve">Gestational age, weeks</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37.7 (2.6)</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37.5 (2.8)</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−0.07</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37.7 (2.6)</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37.6 (2.6)</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−0.03</w:t>
            </w:r>
          </w:p>
        </w:tc>
        <w:tc>
          <w:tcPr>
            <w:tcW w:type="dxa" w:w="1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+0.05</w:t>
            </w:r>
          </w:p>
        </w:tc>
      </w:tr>
      <w:tr>
        <w:trPr/>
        <w:tc>
          <w:tcPr>
            <w:tcW w:type="dxa" w:w="3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color w:val="000000"/>
              </w:rPr>
              <w:t xml:space="preserve">Multiparous, %</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56.6</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50.9</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−0.11</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56.6</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59.7</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+0.06</w:t>
            </w:r>
          </w:p>
        </w:tc>
        <w:tc>
          <w:tcPr>
            <w:tcW w:type="dxa" w:w="1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−0.03</w:t>
            </w:r>
          </w:p>
        </w:tc>
      </w:tr>
      <w:tr>
        <w:trPr/>
        <w:tc>
          <w:tcPr>
            <w:tcW w:type="dxa" w:w="3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color w:val="000000"/>
              </w:rPr>
              <w:t xml:space="preserve">Twin pregnancy, %</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11.7</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11.0</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−0.02</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11.7</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11.7</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+0.00</w:t>
            </w:r>
          </w:p>
        </w:tc>
        <w:tc>
          <w:tcPr>
            <w:tcW w:type="dxa" w:w="1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−0.04</w:t>
            </w:r>
          </w:p>
        </w:tc>
      </w:tr>
      <w:tr>
        <w:trPr/>
        <w:tc>
          <w:tcPr>
            <w:tcW w:type="dxa" w:w="3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color w:val="000000"/>
              </w:rPr>
              <w:t xml:space="preserve">Largest fetal weight, g</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2969 (630)</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2916 (651)</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−0.08</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2969 (630)</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2975 (684)</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+0.01</w:t>
            </w:r>
          </w:p>
        </w:tc>
        <w:tc>
          <w:tcPr>
            <w:tcW w:type="dxa" w:w="1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+0.03</w:t>
            </w:r>
          </w:p>
        </w:tc>
      </w:tr>
      <w:tr>
        <w:trPr/>
        <w:tc>
          <w:tcPr>
            <w:tcW w:type="dxa" w:w="3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color w:val="000000"/>
              </w:rPr>
              <w:t xml:space="preserve">Baseline systolic pressure, mmHg</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128.0 (13.7)</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127.8 (15.6)</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−0.01</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128.0 (13.7)</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127.0 (15.9)</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−0.06</w:t>
            </w:r>
          </w:p>
        </w:tc>
        <w:tc>
          <w:tcPr>
            <w:tcW w:type="dxa" w:w="1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+0.02</w:t>
            </w:r>
          </w:p>
        </w:tc>
      </w:tr>
      <w:tr>
        <w:trPr/>
        <w:tc>
          <w:tcPr>
            <w:tcW w:type="dxa" w:w="3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color w:val="000000"/>
              </w:rPr>
              <w:t xml:space="preserve">Baseline heart rate, beats min⁻¹</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84.0 (14.0)</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83.4 (14.1)</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−0.04</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84.0 (14.0)</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84.1 (13.2)</w:t>
            </w:r>
          </w:p>
        </w:tc>
        <w:tc>
          <w:tcPr>
            <w:tcW w:type="dxa" w:w="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+0.00</w:t>
            </w:r>
          </w:p>
        </w:tc>
        <w:tc>
          <w:tcPr>
            <w:tcW w:type="dxa" w:w="11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−0.07</w:t>
            </w:r>
          </w:p>
        </w:tc>
      </w:tr>
      <w:tr>
        <w:trPr/>
        <w:tc>
          <w:tcPr>
            <w:tcW w:type="dxa" w:w="31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color w:val="000000"/>
              </w:rPr>
              <w:t xml:space="preserve">Duration of anaesthesia, min</w:t>
            </w:r>
          </w:p>
        </w:tc>
        <w:tc>
          <w:tcPr>
            <w:tcW w:type="dxa" w:w="15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112.7 (21.8)</w:t>
            </w:r>
          </w:p>
        </w:tc>
        <w:tc>
          <w:tcPr>
            <w:tcW w:type="dxa" w:w="15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111.4 (20.7)</w:t>
            </w:r>
          </w:p>
        </w:tc>
        <w:tc>
          <w:tcPr>
            <w:tcW w:type="dxa" w:w="9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−0.06</w:t>
            </w:r>
          </w:p>
        </w:tc>
        <w:tc>
          <w:tcPr>
            <w:tcW w:type="dxa" w:w="15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112.7 (21.8)</w:t>
            </w:r>
          </w:p>
        </w:tc>
        <w:tc>
          <w:tcPr>
            <w:tcW w:type="dxa" w:w="15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111.4 (21.0)</w:t>
            </w:r>
          </w:p>
        </w:tc>
        <w:tc>
          <w:tcPr>
            <w:tcW w:type="dxa" w:w="9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−0.06</w:t>
            </w:r>
          </w:p>
        </w:tc>
        <w:tc>
          <w:tcPr>
            <w:tcW w:type="dxa" w:w="11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−0.15</w:t>
            </w:r>
          </w:p>
        </w:tc>
      </w:tr>
    </w:tbl>
    <w:p>
      <w:pPr>
        <w:spacing w:after="0" w:before="160" w:line="240"/>
        <w:jc w:val="left"/>
      </w:pPr>
      <w:r>
        <w:rPr>
          <w:rFonts w:ascii="Times New Roman" w:cs="Times New Roman" w:eastAsia="Times New Roman" w:hAnsi="Times New Roman"/>
          <w:color w:val="000000"/>
          <w:sz w:val="18"/>
          <w:szCs w:val="18"/>
        </w:rPr>
        <w:t>Spinal anaesthesia cohort. Values are mean (SD) or %. SMD, standardised mean difference (≥ 12 mg minus &lt; 12 mg); |SMD| &gt; 0.10 indicates imbalance. The propensity score was estimated by logistic regression on the nine covariates excluding anaesthesia duration; duration of anaesthesia was excluded because it is determined after the dose is given, and is shown here for completeness. Matching was optimal 1:1 without replacement within a caliper of 0.2 standard deviations of the logit propensity score; all 196 deliveries in the lower-dose group were matched. IPTW SMD is the standardised difference after stabilised inverse-probability-of-treatment weighting truncated at the 1st and 99th percentiles. Height showed the largest imbalance before matching, with smaller imbalances in body mass index and parity. After matching, every variable, including duration of anaesthesia, was below |SMD| 0.08 (the largest, for body mass index, is −0.0725 and is shown as −0.07); weighting left height and duration of anaesthesia above the 0.10 threshold. Both the weighted and the matched models were also fitted with covariate adjustment.</w:t>
      </w:r>
    </w:p>
    <w:p>
      <w:pPr>
        <w:sectPr>
          <w:headerReference w:type="default" r:id="rId8"/>
          <w:footerReference w:type="default" r:id="rId9"/>
          <w:pgSz w:w="15840" w:h="12240" w:orient="landscape"/>
          <w:pgMar w:top="900" w:right="900" w:bottom="900" w:left="900" w:header="708" w:footer="708" w:gutter="0"/>
          <w:pgNumType/>
          <w:docGrid w:linePitch="360"/>
        </w:sectPr>
      </w:pPr>
    </w:p>
    <w:p>
      <w:pPr>
        <w:spacing w:after="60" w:before="0" w:line="240"/>
        <w:jc w:val="left"/>
      </w:pPr>
      <w:r>
        <w:rPr>
          <w:rFonts w:ascii="Times New Roman" w:cs="Times New Roman" w:eastAsia="Times New Roman" w:hAnsi="Times New Roman"/>
          <w:b/>
          <w:bCs/>
          <w:color w:val="000000"/>
          <w:sz w:val="22"/>
          <w:szCs w:val="22"/>
        </w:rPr>
        <w:t xml:space="preserve">Supplementary Table S2</w:t>
      </w:r>
    </w:p>
    <w:p>
      <w:pPr>
        <w:spacing w:after="160" w:before="0" w:line="240"/>
        <w:jc w:val="left"/>
      </w:pPr>
      <w:r>
        <w:rPr>
          <w:rFonts w:ascii="Times New Roman" w:cs="Times New Roman" w:eastAsia="Times New Roman" w:hAnsi="Times New Roman"/>
          <w:color w:val="000000"/>
          <w:sz w:val="20"/>
          <w:szCs w:val="20"/>
        </w:rPr>
        <w:t>Exploratory outcomes by bupivacaine dose in the separate cohort after epidural labour analgesia (207 delivery records).</w:t>
      </w:r>
    </w:p>
    <w:tbl>
      <w:tblPr>
        <w:tblW w:type="dxa" w:w="11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00"/>
        <w:gridCol w:w="1750"/>
        <w:gridCol w:w="1750"/>
        <w:gridCol w:w="2600"/>
        <w:gridCol w:w="1500"/>
      </w:tblGrid>
      <w:tr>
        <w:trPr>
          <w:tblHeader/>
        </w:trPr>
        <w:tc>
          <w:tcPr>
            <w:tcW w:type="dxa" w:w="390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b/>
                <w:bCs/>
                <w:color w:val="000000"/>
              </w:rPr>
              <w:t xml:space="preserve">Outcome</w:t>
            </w:r>
          </w:p>
        </w:tc>
        <w:tc>
          <w:tcPr>
            <w:tcW w:type="dxa" w:w="175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&lt; 12 mg (n = 52)</w:t>
            </w:r>
          </w:p>
        </w:tc>
        <w:tc>
          <w:tcPr>
            <w:tcW w:type="dxa" w:w="175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 12 mg (n = 155)</w:t>
            </w:r>
          </w:p>
        </w:tc>
        <w:tc>
          <w:tcPr>
            <w:tcW w:type="dxa" w:w="260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Adjusted effect (95% CI)</w:t>
            </w:r>
          </w:p>
        </w:tc>
        <w:tc>
          <w:tcPr>
            <w:tcW w:type="dxa" w:w="150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TOST P</w:t>
            </w:r>
          </w:p>
        </w:tc>
      </w:tr>
      <w:tr>
        <w:trPr/>
        <w:tc>
          <w:tcPr>
            <w:tcW w:type="dxa" w:w="3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b/>
                <w:bCs/>
                <w:i/>
                <w:iCs/>
                <w:color w:val="000000"/>
              </w:rPr>
              <w:t xml:space="preserve">Haemodynamic outcomes</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26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r>
      <w:tr>
        <w:trPr/>
        <w:tc>
          <w:tcPr>
            <w:tcW w:type="dxa" w:w="3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Lowest systolic pressure, mmHg</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102.2 (13.0)</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103.0 (12.9)</w:t>
            </w:r>
          </w:p>
        </w:tc>
        <w:tc>
          <w:tcPr>
            <w:tcW w:type="dxa" w:w="26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+1.55 (−2.82 to 5.92)</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0.061</w:t>
            </w:r>
          </w:p>
        </w:tc>
      </w:tr>
      <w:tr>
        <w:trPr/>
        <w:tc>
          <w:tcPr>
            <w:tcW w:type="dxa" w:w="3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Time-weighted mean systolic pressure, mmHg</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116.3 (12.0)</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116.3 (11.3)</w:t>
            </w:r>
          </w:p>
        </w:tc>
        <w:tc>
          <w:tcPr>
            <w:tcW w:type="dxa" w:w="26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+1.53 (−2.21 to 5.27)</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0.034</w:t>
            </w:r>
          </w:p>
        </w:tc>
      </w:tr>
      <w:tr>
        <w:trPr/>
        <w:tc>
          <w:tcPr>
            <w:tcW w:type="dxa" w:w="3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Area below baseline systolic pressure, mmHg·min</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301 (273)</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238 (259)</w:t>
            </w:r>
          </w:p>
        </w:tc>
        <w:tc>
          <w:tcPr>
            <w:tcW w:type="dxa" w:w="26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−5.82 (−69.41 to 57.77)</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w:t>
            </w:r>
          </w:p>
        </w:tc>
      </w:tr>
      <w:tr>
        <w:trPr/>
        <w:tc>
          <w:tcPr>
            <w:tcW w:type="dxa" w:w="3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Lowest systolic pressure ≤ 90 mmHg, n (%)</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12 (23.1)</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29 (18.7)</w:t>
            </w:r>
          </w:p>
        </w:tc>
        <w:tc>
          <w:tcPr>
            <w:tcW w:type="dxa" w:w="26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0.65 (0.28 to 1.49)</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w:t>
            </w:r>
          </w:p>
        </w:tc>
      </w:tr>
      <w:tr>
        <w:trPr/>
        <w:tc>
          <w:tcPr>
            <w:tcW w:type="dxa" w:w="3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b/>
                <w:bCs/>
                <w:i/>
                <w:iCs/>
                <w:color w:val="000000"/>
              </w:rPr>
              <w:t xml:space="preserve">Vasopressor use</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26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r>
      <w:tr>
        <w:trPr/>
        <w:tc>
          <w:tcPr>
            <w:tcW w:type="dxa" w:w="3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Recorded ephedrine dose, mg</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10.6 (10.8)</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7.6 (9.4)</w:t>
            </w:r>
          </w:p>
        </w:tc>
        <w:tc>
          <w:tcPr>
            <w:tcW w:type="dxa" w:w="26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−3.68 (−7.02 to −0.35)</w:t>
            </w:r>
          </w:p>
        </w:tc>
        <w:tc>
          <w:tcPr>
            <w:tcW w:type="dxa" w:w="15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w:t>
            </w:r>
          </w:p>
        </w:tc>
      </w:tr>
      <w:tr>
        <w:trPr/>
        <w:tc>
          <w:tcPr>
            <w:tcW w:type="dxa" w:w="39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Any ephedrine administration, n (%)</w:t>
            </w:r>
          </w:p>
        </w:tc>
        <w:tc>
          <w:tcPr>
            <w:tcW w:type="dxa" w:w="175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35 (67.3)</w:t>
            </w:r>
          </w:p>
        </w:tc>
        <w:tc>
          <w:tcPr>
            <w:tcW w:type="dxa" w:w="175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81 (52.3)</w:t>
            </w:r>
          </w:p>
        </w:tc>
        <w:tc>
          <w:tcPr>
            <w:tcW w:type="dxa" w:w="26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0.47 (0.22 to 0.96)</w:t>
            </w:r>
          </w:p>
        </w:tc>
        <w:tc>
          <w:tcPr>
            <w:tcW w:type="dxa" w:w="15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w:t>
            </w:r>
          </w:p>
        </w:tc>
      </w:tr>
    </w:tbl>
    <w:p>
      <w:pPr>
        <w:spacing w:after="0" w:before="160" w:line="240"/>
        <w:jc w:val="left"/>
      </w:pPr>
      <w:r>
        <w:rPr>
          <w:rFonts w:ascii="Times New Roman" w:cs="Times New Roman" w:eastAsia="Times New Roman" w:hAnsi="Times New Roman"/>
          <w:color w:val="000000"/>
          <w:sz w:val="18"/>
          <w:szCs w:val="18"/>
        </w:rPr>
        <w:t>Secondary cohort: delivery records involving spinal anaesthesia for caesarean delivery after epidural labour analgesia. Descriptive columns are mean (SD) or n (%). Adjusted associations are mean differences (continuous outcomes) or odds ratios (binary outcomes) for a dose ≥ 12 mg versus &lt; 12 mg, adjusted for body mass index, baseline systolic pressure, baseline heart rate, height, gestational age, maternal age, parity and fetal weight. Blood pressures were taken from the recorded series at induction and 5, 10, 15, 20 and 25 min after intrathecal injection; the time-weighted mean is the area under that series by the trapezoidal rule divided by 25 minutes, and the area below baseline is the trapezoidal integral of max(baseline − recorded pressure, 0) over the same six time points. TOST denotes exploratory two one-sided tests against a ±5 mmHg margin finalised after preliminary results. The fixed 25-minute observation window can include post-delivery measurements and does not replicate the primary cohort’s endpoint. The nadir result was sensitive to variance estimation. The ephedrine variable carries no administration times, so its observation period cannot be verified as the same 0–25-minute interval used for the blood-pressure outcomes. These analyses do not establish equivalence of clinical safety. Duration of anaesthesia was not available as a complete covariate in the verified secondary analysis dataset and could not be adjusted for.</w:t>
      </w:r>
    </w:p>
    <w:p>
      <w:pPr>
        <w:sectPr>
          <w:pgSz w:w="15840" w:h="12240" w:orient="landscape"/>
          <w:pgMar w:top="1000" w:right="1000" w:bottom="1000" w:left="1000" w:header="708" w:footer="708" w:gutter="0"/>
          <w:pgNumType/>
          <w:docGrid w:linePitch="360"/>
        </w:sectPr>
      </w:pPr>
    </w:p>
    <w:p>
      <w:pPr>
        <w:spacing w:after="60" w:before="0" w:line="240"/>
        <w:jc w:val="left"/>
      </w:pPr>
      <w:r>
        <w:rPr>
          <w:rFonts w:ascii="Times New Roman" w:cs="Times New Roman" w:eastAsia="Times New Roman" w:hAnsi="Times New Roman"/>
          <w:b/>
          <w:bCs/>
          <w:color w:val="000000"/>
          <w:sz w:val="22"/>
          <w:szCs w:val="22"/>
        </w:rPr>
        <w:t xml:space="preserve">Supplementary Table S3</w:t>
      </w:r>
    </w:p>
    <w:p>
      <w:pPr>
        <w:spacing w:after="160" w:before="0" w:line="240"/>
        <w:jc w:val="left"/>
      </w:pPr>
      <w:r>
        <w:rPr>
          <w:rFonts w:ascii="Times New Roman" w:cs="Times New Roman" w:eastAsia="Times New Roman" w:hAnsi="Times New Roman"/>
          <w:color w:val="000000"/>
          <w:sz w:val="20"/>
          <w:szCs w:val="20"/>
        </w:rPr>
        <w:t>Confidence intervals and exploratory post hoc equivalence analyses of recorded systolic pressure.</w:t>
      </w:r>
    </w:p>
    <w:tbl>
      <w:tblPr>
        <w:tblW w:type="dxa" w:w="132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1750"/>
        <w:gridCol w:w="2000"/>
        <w:gridCol w:w="2000"/>
        <w:gridCol w:w="1250"/>
        <w:gridCol w:w="1900"/>
      </w:tblGrid>
      <w:tr>
        <w:trPr>
          <w:tblHeader/>
        </w:trPr>
        <w:tc>
          <w:tcPr>
            <w:tcW w:type="dxa" w:w="430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b/>
                <w:bCs/>
                <w:color w:val="000000"/>
              </w:rPr>
              <w:t xml:space="preserve">Analysis</w:t>
            </w:r>
          </w:p>
        </w:tc>
        <w:tc>
          <w:tcPr>
            <w:tcW w:type="dxa" w:w="175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Adjusted difference</w:t>
            </w:r>
          </w:p>
        </w:tc>
        <w:tc>
          <w:tcPr>
            <w:tcW w:type="dxa" w:w="200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90% CI</w:t>
            </w:r>
          </w:p>
        </w:tc>
        <w:tc>
          <w:tcPr>
            <w:tcW w:type="dxa" w:w="200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95% CI</w:t>
            </w:r>
          </w:p>
        </w:tc>
        <w:tc>
          <w:tcPr>
            <w:tcW w:type="dxa" w:w="125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TOST P (±5 / ±3 mmHg)</w:t>
            </w:r>
          </w:p>
        </w:tc>
        <w:tc>
          <w:tcPr>
            <w:tcW w:type="dxa" w:w="190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line="312" w:lineRule="auto"/>
            </w:pPr>
            <w:r>
              <w:rPr>
                <w:rFonts w:ascii="Times New Roman" w:hAnsi="Times New Roman"/>
                <w:b/>
                <w:color w:val="000000"/>
              </w:rPr>
              <w:t>90% CI boundary magnitude, mmHg</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b/>
                <w:bCs/>
                <w:i/>
                <w:iCs/>
                <w:color w:val="000000"/>
              </w:rPr>
              <w:t xml:space="preserve">Primary cohort, lowest systolic pressure (n = 999)</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12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1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Multivariable regression</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−0.19</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−2.07 to 1.69</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−2.43 to 2.05</w:t>
            </w:r>
          </w:p>
        </w:tc>
        <w:tc>
          <w:tcPr>
            <w:tcW w:type="dxa" w:w="12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&lt; 0.001 / 0.007</w:t>
            </w:r>
          </w:p>
        </w:tc>
        <w:tc>
          <w:tcPr>
            <w:tcW w:type="dxa" w:w="1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2.07</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Inverse-probability-of-treatment weighting</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−0.05</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−2.42 to 2.31</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−2.87 to 2.77</w:t>
            </w:r>
          </w:p>
        </w:tc>
        <w:tc>
          <w:tcPr>
            <w:tcW w:type="dxa" w:w="12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&lt; 0.001 / 0.020</w:t>
            </w:r>
          </w:p>
        </w:tc>
        <w:tc>
          <w:tcPr>
            <w:tcW w:type="dxa" w:w="1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2.42</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Weighting with covariate adjustment</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−0.58</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−2.80 to 1.64</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−3.22 to 2.07</w:t>
            </w:r>
          </w:p>
        </w:tc>
        <w:tc>
          <w:tcPr>
            <w:tcW w:type="dxa" w:w="12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&lt; 0.001 / 0.036</w:t>
            </w:r>
          </w:p>
        </w:tc>
        <w:tc>
          <w:tcPr>
            <w:tcW w:type="dxa" w:w="1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2.80</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Propensity-score matching (196 pairs)</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−0.87</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−3.39 to 1.65</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−3.87 to 2.14</w:t>
            </w:r>
          </w:p>
        </w:tc>
        <w:tc>
          <w:tcPr>
            <w:tcW w:type="dxa" w:w="12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0.003 / 0.082</w:t>
            </w:r>
          </w:p>
        </w:tc>
        <w:tc>
          <w:tcPr>
            <w:tcW w:type="dxa" w:w="1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3.39</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Matching with covariate adjustment</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−0.45</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−2.73 to 1.83</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−3.16 to 2.27</w:t>
            </w:r>
          </w:p>
        </w:tc>
        <w:tc>
          <w:tcPr>
            <w:tcW w:type="dxa" w:w="12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&lt; 0.001 / 0.033</w:t>
            </w:r>
          </w:p>
        </w:tc>
        <w:tc>
          <w:tcPr>
            <w:tcW w:type="dxa" w:w="1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2.73</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b/>
                <w:bCs/>
                <w:i/>
                <w:iCs/>
                <w:color w:val="000000"/>
              </w:rPr>
              <w:t xml:space="preserve">Sensitivity analyses, primary cohort</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12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1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Multivariable, clustered on the mother</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−0.19</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−2.16 to 1.78</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−2.53 to 2.16</w:t>
            </w:r>
          </w:p>
        </w:tc>
        <w:tc>
          <w:tcPr>
            <w:tcW w:type="dxa" w:w="12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&lt; 0.001 / 0.009</w:t>
            </w:r>
          </w:p>
        </w:tc>
        <w:tc>
          <w:tcPr>
            <w:tcW w:type="dxa" w:w="1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2.16</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Restricted to 11 to 13 mg (n = 858)</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−0.98</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−3.00 to 1.04</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−3.39 to 1.43</w:t>
            </w:r>
          </w:p>
        </w:tc>
        <w:tc>
          <w:tcPr>
            <w:tcW w:type="dxa" w:w="12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&lt; 0.001 / 0.0504</w:t>
            </w:r>
          </w:p>
        </w:tc>
        <w:tc>
          <w:tcPr>
            <w:tcW w:type="dxa" w:w="1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3.00</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Omitting duration of anaesthesia</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−0.14</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−2.02 to 1.75</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−2.38 to 2.11</w:t>
            </w:r>
          </w:p>
        </w:tc>
        <w:tc>
          <w:tcPr>
            <w:tcW w:type="dxa" w:w="12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&lt; 0.001 / 0.006</w:t>
            </w:r>
          </w:p>
        </w:tc>
        <w:tc>
          <w:tcPr>
            <w:tcW w:type="dxa" w:w="1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2.02</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b/>
                <w:bCs/>
                <w:i/>
                <w:iCs/>
                <w:color w:val="000000"/>
              </w:rPr>
              <w:t xml:space="preserve">Secondary cohort (n = 207)</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12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c>
          <w:tcPr>
            <w:tcW w:type="dxa" w:w="1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i/>
                <w:iCs/>
                <w:color w:val="000000"/>
              </w:rPr>
              <w:t xml:space="preserve"/>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Lowest systolic pressure</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+1.55</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−2.11 to 5.21</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−2.82 to 5.92</w:t>
            </w:r>
          </w:p>
        </w:tc>
        <w:tc>
          <w:tcPr>
            <w:tcW w:type="dxa" w:w="12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0.061 / 0.257</w:t>
            </w:r>
          </w:p>
        </w:tc>
        <w:tc>
          <w:tcPr>
            <w:tcW w:type="dxa" w:w="19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5.21</w:t>
            </w:r>
          </w:p>
        </w:tc>
      </w:tr>
      <w:tr>
        <w:trPr/>
        <w:tc>
          <w:tcPr>
            <w:tcW w:type="dxa" w:w="43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Time-weighted mean systolic pressure</w:t>
            </w:r>
          </w:p>
        </w:tc>
        <w:tc>
          <w:tcPr>
            <w:tcW w:type="dxa" w:w="175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+1.53</w:t>
            </w:r>
          </w:p>
        </w:tc>
        <w:tc>
          <w:tcPr>
            <w:tcW w:type="dxa" w:w="20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−1.60 to 4.66</w:t>
            </w:r>
          </w:p>
        </w:tc>
        <w:tc>
          <w:tcPr>
            <w:tcW w:type="dxa" w:w="20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−2.21 to 5.27</w:t>
            </w:r>
          </w:p>
        </w:tc>
        <w:tc>
          <w:tcPr>
            <w:tcW w:type="dxa" w:w="125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0.034 / 0.220</w:t>
            </w:r>
          </w:p>
        </w:tc>
        <w:tc>
          <w:tcPr>
            <w:tcW w:type="dxa" w:w="1900"/>
            <w:tcBorders>
              <w:top w:val="none" w:color="FFFFFF" w:sz="0"/>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4.66</w:t>
            </w:r>
          </w:p>
        </w:tc>
      </w:tr>
    </w:tbl>
    <w:p>
      <w:pPr>
        <w:spacing w:after="0" w:before="160" w:line="240"/>
        <w:jc w:val="left"/>
      </w:pPr>
      <w:r>
        <w:rPr>
          <w:rFonts w:ascii="Times New Roman" w:cs="Times New Roman" w:eastAsia="Times New Roman" w:hAnsi="Times New Roman"/>
          <w:color w:val="000000"/>
          <w:sz w:val="18"/>
          <w:szCs w:val="18"/>
        </w:rPr>
        <w:t>Adjusted mean differences compare ≥12 with &lt;12 mg. Each interval and each test uses the reference distribution of the model it comes from: Student’s t with the model’s residual degrees of freedom for ordinary and weighted least squares fitted without clustering, and the normal distribution where standard errors are cluster-robust. Each 90% interval and the corresponding test are therefore exactly dual. The post hoc two one-sided tests are shown against the ±5 mmHg margin selected after preliminary results and, after the solidus, against a ±3 mmHg margin examined only after the intervals were known; neither margin was pre-specified. For the 11 to 13 mg subset the unrounded lower limit of the 90% interval is −3.0045, so that row does not meet the ±3 mmHg criterion despite rounding to −3.00. Six of the 386 women in the matched sample contributed a record to two different pairs; clustering the matched models on the mother rather than on the pair gave −0.87 (95% CI −3.80 to 2.07) without covariate adjustment and −0.45 (−3.12 to 2.23) with adjustment, so the intervals shown here, clustered on the pair, are the wider of the two. A 90% confidence interval strictly inside the margin meets the statistical criterion; this does not validate the margin or establish clinical safety. The final column gives the boundary magnitude of the 90% interval, max(|lower limit|, |upper limit|), rounded to two decimals. A margin must exceed the unrounded boundary to meet the strict criterion; the displayed boundary is not itself a validated or recommended margin. Covariates and methods are described in Table 2 and Supplementary Tables S1–S2. Weighted models used standard errors clustered on the mother and matched-sample models standard errors clustered on the matched pair. The secondary cohort’s 25-minute window differs from the primary pre-delivery window. Clustering by mother accounts for repeated deliveries in the primary cohort.</w:t>
      </w:r>
    </w:p>
    <w:p>
      <w:pPr>
        <w:spacing w:after="60" w:before="0" w:line="240"/>
        <w:jc w:val="left"/>
      </w:pPr>
      <w:r>
        <w:rPr>
          <w:rFonts w:ascii="Times New Roman" w:cs="Times New Roman" w:eastAsia="Times New Roman" w:hAnsi="Times New Roman"/>
          <w:b/>
          <w:bCs/>
          <w:color w:val="000000"/>
          <w:sz w:val="22"/>
          <w:szCs w:val="22"/>
        </w:rPr>
        <w:t>Supplementary Table S4</w:t>
      </w:r>
    </w:p>
    <w:p>
      <w:pPr>
        <w:spacing w:after="160" w:before="0" w:line="240"/>
        <w:jc w:val="left"/>
      </w:pPr>
      <w:r>
        <w:rPr>
          <w:rFonts w:ascii="Times New Roman" w:cs="Times New Roman" w:eastAsia="Times New Roman" w:hAnsi="Times New Roman"/>
          <w:color w:val="000000"/>
          <w:sz w:val="20"/>
          <w:szCs w:val="20"/>
        </w:rPr>
        <w:t>Distribution of hyperbaric bupivacaine dose, spinal anaesthesia cohort (n = 999).</w:t>
      </w:r>
    </w:p>
    <w:tbl>
      <w:tblPr>
        <w:tblW w:type="dxa" w:w="132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1750"/>
        <w:gridCol w:w="2000"/>
        <w:gridCol w:w="2000"/>
        <w:gridCol w:w="1250"/>
        <w:gridCol w:w="1900"/>
      </w:tblGrid>
      <w:tr>
        <w:trPr>
          <w:tblHeader/>
        </w:trPr>
        <w:tc>
          <w:tcPr>
            <w:tcW w:type="dxa" w:w="430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b/>
                <w:bCs/>
                <w:color w:val="000000"/>
              </w:rPr>
              <w:t xml:space="preserve">Dose (mg)</w:t>
            </w:r>
          </w:p>
        </w:tc>
        <w:tc>
          <w:tcPr>
            <w:tcW w:type="dxa" w:w="175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n</w:t>
            </w:r>
          </w:p>
        </w:tc>
        <w:tc>
          <w:tcPr>
            <w:tcW w:type="dxa" w:w="200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 of 999</w:t>
            </w:r>
          </w:p>
        </w:tc>
        <w:tc>
          <w:tcPr>
            <w:tcW w:type="dxa" w:w="2000"/>
            <w:tcBorders>
              <w:top w:val="single" w:color="000000" w:sz="6"/>
              <w:left w:val="none" w:color="FFFFFF" w:sz="0"/>
              <w:bottom w:val="single" w:color="000000" w:sz="6"/>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b/>
                <w:bCs/>
                <w:color w:val="000000"/>
              </w:rPr>
              <w:t xml:space="preserve">Descriptive stratum</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9</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3</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0.3</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 10 mg</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10</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30</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3.0</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 10 mg</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11</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160</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16.0</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11 to 11.5 mg</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11.5</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3</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0.3</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11 to 11.5 mg</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12</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373</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37.3</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12 to 12.5 mg</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12.5</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6</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0.6</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12 to 12.5 mg</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13</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316</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31.6</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 13 mg</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13.5</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3</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0.3</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 13 mg</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14</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82</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8.2</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 13 mg</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15</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19</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1.9</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 13 mg</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16</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4</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0.4</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 13 mg</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Total</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999</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100.0</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
            </w:r>
          </w:p>
        </w:tc>
      </w:tr>
    </w:tbl>
    <w:p>
      <w:pPr>
        <w:spacing w:after="0" w:before="160" w:line="240"/>
        <w:jc w:val="left"/>
      </w:pPr>
      <w:r>
        <w:rPr>
          <w:rFonts w:ascii="Times New Roman" w:cs="Times New Roman" w:eastAsia="Times New Roman" w:hAnsi="Times New Roman"/>
          <w:color w:val="000000"/>
          <w:sz w:val="18"/>
          <w:szCs w:val="18"/>
        </w:rPr>
        <w:t>Every recorded dose is listed. The four descriptive strata used in Figure 3 are mutually exclusive and together contain all 999 deliveries (33, 163, 379 and 424). The 11 to 13 mg subset used in the restricted analysis (n = 858) is a different grouping and includes the 316 deliveries at exactly 13 mg. Half-milligram doses were used in 12 deliveries (11.5, 12.5 and 13.5 mg).</w:t>
      </w:r>
    </w:p>
    <w:p>
      <w:pPr>
        <w:spacing w:after="60" w:before="0" w:line="240"/>
        <w:jc w:val="left"/>
      </w:pPr>
      <w:r>
        <w:rPr>
          <w:rFonts w:ascii="Times New Roman" w:cs="Times New Roman" w:eastAsia="Times New Roman" w:hAnsi="Times New Roman"/>
          <w:b/>
          <w:bCs/>
          <w:color w:val="000000"/>
          <w:sz w:val="22"/>
          <w:szCs w:val="22"/>
        </w:rPr>
        <w:t>Supplementary Table S5</w:t>
      </w:r>
    </w:p>
    <w:p>
      <w:pPr>
        <w:spacing w:after="160" w:before="0" w:line="240"/>
        <w:jc w:val="left"/>
      </w:pPr>
      <w:r>
        <w:rPr>
          <w:rFonts w:ascii="Times New Roman" w:cs="Times New Roman" w:eastAsia="Times New Roman" w:hAnsi="Times New Roman"/>
          <w:color w:val="000000"/>
          <w:sz w:val="20"/>
          <w:szCs w:val="20"/>
        </w:rPr>
        <w:t>Incidence and adjusted associations under eight published definitions of spinal-induced hypotension, applied to the same 999 deliveries.</w:t>
      </w:r>
    </w:p>
    <w:tbl>
      <w:tblPr>
        <w:tblW w:type="dxa" w:w="132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00"/>
        <w:gridCol w:w="1750"/>
        <w:gridCol w:w="2000"/>
        <w:gridCol w:w="2000"/>
        <w:gridCol w:w="1250"/>
        <w:gridCol w:w="1900"/>
      </w:tblGrid>
      <w:tr>
        <w:trPr>
          <w:tblHeader/>
        </w:trPr>
        <w:tc>
          <w:tcPr>
            <w:tcW w:type="dxa" w:w="430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left"/>
            </w:pPr>
            <w:r>
              <w:rPr>
                <w:rFonts w:ascii="Times New Roman" w:cs="Times New Roman" w:eastAsia="Times New Roman" w:hAnsi="Times New Roman"/>
                <w:b/>
                <w:bCs/>
                <w:color w:val="000000"/>
              </w:rPr>
              <w:t xml:space="preserve">Definition of hypotension</w:t>
            </w:r>
          </w:p>
        </w:tc>
        <w:tc>
          <w:tcPr>
            <w:tcW w:type="dxa" w:w="175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n (%)</w:t>
            </w:r>
          </w:p>
        </w:tc>
        <w:tc>
          <w:tcPr>
            <w:tcW w:type="dxa" w:w="2000"/>
            <w:tcBorders>
              <w:top w:val="single" w:color="000000" w:sz="6"/>
              <w:left w:val="none" w:color="FFFFFF" w:sz="0"/>
              <w:bottom w:val="single" w:color="000000" w:sz="6"/>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b/>
                <w:bCs/>
                <w:color w:val="000000"/>
              </w:rPr>
              <w:t xml:space="preserve">Adjusted odds ratio for dose ≥ 12 mg (95% CI)</w:t>
            </w:r>
          </w:p>
        </w:tc>
        <w:tc>
          <w:tcPr>
            <w:tcW w:type="dxa" w:w="2000"/>
            <w:tcBorders>
              <w:top w:val="single" w:color="000000" w:sz="6"/>
              <w:left w:val="none" w:color="FFFFFF" w:sz="0"/>
              <w:bottom w:val="single" w:color="000000" w:sz="6"/>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b/>
                <w:bCs/>
                <w:color w:val="000000"/>
              </w:rPr>
              <w:t xml:space="preserve">Adjusted odds ratio for baseline systolic pressure, per 10 mmHg (95% CI)</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Systolic pressure ≤ 80 mmHg</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209 (20.9)</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0.93 (0.62 to 1.39)</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0.64 (0.56 to 0.73)</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Fall &gt; 30% from baseline</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331 (33.1)</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1.09 (0.75 to 1.58)</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1.39 (1.26 to 1.54)</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Systolic pressure ≤ 90 mmHg (inclusive form used here)</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429 (42.9)</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1.19 (0.83 to 1.69)</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0.61 (0.55 to 0.67)</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Systolic pressure &lt; 100 mmHg</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591 (59.2)</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1.09 (0.76 to 1.56)</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0.58 (0.52 to 0.64)</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Systolic pressure &lt; 80% of baseline</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652 (65.3)</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1.20 (0.83 to 1.73)</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1.47 (1.32 to 1.63)</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Systolic pressure ≤ 90 mmHg or &lt; 80% of baseline</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690 (69.1)</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1.38 (0.96 to 1.99)</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1.22 (1.10 to 1.35)</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Fall &gt; 20% from baseline or systolic pressure &lt; 100 mmHg</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743 (74.4)</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1.15 (0.79 to 1.69)</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1.00 (0.90 to 1.10)</w:t>
            </w:r>
          </w:p>
        </w:tc>
      </w:tr>
      <w:tr>
        <w:trPr/>
        <w:tc>
          <w:tcPr>
            <w:tcW w:type="dxa" w:w="43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ind w:left="220"/>
              <w:jc w:val="left"/>
            </w:pPr>
            <w:r>
              <w:rPr>
                <w:rFonts w:ascii="Times New Roman" w:cs="Times New Roman" w:eastAsia="Times New Roman" w:hAnsi="Times New Roman"/>
                <w:color w:val="000000"/>
              </w:rPr>
              <w:t xml:space="preserve">Systolic pressure &lt; 90% of baseline</w:t>
            </w:r>
          </w:p>
        </w:tc>
        <w:tc>
          <w:tcPr>
            <w:tcW w:type="dxa" w:w="175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887 (88.8)</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tcPr>
          <w:p>
            <w:pPr>
              <w:keepNext w:val="0"/>
              <w:keepLines w:val="0"/>
              <w:spacing w:after="0" w:before="0" w:line="312" w:lineRule="auto"/>
              <w:jc w:val="center"/>
            </w:pPr>
            <w:r>
              <w:rPr>
                <w:rFonts w:ascii="Times New Roman" w:cs="Times New Roman" w:eastAsia="Times New Roman" w:hAnsi="Times New Roman"/>
                <w:color w:val="000000"/>
              </w:rPr>
              <w:t xml:space="preserve">1.30 (0.75 to 2.24)</w:t>
            </w:r>
          </w:p>
        </w:tc>
        <w:tc>
          <w:tcPr>
            <w:tcW w:type="dxa" w:w="2000"/>
            <w:tcBorders>
              <w:top w:val="none" w:color="FFFFFF" w:sz="0"/>
              <w:left w:val="none" w:color="FFFFFF" w:sz="0"/>
              <w:bottom w:val="none" w:color="FFFFFF" w:sz="0"/>
              <w:right w:val="none" w:color="FFFFFF" w:sz="0"/>
            </w:tcBorders>
            <w:tcMar>
              <w:top w:type="dxa" w:w="40"/>
              <w:left w:type="dxa" w:w="80"/>
              <w:bottom w:type="dxa" w:w="40"/>
              <w:right w:type="dxa" w:w="80"/>
            </w:tcMar>
            <w:gridSpan w:val="3"/>
          </w:tcPr>
          <w:p>
            <w:pPr>
              <w:keepNext w:val="0"/>
              <w:keepLines w:val="0"/>
              <w:spacing w:after="0" w:before="0" w:line="312" w:lineRule="auto"/>
              <w:jc w:val="center"/>
            </w:pPr>
            <w:r>
              <w:rPr>
                <w:rFonts w:ascii="Times New Roman" w:cs="Times New Roman" w:eastAsia="Times New Roman" w:hAnsi="Times New Roman"/>
                <w:color w:val="000000"/>
              </w:rPr>
              <w:t xml:space="preserve">1.91 (1.60 to 2.29)</w:t>
            </w:r>
          </w:p>
        </w:tc>
      </w:tr>
    </w:tbl>
    <w:p>
      <w:pPr>
        <w:spacing w:after="0" w:before="160" w:line="240"/>
        <w:jc w:val="left"/>
      </w:pPr>
      <w:r>
        <w:rPr>
          <w:rFonts w:ascii="Times New Roman" w:cs="Times New Roman" w:eastAsia="Times New Roman" w:hAnsi="Times New Roman"/>
          <w:color w:val="000000"/>
          <w:sz w:val="18"/>
          <w:szCs w:val="18"/>
        </w:rPr>
        <w:t>Definitions are ordered by the incidence they produce. Eight definitions from the published catalogue[9] were selected because each could be reproduced from the recorded variables (a lowest systolic pressure and a baseline systolic pressure) without further assumptions; others in that catalogue require mean arterial pressure, a treatment trigger or a duration criterion and could not be reproduced from these records. The 90 mmHg row is the inclusive (≤ 90 mmHg) form of that threshold, which is the form used throughout this report; the strict (&lt; 90 mmHg) form of the same threshold gives an incidence of 32.3% (see Limitations) and is not shown as a separate row. Both models were adjusted for body mass index, baseline systolic pressure, baseline heart rate, parity, largest fetal weight, height, gestational age, twin pregnancy, maternal age and duration of anaesthesia. Definitions expressed as a proportional fall from baseline contain the baseline on both sides of the relationship, so mathematical coupling contributes to the pattern in the final column; it should not be read as an independent physiological association. These are the data plotted in Figure 4.</w:t>
      </w:r>
    </w:p>
    <w:sectPr>
      <w:pgSz w:w="15840" w:h="12240" w:orient="landscape"/>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color w:val="000000"/>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Spinal bupivacaine dose and recorded blood pressure during caesarean delivery without intrathecal opioids: a retrospective cohort study</dc:title>
  <dc:creator>Li YS</dc:creator>
  <cp:lastModifiedBy>Un-named</cp:lastModifiedBy>
  <cp:revision>1</cp:revision>
  <dcterms:created xsi:type="dcterms:W3CDTF">2026-09-10T03:43:44.027Z</dcterms:created>
  <dcterms:modified xsi:type="dcterms:W3CDTF">2026-09-10T03:43:44.027Z</dcterms:modified>
  <dc:description/>
</cp:coreProperties>
</file>

<file path=docProps/custom.xml><?xml version="1.0" encoding="utf-8"?>
<Properties xmlns="http://schemas.openxmlformats.org/officeDocument/2006/custom-properties" xmlns:vt="http://schemas.openxmlformats.org/officeDocument/2006/docPropsVTypes"/>
</file>