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B1292" w14:textId="0883EAD9" w:rsidR="000B677F" w:rsidRDefault="000B677F" w:rsidP="000B677F">
      <w:pPr>
        <w:pStyle w:val="SMcaption"/>
        <w:jc w:val="center"/>
        <w:rPr>
          <w:b/>
          <w:bCs/>
          <w:sz w:val="28"/>
          <w:szCs w:val="28"/>
          <w:u w:val="single"/>
        </w:rPr>
      </w:pPr>
      <w:r w:rsidRPr="000B677F">
        <w:rPr>
          <w:b/>
          <w:bCs/>
          <w:sz w:val="28"/>
          <w:szCs w:val="28"/>
          <w:u w:val="single"/>
        </w:rPr>
        <w:t>Supplementary Materials</w:t>
      </w:r>
    </w:p>
    <w:p w14:paraId="7A990DDA" w14:textId="77777777" w:rsidR="003620C5" w:rsidRDefault="003620C5" w:rsidP="000B677F">
      <w:pPr>
        <w:pStyle w:val="SMcaption"/>
        <w:jc w:val="center"/>
        <w:rPr>
          <w:b/>
          <w:bCs/>
          <w:sz w:val="28"/>
          <w:szCs w:val="28"/>
          <w:u w:val="single"/>
        </w:rPr>
      </w:pPr>
    </w:p>
    <w:p w14:paraId="37941AE3" w14:textId="2CFEC678" w:rsidR="003620C5" w:rsidRDefault="003620C5" w:rsidP="003620C5">
      <w:pPr>
        <w:pStyle w:val="SMcaption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Text S1</w:t>
      </w:r>
      <w:r w:rsidR="00DD549A">
        <w:rPr>
          <w:b/>
          <w:bCs/>
          <w:sz w:val="28"/>
          <w:szCs w:val="28"/>
          <w:u w:val="single"/>
        </w:rPr>
        <w:t>. Coulomb Failure Stress for Changing Strike of the EAF</w:t>
      </w:r>
    </w:p>
    <w:p w14:paraId="2C7FE985" w14:textId="7E58645D" w:rsidR="00DD549A" w:rsidRPr="00DD549A" w:rsidRDefault="00E03863" w:rsidP="003620C5">
      <w:pPr>
        <w:pStyle w:val="SMcaption"/>
        <w:rPr>
          <w:sz w:val="28"/>
          <w:szCs w:val="28"/>
        </w:rPr>
      </w:pPr>
      <w:r>
        <w:rPr>
          <w:sz w:val="28"/>
          <w:szCs w:val="28"/>
        </w:rPr>
        <w:t xml:space="preserve">From east to west, we find that </w:t>
      </w:r>
      <w:r w:rsidR="00AA3A1F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strike of the </w:t>
      </w:r>
      <w:r w:rsidR="00B62BD0">
        <w:rPr>
          <w:sz w:val="28"/>
          <w:szCs w:val="28"/>
        </w:rPr>
        <w:t xml:space="preserve">EAF </w:t>
      </w:r>
      <w:r w:rsidR="00AA3A1F">
        <w:rPr>
          <w:sz w:val="28"/>
          <w:szCs w:val="28"/>
        </w:rPr>
        <w:t>is</w:t>
      </w:r>
      <w:r w:rsidR="00B62BD0">
        <w:rPr>
          <w:sz w:val="28"/>
          <w:szCs w:val="28"/>
        </w:rPr>
        <w:t xml:space="preserve"> 19 km - 270</w:t>
      </w:r>
      <w:r w:rsidR="00B62BD0" w:rsidRPr="00AA3A1F">
        <w:rPr>
          <w:szCs w:val="24"/>
        </w:rPr>
        <w:t>°,</w:t>
      </w:r>
      <w:r w:rsidR="008D5BD6">
        <w:rPr>
          <w:szCs w:val="24"/>
        </w:rPr>
        <w:t xml:space="preserve"> 14 km - 277</w:t>
      </w:r>
      <w:r w:rsidR="008D5BD6" w:rsidRPr="00AA3A1F">
        <w:rPr>
          <w:szCs w:val="24"/>
        </w:rPr>
        <w:t>°</w:t>
      </w:r>
      <w:r w:rsidR="008D5BD6">
        <w:rPr>
          <w:szCs w:val="24"/>
        </w:rPr>
        <w:t xml:space="preserve">, 6.5 km - </w:t>
      </w:r>
      <w:r w:rsidR="00CB478B">
        <w:rPr>
          <w:szCs w:val="24"/>
        </w:rPr>
        <w:t>285</w:t>
      </w:r>
      <w:r w:rsidR="008D5BD6" w:rsidRPr="00AA3A1F">
        <w:rPr>
          <w:szCs w:val="24"/>
        </w:rPr>
        <w:t>°</w:t>
      </w:r>
      <w:r w:rsidR="00CB478B">
        <w:rPr>
          <w:szCs w:val="24"/>
        </w:rPr>
        <w:t>, 13 km - 298</w:t>
      </w:r>
      <w:r w:rsidR="00CB478B" w:rsidRPr="00AA3A1F">
        <w:rPr>
          <w:szCs w:val="24"/>
        </w:rPr>
        <w:t>°</w:t>
      </w:r>
      <w:r w:rsidR="00CB478B">
        <w:rPr>
          <w:szCs w:val="24"/>
        </w:rPr>
        <w:t>. Hence, the average strike per kilometer is 280.7</w:t>
      </w:r>
      <w:r w:rsidR="00CB478B" w:rsidRPr="00AA3A1F">
        <w:rPr>
          <w:szCs w:val="24"/>
        </w:rPr>
        <w:t>°</w:t>
      </w:r>
      <w:r w:rsidR="00CB478B">
        <w:rPr>
          <w:szCs w:val="24"/>
        </w:rPr>
        <w:t xml:space="preserve">. Below, we show the change in Coulomb Failure Stress of a similar receiver fault with strikes of </w:t>
      </w:r>
      <w:r w:rsidR="00CB478B" w:rsidRPr="00AA3A1F">
        <w:t xml:space="preserve">270°, 280°, 290°, 300°, </w:t>
      </w:r>
      <w:r w:rsidR="00CB478B">
        <w:t>and</w:t>
      </w:r>
      <w:r w:rsidR="00CB478B" w:rsidRPr="00AA3A1F">
        <w:t xml:space="preserve"> 310°</w:t>
      </w:r>
      <w:r w:rsidR="00CB478B">
        <w:t>.</w:t>
      </w:r>
    </w:p>
    <w:p w14:paraId="1BE95265" w14:textId="77777777" w:rsidR="005418D3" w:rsidRDefault="00666808" w:rsidP="005418D3">
      <w:pPr>
        <w:keepNext/>
      </w:pPr>
      <w:r>
        <w:rPr>
          <w:b/>
          <w:bCs/>
          <w:noProof/>
          <w:sz w:val="22"/>
          <w:szCs w:val="22"/>
        </w:rPr>
        <w:drawing>
          <wp:inline distT="0" distB="0" distL="0" distR="0" wp14:anchorId="06DB6F9D" wp14:editId="148ADFB5">
            <wp:extent cx="5295900" cy="5947879"/>
            <wp:effectExtent l="0" t="0" r="0" b="0"/>
            <wp:docPr id="937471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895" cy="595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1240E" w14:textId="134A5F2C" w:rsidR="005418D3" w:rsidRPr="00AA3A1F" w:rsidRDefault="005418D3" w:rsidP="00AA3A1F">
      <w:pPr>
        <w:pStyle w:val="SMcaption"/>
      </w:pPr>
      <w:r w:rsidRPr="00CB478B">
        <w:rPr>
          <w:b/>
          <w:bCs/>
        </w:rPr>
        <w:t>Fig</w:t>
      </w:r>
      <w:r w:rsidR="00CB478B" w:rsidRPr="00CB478B">
        <w:rPr>
          <w:b/>
          <w:bCs/>
        </w:rPr>
        <w:t>.</w:t>
      </w:r>
      <w:r w:rsidRPr="00CB478B">
        <w:rPr>
          <w:b/>
          <w:bCs/>
        </w:rPr>
        <w:t xml:space="preserve"> S1</w:t>
      </w:r>
      <w:r w:rsidRPr="00AA3A1F">
        <w:t xml:space="preserve">. </w:t>
      </w:r>
      <w:r w:rsidR="000B3797" w:rsidRPr="00AA3A1F">
        <w:t xml:space="preserve">Change in Coulomb Failure Stress following the SSF rupture for a receiver fault of </w:t>
      </w:r>
      <w:r w:rsidR="00BF4EDB" w:rsidRPr="00AA3A1F">
        <w:t>dip = 76°</w:t>
      </w:r>
      <w:r w:rsidR="00DD549A" w:rsidRPr="00AA3A1F">
        <w:t>, rake = 135° and strikes of (a) 270°, (b) 280°, (c) 290°, (d) 300°, (e) 310°.</w:t>
      </w:r>
    </w:p>
    <w:p w14:paraId="344D1ABB" w14:textId="087F6F9B" w:rsidR="003620C5" w:rsidRDefault="003620C5">
      <w:pPr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b/>
          <w:bCs/>
          <w:sz w:val="22"/>
          <w:szCs w:val="22"/>
        </w:rPr>
        <w:br w:type="page"/>
      </w:r>
    </w:p>
    <w:p w14:paraId="307E3F54" w14:textId="5486C3C8" w:rsidR="00232DBA" w:rsidRPr="00DF07A2" w:rsidRDefault="00232DBA" w:rsidP="00232DBA">
      <w:pPr>
        <w:pStyle w:val="SMcaption"/>
        <w:rPr>
          <w:b/>
          <w:bCs/>
          <w:sz w:val="22"/>
          <w:szCs w:val="22"/>
        </w:rPr>
      </w:pPr>
      <w:r w:rsidRPr="00DF07A2">
        <w:rPr>
          <w:b/>
          <w:bCs/>
          <w:sz w:val="22"/>
          <w:szCs w:val="22"/>
        </w:rPr>
        <w:lastRenderedPageBreak/>
        <w:t>Text S</w:t>
      </w:r>
      <w:r w:rsidR="00DD549A">
        <w:rPr>
          <w:b/>
          <w:bCs/>
          <w:sz w:val="22"/>
          <w:szCs w:val="22"/>
        </w:rPr>
        <w:t>2</w:t>
      </w:r>
      <w:r w:rsidRPr="00DF07A2">
        <w:rPr>
          <w:b/>
          <w:bCs/>
          <w:sz w:val="22"/>
          <w:szCs w:val="22"/>
        </w:rPr>
        <w:t>.</w:t>
      </w:r>
    </w:p>
    <w:p w14:paraId="76503FB8" w14:textId="77777777" w:rsidR="00232DBA" w:rsidRPr="00DF07A2" w:rsidRDefault="00232DBA" w:rsidP="00232DBA">
      <w:pPr>
        <w:pStyle w:val="SMcaption"/>
        <w:rPr>
          <w:sz w:val="22"/>
          <w:szCs w:val="22"/>
        </w:rPr>
      </w:pPr>
      <w:r w:rsidRPr="00DF07A2">
        <w:rPr>
          <w:b/>
          <w:bCs/>
          <w:sz w:val="22"/>
          <w:szCs w:val="22"/>
        </w:rPr>
        <w:tab/>
      </w:r>
      <w:r w:rsidRPr="00DF07A2">
        <w:rPr>
          <w:sz w:val="22"/>
          <w:szCs w:val="22"/>
        </w:rPr>
        <w:t xml:space="preserve">Velocity, per pixel, was estimated by fitting the time series to the following equation that accounted for the seasonal and </w:t>
      </w:r>
      <w:proofErr w:type="spellStart"/>
      <w:r w:rsidRPr="00DF07A2">
        <w:rPr>
          <w:sz w:val="22"/>
          <w:szCs w:val="22"/>
        </w:rPr>
        <w:t>semiseasonal</w:t>
      </w:r>
      <w:proofErr w:type="spellEnd"/>
      <w:r w:rsidRPr="00DF07A2">
        <w:rPr>
          <w:sz w:val="22"/>
          <w:szCs w:val="22"/>
        </w:rPr>
        <w:t xml:space="preserve"> variation and steps that are due to unwrapping error. </w:t>
      </w:r>
    </w:p>
    <w:p w14:paraId="7FA97D9C" w14:textId="77777777" w:rsidR="00232DBA" w:rsidRPr="00DF07A2" w:rsidRDefault="00232DBA" w:rsidP="00232DBA">
      <w:pPr>
        <w:pStyle w:val="SMcaption"/>
        <w:rPr>
          <w:sz w:val="22"/>
          <w:szCs w:val="22"/>
        </w:rPr>
      </w:pPr>
    </w:p>
    <w:p w14:paraId="2444CEF9" w14:textId="77777777" w:rsidR="00232DBA" w:rsidRPr="00DF07A2" w:rsidRDefault="00232DBA" w:rsidP="00232DBA">
      <w:pPr>
        <w:pStyle w:val="SMcaption"/>
        <w:rPr>
          <w:b/>
          <w:bCs/>
          <w:sz w:val="22"/>
          <w:szCs w:val="22"/>
        </w:rPr>
      </w:pPr>
      <m:oMathPara>
        <m:oMath>
          <m:r>
            <w:rPr>
              <w:rFonts w:ascii="Cambria Math" w:hAnsi="Cambria Math"/>
            </w:rPr>
            <m:t>x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)+</m:t>
          </m:r>
          <m:r>
            <w:rPr>
              <w:rFonts w:ascii="Cambria Math" w:hAnsi="Cambria Math"/>
            </w:rPr>
            <m:t>B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ht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annual</m:t>
                      </m:r>
                    </m:sub>
                  </m:sSub>
                </m:e>
              </m:d>
            </m:e>
          </m:func>
          <m:r>
            <w:rPr>
              <w:rStyle w:val="mi"/>
              <w:rFonts w:ascii="Cambria Math" w:hAnsi="Cambria Math"/>
            </w:rPr>
            <m:t xml:space="preserve">+ </m:t>
          </m:r>
          <m:r>
            <w:rPr>
              <w:rFonts w:ascii="Cambria Math" w:hAnsi="Cambria Math"/>
            </w:rPr>
            <m:t>C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  <m:r>
                    <w:rPr>
                      <w:rFonts w:ascii="Cambria Math" w:hAnsi="Cambria Math"/>
                    </w:rPr>
                    <m:t>ht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semi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>
                        <w:rPr>
                          <w:rFonts w:ascii="Cambria Math" w:hAnsi="Cambria Math"/>
                        </w:rPr>
                        <m:t>ann</m:t>
                      </m:r>
                    </m:sub>
                  </m:sSub>
                </m:e>
              </m:d>
            </m:e>
          </m:func>
          <m:r>
            <w:rPr>
              <w:rStyle w:val="mi"/>
              <w:rFonts w:ascii="Cambria Math" w:hAnsi="Cambria Math"/>
            </w:rPr>
            <m:t>+v(t)</m:t>
          </m:r>
        </m:oMath>
      </m:oMathPara>
    </w:p>
    <w:p w14:paraId="7EC4DF53" w14:textId="77777777" w:rsidR="00232DBA" w:rsidRPr="00DF07A2" w:rsidRDefault="00232DBA" w:rsidP="00232DBA">
      <w:pPr>
        <w:pStyle w:val="SMcaption"/>
        <w:rPr>
          <w:rStyle w:val="mi"/>
          <w:rFonts w:eastAsiaTheme="minorEastAsia"/>
          <w:szCs w:val="24"/>
        </w:rPr>
      </w:pPr>
    </w:p>
    <w:p w14:paraId="61B86E2F" w14:textId="3B6E739D" w:rsidR="00232DBA" w:rsidRPr="00DF07A2" w:rsidRDefault="00232DBA" w:rsidP="00232DBA">
      <w:pPr>
        <w:pStyle w:val="SMcaption"/>
        <w:rPr>
          <w:b/>
          <w:bCs/>
          <w:sz w:val="22"/>
          <w:szCs w:val="22"/>
        </w:rPr>
      </w:pPr>
      <w:r w:rsidRPr="00DF07A2">
        <w:rPr>
          <w:rStyle w:val="mi"/>
          <w:rFonts w:eastAsiaTheme="minorEastAsia"/>
          <w:szCs w:val="24"/>
        </w:rPr>
        <w:t xml:space="preserve">where </w:t>
      </w:r>
      <m:oMath>
        <m:sSub>
          <m:sSubPr>
            <m:ctrlPr>
              <w:rPr>
                <w:rStyle w:val="mi"/>
                <w:rFonts w:ascii="Cambria Math" w:eastAsiaTheme="minorEastAsia" w:hAnsi="Cambria Math"/>
                <w:i/>
                <w:szCs w:val="24"/>
              </w:rPr>
            </m:ctrlPr>
          </m:sSubPr>
          <m:e>
            <m:r>
              <w:rPr>
                <w:rStyle w:val="mi"/>
                <w:rFonts w:ascii="Cambria Math" w:eastAsiaTheme="minorEastAsia" w:hAnsi="Cambria Math"/>
                <w:szCs w:val="24"/>
              </w:rPr>
              <m:t>A</m:t>
            </m:r>
          </m:e>
          <m:sub>
            <m:r>
              <w:rPr>
                <w:rStyle w:val="mi"/>
                <w:rFonts w:ascii="Cambria Math" w:eastAsiaTheme="minorEastAsia" w:hAnsi="Cambria Math"/>
                <w:szCs w:val="24"/>
              </w:rPr>
              <m:t>i</m:t>
            </m:r>
          </m:sub>
        </m:sSub>
      </m:oMath>
      <w:r w:rsidRPr="00DF07A2">
        <w:rPr>
          <w:rStyle w:val="mi"/>
          <w:rFonts w:eastAsiaTheme="minorEastAsia"/>
          <w:szCs w:val="24"/>
        </w:rPr>
        <w:t xml:space="preserve"> are the amplitudes of the step functions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(t)</m:t>
        </m:r>
      </m:oMath>
      <w:r w:rsidRPr="00DF07A2">
        <w:t xml:space="preserve">, </w:t>
      </w:r>
      <m:oMath>
        <m:r>
          <w:rPr>
            <w:rFonts w:ascii="Cambria Math" w:hAnsi="Cambria Math"/>
          </w:rPr>
          <m:t>B</m:t>
        </m:r>
      </m:oMath>
      <w:r w:rsidRPr="00DF07A2">
        <w:t xml:space="preserve"> and </w:t>
      </w:r>
      <m:oMath>
        <m:r>
          <w:rPr>
            <w:rFonts w:ascii="Cambria Math" w:hAnsi="Cambria Math"/>
          </w:rPr>
          <m:t>C</m:t>
        </m:r>
      </m:oMath>
      <w:r w:rsidRPr="00DF07A2">
        <w:t xml:space="preserve"> are the amplitudes of the annual and semi-annual seasonal </w:t>
      </w:r>
      <w:r w:rsidR="00AD4A66">
        <w:t>components</w:t>
      </w:r>
      <w:r w:rsidRPr="00DF07A2">
        <w:t xml:space="preserve">, </w:t>
      </w:r>
      <m:oMath>
        <m:r>
          <w:rPr>
            <w:rFonts w:ascii="Cambria Math" w:hAnsi="Cambria Math"/>
          </w:rPr>
          <m:t>γ</m:t>
        </m:r>
      </m:oMath>
      <w:r w:rsidRPr="00DF07A2">
        <w:t xml:space="preserve"> is the phase lag of the annual and semi-annual seasonal components, and </w:t>
      </w:r>
      <m:oMath>
        <m:r>
          <w:rPr>
            <w:rStyle w:val="mi"/>
            <w:rFonts w:ascii="Cambria Math" w:hAnsi="Cambria Math"/>
            <w:szCs w:val="24"/>
          </w:rPr>
          <m:t>v(t)</m:t>
        </m:r>
      </m:oMath>
      <w:r w:rsidRPr="00DF07A2">
        <w:rPr>
          <w:rStyle w:val="mi"/>
          <w:rFonts w:eastAsiaTheme="minorEastAsia"/>
          <w:szCs w:val="24"/>
        </w:rPr>
        <w:t xml:space="preserve"> is the velocity.</w:t>
      </w:r>
    </w:p>
    <w:p w14:paraId="7B67E4CD" w14:textId="77777777" w:rsidR="00232DBA" w:rsidRDefault="00232DBA" w:rsidP="00232DBA">
      <w:pPr>
        <w:pStyle w:val="SMcaption"/>
        <w:rPr>
          <w:rFonts w:ascii="Myriad Pro" w:hAnsi="Myriad Pro"/>
          <w:b/>
          <w:bCs/>
          <w:sz w:val="22"/>
          <w:szCs w:val="22"/>
        </w:rPr>
      </w:pPr>
    </w:p>
    <w:p w14:paraId="5BC1839B" w14:textId="77777777" w:rsidR="00232DBA" w:rsidRDefault="00232DBA" w:rsidP="00232DBA">
      <w:pPr>
        <w:pStyle w:val="SMcaption"/>
        <w:rPr>
          <w:rFonts w:ascii="Myriad Pro" w:hAnsi="Myriad Pro"/>
          <w:b/>
          <w:bCs/>
          <w:sz w:val="22"/>
          <w:szCs w:val="22"/>
        </w:rPr>
      </w:pPr>
    </w:p>
    <w:p w14:paraId="29E2CA52" w14:textId="77777777" w:rsidR="00232DBA" w:rsidRDefault="00232DBA" w:rsidP="00232DBA">
      <w:pPr>
        <w:pStyle w:val="SMcaption"/>
        <w:rPr>
          <w:rFonts w:ascii="Myriad Pro" w:hAnsi="Myriad Pro"/>
          <w:b/>
          <w:bCs/>
          <w:sz w:val="22"/>
          <w:szCs w:val="22"/>
        </w:rPr>
      </w:pPr>
      <w:r>
        <w:rPr>
          <w:rFonts w:ascii="Myriad Pro" w:hAnsi="Myriad Pro"/>
          <w:b/>
          <w:bCs/>
          <w:noProof/>
          <w:sz w:val="22"/>
          <w:szCs w:val="22"/>
        </w:rPr>
        <w:drawing>
          <wp:inline distT="0" distB="0" distL="0" distR="0" wp14:anchorId="32EE0E3A" wp14:editId="175620D5">
            <wp:extent cx="5486400" cy="2529205"/>
            <wp:effectExtent l="0" t="0" r="0" b="4445"/>
            <wp:docPr id="3628782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86CAC" w14:textId="30CB0556" w:rsidR="00232DBA" w:rsidRPr="00DF07A2" w:rsidRDefault="00232DBA" w:rsidP="00232DBA">
      <w:pPr>
        <w:pStyle w:val="SMcaption"/>
        <w:rPr>
          <w:sz w:val="22"/>
          <w:szCs w:val="22"/>
        </w:rPr>
      </w:pPr>
      <w:r w:rsidRPr="00DF07A2">
        <w:rPr>
          <w:b/>
          <w:bCs/>
          <w:sz w:val="22"/>
          <w:szCs w:val="22"/>
        </w:rPr>
        <w:t>Fi</w:t>
      </w:r>
      <w:r w:rsidR="00CB478B">
        <w:rPr>
          <w:b/>
          <w:bCs/>
          <w:sz w:val="22"/>
          <w:szCs w:val="22"/>
        </w:rPr>
        <w:t>g.</w:t>
      </w:r>
      <w:r w:rsidRPr="00DF07A2">
        <w:rPr>
          <w:b/>
          <w:bCs/>
          <w:sz w:val="22"/>
          <w:szCs w:val="22"/>
        </w:rPr>
        <w:t xml:space="preserve"> S</w:t>
      </w:r>
      <w:r w:rsidR="00CB478B">
        <w:rPr>
          <w:b/>
          <w:bCs/>
          <w:sz w:val="22"/>
          <w:szCs w:val="22"/>
        </w:rPr>
        <w:t>2</w:t>
      </w:r>
      <w:r w:rsidRPr="00DF07A2">
        <w:rPr>
          <w:b/>
          <w:bCs/>
          <w:sz w:val="22"/>
          <w:szCs w:val="22"/>
        </w:rPr>
        <w:t xml:space="preserve">. </w:t>
      </w:r>
      <w:r w:rsidRPr="00DF07A2">
        <w:rPr>
          <w:sz w:val="22"/>
          <w:szCs w:val="22"/>
        </w:rPr>
        <w:t>Baselines used to create interferograms.</w:t>
      </w:r>
    </w:p>
    <w:p w14:paraId="6BA11A8D" w14:textId="7A20DEF9" w:rsidR="00232DBA" w:rsidRDefault="00232DBA">
      <w:r>
        <w:br w:type="page"/>
      </w:r>
    </w:p>
    <w:p w14:paraId="09E1822A" w14:textId="7E1DDC01" w:rsidR="00534749" w:rsidRPr="00DF07A2" w:rsidRDefault="00534749" w:rsidP="00534749">
      <w:pPr>
        <w:pStyle w:val="SMcaption"/>
      </w:pPr>
      <w:r>
        <w:rPr>
          <w:b/>
          <w:i/>
          <w:noProof/>
        </w:rPr>
        <w:lastRenderedPageBreak/>
        <w:drawing>
          <wp:inline distT="0" distB="0" distL="0" distR="0" wp14:anchorId="2B4B4972" wp14:editId="768633A4">
            <wp:extent cx="5481955" cy="5646648"/>
            <wp:effectExtent l="0" t="0" r="4445" b="0"/>
            <wp:docPr id="4980772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77243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55" cy="564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</w:rPr>
        <w:br/>
      </w:r>
      <w:r w:rsidRPr="00DF07A2">
        <w:rPr>
          <w:b/>
          <w:bCs/>
          <w:sz w:val="22"/>
          <w:szCs w:val="22"/>
        </w:rPr>
        <w:t>Fig</w:t>
      </w:r>
      <w:r w:rsidR="00CB478B">
        <w:rPr>
          <w:b/>
          <w:bCs/>
          <w:sz w:val="22"/>
          <w:szCs w:val="22"/>
        </w:rPr>
        <w:t>.</w:t>
      </w:r>
      <w:r w:rsidRPr="00DF07A2">
        <w:rPr>
          <w:b/>
          <w:bCs/>
          <w:sz w:val="22"/>
          <w:szCs w:val="22"/>
        </w:rPr>
        <w:t xml:space="preserve"> S</w:t>
      </w:r>
      <w:r w:rsidR="00CB478B">
        <w:rPr>
          <w:b/>
          <w:bCs/>
          <w:sz w:val="22"/>
          <w:szCs w:val="22"/>
        </w:rPr>
        <w:t>3</w:t>
      </w:r>
      <w:r w:rsidRPr="00DF07A2">
        <w:rPr>
          <w:b/>
          <w:bCs/>
          <w:sz w:val="22"/>
          <w:szCs w:val="22"/>
        </w:rPr>
        <w:t>.</w:t>
      </w:r>
      <w:r w:rsidRPr="00DF07A2">
        <w:rPr>
          <w:sz w:val="22"/>
          <w:szCs w:val="22"/>
        </w:rPr>
        <w:t xml:space="preserve"> San Sebastian and El Avila</w:t>
      </w:r>
      <w:r w:rsidR="00DF07A2">
        <w:rPr>
          <w:sz w:val="22"/>
          <w:szCs w:val="22"/>
        </w:rPr>
        <w:t xml:space="preserve"> faults</w:t>
      </w:r>
      <w:r w:rsidRPr="00DF07A2">
        <w:rPr>
          <w:sz w:val="22"/>
          <w:szCs w:val="22"/>
        </w:rPr>
        <w:t xml:space="preserve"> </w:t>
      </w:r>
      <w:r w:rsidR="00DF07A2" w:rsidRPr="00DF07A2">
        <w:rPr>
          <w:sz w:val="22"/>
          <w:szCs w:val="22"/>
        </w:rPr>
        <w:t xml:space="preserve">interseismic </w:t>
      </w:r>
      <w:r w:rsidR="00DF07A2">
        <w:rPr>
          <w:sz w:val="22"/>
          <w:szCs w:val="22"/>
        </w:rPr>
        <w:t xml:space="preserve">slip deficit </w:t>
      </w:r>
      <w:r w:rsidRPr="00DF07A2">
        <w:rPr>
          <w:sz w:val="22"/>
          <w:szCs w:val="22"/>
        </w:rPr>
        <w:t xml:space="preserve">inversion. a) Subsampled InSAR velocities. b) </w:t>
      </w:r>
      <w:r w:rsidR="00CB478B">
        <w:rPr>
          <w:sz w:val="22"/>
          <w:szCs w:val="22"/>
        </w:rPr>
        <w:t>Model-predicted</w:t>
      </w:r>
      <w:r w:rsidRPr="00DF07A2">
        <w:rPr>
          <w:sz w:val="22"/>
          <w:szCs w:val="22"/>
        </w:rPr>
        <w:t xml:space="preserve"> velocities. c) Model residuals. </w:t>
      </w:r>
      <w:r w:rsidR="00677427">
        <w:rPr>
          <w:sz w:val="22"/>
          <w:szCs w:val="22"/>
        </w:rPr>
        <w:t xml:space="preserve">The model RMS </w:t>
      </w:r>
      <w:r w:rsidR="00F815D0">
        <w:rPr>
          <w:sz w:val="22"/>
          <w:szCs w:val="22"/>
        </w:rPr>
        <w:t>was 1.8 mm</w:t>
      </w:r>
      <w:r w:rsidR="00677427">
        <w:rPr>
          <w:sz w:val="22"/>
          <w:szCs w:val="22"/>
        </w:rPr>
        <w:t>/yr.</w:t>
      </w:r>
    </w:p>
    <w:p w14:paraId="5A16EB7E" w14:textId="096FE4A8" w:rsidR="005418D3" w:rsidRDefault="005418D3">
      <w:r>
        <w:br w:type="page"/>
      </w:r>
    </w:p>
    <w:p w14:paraId="0F5116DE" w14:textId="77777777" w:rsidR="00257B03" w:rsidRDefault="00257B03" w:rsidP="00257B03">
      <w:pPr>
        <w:keepNext/>
      </w:pPr>
      <w:r>
        <w:rPr>
          <w:noProof/>
        </w:rPr>
        <w:lastRenderedPageBreak/>
        <w:drawing>
          <wp:inline distT="0" distB="0" distL="0" distR="0" wp14:anchorId="4BDBC7A4" wp14:editId="3B5F5619">
            <wp:extent cx="5486400" cy="6651964"/>
            <wp:effectExtent l="0" t="0" r="0" b="0"/>
            <wp:docPr id="18612940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94093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5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A659" w14:textId="0015580C" w:rsidR="002A57A2" w:rsidRDefault="00F815D0" w:rsidP="00F815D0">
      <w:pPr>
        <w:pStyle w:val="Caption"/>
      </w:pPr>
      <w:r w:rsidRPr="00DF07A2">
        <w:rPr>
          <w:b/>
          <w:bCs/>
          <w:sz w:val="22"/>
          <w:szCs w:val="22"/>
        </w:rPr>
        <w:t>Fig</w:t>
      </w:r>
      <w:r>
        <w:rPr>
          <w:b/>
          <w:bCs/>
          <w:sz w:val="22"/>
          <w:szCs w:val="22"/>
        </w:rPr>
        <w:t>.</w:t>
      </w:r>
      <w:r w:rsidRPr="00DF07A2">
        <w:rPr>
          <w:b/>
          <w:bCs/>
          <w:sz w:val="22"/>
          <w:szCs w:val="22"/>
        </w:rPr>
        <w:t xml:space="preserve"> S</w:t>
      </w:r>
      <w:r w:rsidR="00677427">
        <w:rPr>
          <w:b/>
          <w:bCs/>
          <w:sz w:val="22"/>
          <w:szCs w:val="22"/>
        </w:rPr>
        <w:t>4</w:t>
      </w:r>
      <w:r w:rsidRPr="00DF07A2">
        <w:rPr>
          <w:b/>
          <w:bCs/>
          <w:sz w:val="22"/>
          <w:szCs w:val="22"/>
        </w:rPr>
        <w:t>.</w:t>
      </w:r>
      <w:r w:rsidRPr="00DF07A2">
        <w:rPr>
          <w:sz w:val="22"/>
          <w:szCs w:val="22"/>
        </w:rPr>
        <w:t xml:space="preserve"> </w:t>
      </w:r>
      <w:r w:rsidR="00677427">
        <w:rPr>
          <w:sz w:val="22"/>
          <w:szCs w:val="22"/>
        </w:rPr>
        <w:t>June 24</w:t>
      </w:r>
      <w:r w:rsidR="00677427" w:rsidRPr="00677427">
        <w:rPr>
          <w:sz w:val="22"/>
          <w:szCs w:val="22"/>
          <w:vertAlign w:val="superscript"/>
        </w:rPr>
        <w:t>th</w:t>
      </w:r>
      <w:proofErr w:type="gramStart"/>
      <w:r w:rsidR="00677427">
        <w:rPr>
          <w:sz w:val="22"/>
          <w:szCs w:val="22"/>
        </w:rPr>
        <w:t xml:space="preserve"> 2026</w:t>
      </w:r>
      <w:proofErr w:type="gramEnd"/>
      <w:r w:rsidR="00677427">
        <w:rPr>
          <w:sz w:val="22"/>
          <w:szCs w:val="22"/>
        </w:rPr>
        <w:t xml:space="preserve"> double</w:t>
      </w:r>
      <w:r w:rsidR="00BC30F8">
        <w:rPr>
          <w:sz w:val="22"/>
          <w:szCs w:val="22"/>
        </w:rPr>
        <w:t>t</w:t>
      </w:r>
      <w:r w:rsidR="00677427">
        <w:rPr>
          <w:sz w:val="22"/>
          <w:szCs w:val="22"/>
        </w:rPr>
        <w:t xml:space="preserve"> </w:t>
      </w:r>
      <w:r w:rsidR="00BC30F8">
        <w:rPr>
          <w:sz w:val="22"/>
          <w:szCs w:val="22"/>
        </w:rPr>
        <w:t>coseismic</w:t>
      </w:r>
      <w:r w:rsidRPr="00DF07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slip </w:t>
      </w:r>
      <w:r w:rsidRPr="00DF07A2">
        <w:rPr>
          <w:sz w:val="22"/>
          <w:szCs w:val="22"/>
        </w:rPr>
        <w:t xml:space="preserve">inversion. a) Subsampled InSAR velocities. b) </w:t>
      </w:r>
      <w:r>
        <w:rPr>
          <w:sz w:val="22"/>
          <w:szCs w:val="22"/>
        </w:rPr>
        <w:t>Model-predicted</w:t>
      </w:r>
      <w:r w:rsidRPr="00DF07A2">
        <w:rPr>
          <w:sz w:val="22"/>
          <w:szCs w:val="22"/>
        </w:rPr>
        <w:t xml:space="preserve"> velocities. c) Model residuals. </w:t>
      </w:r>
      <w:r w:rsidR="001936C0">
        <w:rPr>
          <w:sz w:val="22"/>
          <w:szCs w:val="22"/>
        </w:rPr>
        <w:t>The model RMS was 51 mm.</w:t>
      </w:r>
    </w:p>
    <w:sectPr w:rsidR="002A5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9F0"/>
    <w:rsid w:val="000527DD"/>
    <w:rsid w:val="000B3797"/>
    <w:rsid w:val="000B677F"/>
    <w:rsid w:val="000E67BB"/>
    <w:rsid w:val="001936C0"/>
    <w:rsid w:val="001F5B88"/>
    <w:rsid w:val="00232DBA"/>
    <w:rsid w:val="00257B03"/>
    <w:rsid w:val="002A57A2"/>
    <w:rsid w:val="003620C5"/>
    <w:rsid w:val="00534749"/>
    <w:rsid w:val="005418D3"/>
    <w:rsid w:val="00666808"/>
    <w:rsid w:val="00677427"/>
    <w:rsid w:val="0082184C"/>
    <w:rsid w:val="008459F0"/>
    <w:rsid w:val="008A0728"/>
    <w:rsid w:val="008D5BD6"/>
    <w:rsid w:val="00AA3A1F"/>
    <w:rsid w:val="00AD4A66"/>
    <w:rsid w:val="00AF4AF4"/>
    <w:rsid w:val="00B62BD0"/>
    <w:rsid w:val="00BC30F8"/>
    <w:rsid w:val="00BF4EDB"/>
    <w:rsid w:val="00C1499B"/>
    <w:rsid w:val="00CA50C8"/>
    <w:rsid w:val="00CB478B"/>
    <w:rsid w:val="00DD549A"/>
    <w:rsid w:val="00DF07A2"/>
    <w:rsid w:val="00E03863"/>
    <w:rsid w:val="00F8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BA3B9"/>
  <w15:chartTrackingRefBased/>
  <w15:docId w15:val="{11AAB58D-43E3-4498-9916-C5C5AEF5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7A2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9F0"/>
    <w:rPr>
      <w:b/>
      <w:bCs/>
      <w:smallCaps/>
      <w:color w:val="0F4761" w:themeColor="accent1" w:themeShade="BF"/>
      <w:spacing w:val="5"/>
    </w:rPr>
  </w:style>
  <w:style w:type="paragraph" w:customStyle="1" w:styleId="SMcaption">
    <w:name w:val="SM caption"/>
    <w:basedOn w:val="Normal"/>
    <w:qFormat/>
    <w:rsid w:val="00DF07A2"/>
    <w:pPr>
      <w:spacing w:after="0" w:line="240" w:lineRule="auto"/>
    </w:pPr>
    <w:rPr>
      <w:rFonts w:eastAsia="Times New Roman" w:cs="Times New Roman"/>
      <w:kern w:val="0"/>
      <w:szCs w:val="20"/>
      <w14:ligatures w14:val="none"/>
    </w:rPr>
  </w:style>
  <w:style w:type="character" w:customStyle="1" w:styleId="mi">
    <w:name w:val="mi"/>
    <w:basedOn w:val="DefaultParagraphFont"/>
    <w:rsid w:val="00232DBA"/>
  </w:style>
  <w:style w:type="paragraph" w:styleId="Caption">
    <w:name w:val="caption"/>
    <w:basedOn w:val="Normal"/>
    <w:next w:val="Normal"/>
    <w:uiPriority w:val="35"/>
    <w:unhideWhenUsed/>
    <w:qFormat/>
    <w:rsid w:val="005418D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2340</TotalTime>
  <Pages>4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Machel Higgins</dc:creator>
  <cp:keywords/>
  <dc:description/>
  <cp:lastModifiedBy>Machel Higgins</cp:lastModifiedBy>
  <cp:revision>26</cp:revision>
  <dcterms:created xsi:type="dcterms:W3CDTF">2026-08-08T02:19:00Z</dcterms:created>
  <dcterms:modified xsi:type="dcterms:W3CDTF">2026-09-13T23:15:00Z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94e6cf08-0c56-4a77-b375-e8a7350c3618</vt:lpwstr>
  </property>
</Properties>
</file>