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line="240" w:lineRule="auto"/>
      </w:pPr>
      <w:r>
        <w:rPr>
          <w:rFonts w:ascii="Times New Roman" w:cs="Times New Roman" w:eastAsia="Times New Roman" w:hAnsi="Times New Roman"/>
          <w:b/>
          <w:bCs/>
          <w:sz w:val="24"/>
          <w:szCs w:val="24"/>
        </w:rPr>
        <w:t xml:space="preserve">Additional file 1</w:t>
      </w:r>
    </w:p>
    <w:p>
      <w:pPr>
        <w:spacing w:after="360" w:line="240" w:lineRule="auto"/>
      </w:pPr>
      <w:r>
        <w:rPr>
          <w:rFonts w:ascii="Times New Roman" w:cs="Times New Roman" w:eastAsia="Times New Roman" w:hAnsi="Times New Roman"/>
          <w:i/>
          <w:iCs/>
          <w:sz w:val="24"/>
          <w:szCs w:val="24"/>
        </w:rPr>
        <w:t xml:space="preserve">Preoperative central nervous system stimulant exposure and atrial fibrillation after coronary artery bypass grafting: a propensity-matched federated cohort study</w:t>
      </w:r>
    </w:p>
    <w:p>
      <w:pPr>
        <w:spacing w:after="160" w:line="240" w:lineRule="auto"/>
      </w:pPr>
      <w:r>
        <w:rPr>
          <w:rFonts w:ascii="Times New Roman" w:cs="Times New Roman" w:eastAsia="Times New Roman" w:hAnsi="Times New Roman"/>
          <w:b/>
          <w:bCs/>
          <w:sz w:val="24"/>
          <w:szCs w:val="24"/>
        </w:rPr>
        <w:t xml:space="preserve">Table S1 Postmatching balance for all 43 propensity-score variables</w:t>
      </w:r>
    </w:p>
    <w:tbl>
      <w:tblPr>
        <w:tblW w:type="dxa" w:w="10360"/>
        <w:tblBorders>
          <w:top w:val="single" w:color="auto" w:sz="4"/>
          <w:left w:val="single" w:color="auto" w:sz="4"/>
          <w:bottom w:val="single" w:color="auto" w:sz="4"/>
          <w:right w:val="single" w:color="auto" w:sz="4"/>
          <w:insideH w:val="single" w:color="auto" w:sz="4"/>
          <w:insideV w:val="single" w:color="auto" w:sz="4"/>
        </w:tblBorders>
      </w:tblPr>
      <w:tblGrid>
        <w:gridCol w:w="1300"/>
        <w:gridCol w:w="4200"/>
        <w:gridCol w:w="1900"/>
        <w:gridCol w:w="1960"/>
        <w:gridCol w:w="1000"/>
      </w:tblGrid>
      <w:tr>
        <w:trPr>
          <w:tblHeader/>
        </w:trPr>
        <w:tc>
          <w:tcPr>
            <w:tcW w:type="dxa" w:w="1300"/>
            <w:tcBorders>
              <w:top w:val="single" w:color="000000" w:sz="6"/>
              <w:left w:val="none" w:color="FFFFFF" w:sz="0"/>
              <w:bottom w:val="single" w:color="000000" w:sz="6"/>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b/>
                <w:bCs/>
                <w:sz w:val="18"/>
                <w:szCs w:val="18"/>
              </w:rPr>
              <w:t xml:space="preserve">Category</w:t>
            </w:r>
          </w:p>
        </w:tc>
        <w:tc>
          <w:tcPr>
            <w:tcW w:type="dxa" w:w="4200"/>
            <w:tcBorders>
              <w:top w:val="single" w:color="000000" w:sz="6"/>
              <w:left w:val="none" w:color="FFFFFF" w:sz="0"/>
              <w:bottom w:val="single" w:color="000000" w:sz="6"/>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b/>
                <w:bCs/>
                <w:sz w:val="18"/>
                <w:szCs w:val="18"/>
              </w:rPr>
              <w:t xml:space="preserve">Matching variable (code)</w:t>
            </w:r>
          </w:p>
        </w:tc>
        <w:tc>
          <w:tcPr>
            <w:tcW w:type="dxa" w:w="1900"/>
            <w:tcBorders>
              <w:top w:val="single" w:color="000000" w:sz="6"/>
              <w:left w:val="none" w:color="FFFFFF" w:sz="0"/>
              <w:bottom w:val="single" w:color="000000" w:sz="6"/>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b/>
                <w:bCs/>
                <w:sz w:val="18"/>
                <w:szCs w:val="18"/>
              </w:rPr>
              <w:t xml:space="preserve">Stimulant (N = 1082)</w:t>
            </w:r>
          </w:p>
        </w:tc>
        <w:tc>
          <w:tcPr>
            <w:tcW w:type="dxa" w:w="1960"/>
            <w:tcBorders>
              <w:top w:val="single" w:color="000000" w:sz="6"/>
              <w:left w:val="none" w:color="FFFFFF" w:sz="0"/>
              <w:bottom w:val="single" w:color="000000" w:sz="6"/>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b/>
                <w:bCs/>
                <w:sz w:val="18"/>
                <w:szCs w:val="18"/>
              </w:rPr>
              <w:t xml:space="preserve">No stimulant (N = 1082)</w:t>
            </w:r>
          </w:p>
        </w:tc>
        <w:tc>
          <w:tcPr>
            <w:tcW w:type="dxa" w:w="1000"/>
            <w:tcBorders>
              <w:top w:val="single" w:color="000000" w:sz="6"/>
              <w:left w:val="none" w:color="FFFFFF" w:sz="0"/>
              <w:bottom w:val="single" w:color="000000" w:sz="6"/>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b/>
                <w:bCs/>
                <w:sz w:val="18"/>
                <w:szCs w:val="18"/>
              </w:rPr>
              <w:t xml:space="preserve">SMD</w:t>
            </w:r>
          </w:p>
        </w:tc>
      </w:tr>
      <w:tr>
        <w:tc>
          <w:tcPr>
            <w:tcW w:type="dxa" w:w="13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Demographic</w:t>
            </w:r>
          </w:p>
        </w:tc>
        <w:tc>
          <w:tcPr>
            <w:tcW w:type="dxa" w:w="42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Age at index, years</w:t>
            </w:r>
          </w:p>
        </w:tc>
        <w:tc>
          <w:tcPr>
            <w:tcW w:type="dxa" w:w="19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58.6 (15.7)</w:t>
            </w:r>
          </w:p>
        </w:tc>
        <w:tc>
          <w:tcPr>
            <w:tcW w:type="dxa" w:w="196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57.8 (15.8)</w:t>
            </w:r>
          </w:p>
        </w:tc>
        <w:tc>
          <w:tcPr>
            <w:tcW w:type="dxa" w:w="10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0.048</w:t>
            </w:r>
          </w:p>
        </w:tc>
      </w:tr>
      <w:tr>
        <w:tc>
          <w:tcPr>
            <w:tcW w:type="dxa" w:w="13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Demographic</w:t>
            </w:r>
          </w:p>
        </w:tc>
        <w:tc>
          <w:tcPr>
            <w:tcW w:type="dxa" w:w="42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Male sex</w:t>
            </w:r>
          </w:p>
        </w:tc>
        <w:tc>
          <w:tcPr>
            <w:tcW w:type="dxa" w:w="19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738 (68.2)</w:t>
            </w:r>
          </w:p>
        </w:tc>
        <w:tc>
          <w:tcPr>
            <w:tcW w:type="dxa" w:w="196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741 (68.5)</w:t>
            </w:r>
          </w:p>
        </w:tc>
        <w:tc>
          <w:tcPr>
            <w:tcW w:type="dxa" w:w="10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0.006</w:t>
            </w:r>
          </w:p>
        </w:tc>
      </w:tr>
      <w:tr>
        <w:tc>
          <w:tcPr>
            <w:tcW w:type="dxa" w:w="13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Demographic</w:t>
            </w:r>
          </w:p>
        </w:tc>
        <w:tc>
          <w:tcPr>
            <w:tcW w:type="dxa" w:w="42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Female sex</w:t>
            </w:r>
          </w:p>
        </w:tc>
        <w:tc>
          <w:tcPr>
            <w:tcW w:type="dxa" w:w="19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344 (31.8)</w:t>
            </w:r>
          </w:p>
        </w:tc>
        <w:tc>
          <w:tcPr>
            <w:tcW w:type="dxa" w:w="196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339 (31.3)</w:t>
            </w:r>
          </w:p>
        </w:tc>
        <w:tc>
          <w:tcPr>
            <w:tcW w:type="dxa" w:w="10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0.010</w:t>
            </w:r>
          </w:p>
        </w:tc>
      </w:tr>
      <w:tr>
        <w:tc>
          <w:tcPr>
            <w:tcW w:type="dxa" w:w="13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Demographic</w:t>
            </w:r>
          </w:p>
        </w:tc>
        <w:tc>
          <w:tcPr>
            <w:tcW w:type="dxa" w:w="42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Not Hispanic or Latino (2186-5)</w:t>
            </w:r>
          </w:p>
        </w:tc>
        <w:tc>
          <w:tcPr>
            <w:tcW w:type="dxa" w:w="19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621 (57.4)</w:t>
            </w:r>
          </w:p>
        </w:tc>
        <w:tc>
          <w:tcPr>
            <w:tcW w:type="dxa" w:w="196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620 (57.3)</w:t>
            </w:r>
          </w:p>
        </w:tc>
        <w:tc>
          <w:tcPr>
            <w:tcW w:type="dxa" w:w="10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0.002</w:t>
            </w:r>
          </w:p>
        </w:tc>
      </w:tr>
      <w:tr>
        <w:tc>
          <w:tcPr>
            <w:tcW w:type="dxa" w:w="13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Demographic</w:t>
            </w:r>
          </w:p>
        </w:tc>
        <w:tc>
          <w:tcPr>
            <w:tcW w:type="dxa" w:w="42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Hispanic or Latino (2135-2)</w:t>
            </w:r>
          </w:p>
        </w:tc>
        <w:tc>
          <w:tcPr>
            <w:tcW w:type="dxa" w:w="19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22 (2.0)</w:t>
            </w:r>
          </w:p>
        </w:tc>
        <w:tc>
          <w:tcPr>
            <w:tcW w:type="dxa" w:w="196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22 (2.0)</w:t>
            </w:r>
          </w:p>
        </w:tc>
        <w:tc>
          <w:tcPr>
            <w:tcW w:type="dxa" w:w="10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&lt;0.001</w:t>
            </w:r>
          </w:p>
        </w:tc>
      </w:tr>
      <w:tr>
        <w:tc>
          <w:tcPr>
            <w:tcW w:type="dxa" w:w="13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Demographic</w:t>
            </w:r>
          </w:p>
        </w:tc>
        <w:tc>
          <w:tcPr>
            <w:tcW w:type="dxa" w:w="42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White race (2106-3)</w:t>
            </w:r>
          </w:p>
        </w:tc>
        <w:tc>
          <w:tcPr>
            <w:tcW w:type="dxa" w:w="19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899 (83.1)</w:t>
            </w:r>
          </w:p>
        </w:tc>
        <w:tc>
          <w:tcPr>
            <w:tcW w:type="dxa" w:w="196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891 (82.3)</w:t>
            </w:r>
          </w:p>
        </w:tc>
        <w:tc>
          <w:tcPr>
            <w:tcW w:type="dxa" w:w="10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0.020</w:t>
            </w:r>
          </w:p>
        </w:tc>
      </w:tr>
      <w:tr>
        <w:tc>
          <w:tcPr>
            <w:tcW w:type="dxa" w:w="13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Demographic</w:t>
            </w:r>
          </w:p>
        </w:tc>
        <w:tc>
          <w:tcPr>
            <w:tcW w:type="dxa" w:w="42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Black or African American race (2054-5)</w:t>
            </w:r>
          </w:p>
        </w:tc>
        <w:tc>
          <w:tcPr>
            <w:tcW w:type="dxa" w:w="19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105 (9.7)</w:t>
            </w:r>
          </w:p>
        </w:tc>
        <w:tc>
          <w:tcPr>
            <w:tcW w:type="dxa" w:w="196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118 (10.9)</w:t>
            </w:r>
          </w:p>
        </w:tc>
        <w:tc>
          <w:tcPr>
            <w:tcW w:type="dxa" w:w="10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0.040</w:t>
            </w:r>
          </w:p>
        </w:tc>
      </w:tr>
      <w:tr>
        <w:tc>
          <w:tcPr>
            <w:tcW w:type="dxa" w:w="13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Demographic</w:t>
            </w:r>
          </w:p>
        </w:tc>
        <w:tc>
          <w:tcPr>
            <w:tcW w:type="dxa" w:w="42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Other race (2131-1)</w:t>
            </w:r>
          </w:p>
        </w:tc>
        <w:tc>
          <w:tcPr>
            <w:tcW w:type="dxa" w:w="19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15 (1.4)</w:t>
            </w:r>
          </w:p>
        </w:tc>
        <w:tc>
          <w:tcPr>
            <w:tcW w:type="dxa" w:w="196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15 (1.4)</w:t>
            </w:r>
          </w:p>
        </w:tc>
        <w:tc>
          <w:tcPr>
            <w:tcW w:type="dxa" w:w="10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&lt;0.001</w:t>
            </w:r>
          </w:p>
        </w:tc>
      </w:tr>
      <w:tr>
        <w:tc>
          <w:tcPr>
            <w:tcW w:type="dxa" w:w="13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Demographic</w:t>
            </w:r>
          </w:p>
        </w:tc>
        <w:tc>
          <w:tcPr>
            <w:tcW w:type="dxa" w:w="42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Asian race (2028-9)</w:t>
            </w:r>
          </w:p>
        </w:tc>
        <w:tc>
          <w:tcPr>
            <w:tcW w:type="dxa" w:w="19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16 (1.5)</w:t>
            </w:r>
          </w:p>
        </w:tc>
        <w:tc>
          <w:tcPr>
            <w:tcW w:type="dxa" w:w="196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20 (1.8)</w:t>
            </w:r>
          </w:p>
        </w:tc>
        <w:tc>
          <w:tcPr>
            <w:tcW w:type="dxa" w:w="10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0.029</w:t>
            </w:r>
          </w:p>
        </w:tc>
      </w:tr>
      <w:tr>
        <w:tc>
          <w:tcPr>
            <w:tcW w:type="dxa" w:w="13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Demographic</w:t>
            </w:r>
          </w:p>
        </w:tc>
        <w:tc>
          <w:tcPr>
            <w:tcW w:type="dxa" w:w="42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Native Hawaiian or Other Pacific Islander (2076-8)</w:t>
            </w:r>
          </w:p>
        </w:tc>
        <w:tc>
          <w:tcPr>
            <w:tcW w:type="dxa" w:w="19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0</w:t>
            </w:r>
          </w:p>
        </w:tc>
        <w:tc>
          <w:tcPr>
            <w:tcW w:type="dxa" w:w="196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0</w:t>
            </w:r>
          </w:p>
        </w:tc>
        <w:tc>
          <w:tcPr>
            <w:tcW w:type="dxa" w:w="10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w:t>
            </w:r>
          </w:p>
        </w:tc>
      </w:tr>
      <w:tr>
        <w:tc>
          <w:tcPr>
            <w:tcW w:type="dxa" w:w="13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Demographic</w:t>
            </w:r>
          </w:p>
        </w:tc>
        <w:tc>
          <w:tcPr>
            <w:tcW w:type="dxa" w:w="42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American Indian or Alaska Native (1002-5)</w:t>
            </w:r>
          </w:p>
        </w:tc>
        <w:tc>
          <w:tcPr>
            <w:tcW w:type="dxa" w:w="19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10 (0.9)</w:t>
            </w:r>
          </w:p>
        </w:tc>
        <w:tc>
          <w:tcPr>
            <w:tcW w:type="dxa" w:w="196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10 (0.9)</w:t>
            </w:r>
          </w:p>
        </w:tc>
        <w:tc>
          <w:tcPr>
            <w:tcW w:type="dxa" w:w="10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&lt;0.001</w:t>
            </w:r>
          </w:p>
        </w:tc>
      </w:tr>
      <w:tr>
        <w:tc>
          <w:tcPr>
            <w:tcW w:type="dxa" w:w="13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Diagnosis</w:t>
            </w:r>
          </w:p>
        </w:tc>
        <w:tc>
          <w:tcPr>
            <w:tcW w:type="dxa" w:w="42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Overweight and obesity (E66)</w:t>
            </w:r>
          </w:p>
        </w:tc>
        <w:tc>
          <w:tcPr>
            <w:tcW w:type="dxa" w:w="19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329 (30.4)</w:t>
            </w:r>
          </w:p>
        </w:tc>
        <w:tc>
          <w:tcPr>
            <w:tcW w:type="dxa" w:w="196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333 (30.8)</w:t>
            </w:r>
          </w:p>
        </w:tc>
        <w:tc>
          <w:tcPr>
            <w:tcW w:type="dxa" w:w="10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0.008</w:t>
            </w:r>
          </w:p>
        </w:tc>
      </w:tr>
      <w:tr>
        <w:tc>
          <w:tcPr>
            <w:tcW w:type="dxa" w:w="13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Diagnosis</w:t>
            </w:r>
          </w:p>
        </w:tc>
        <w:tc>
          <w:tcPr>
            <w:tcW w:type="dxa" w:w="42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Type 2 diabetes mellitus (E11)</w:t>
            </w:r>
          </w:p>
        </w:tc>
        <w:tc>
          <w:tcPr>
            <w:tcW w:type="dxa" w:w="19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382 (35.3)</w:t>
            </w:r>
          </w:p>
        </w:tc>
        <w:tc>
          <w:tcPr>
            <w:tcW w:type="dxa" w:w="196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379 (35.0)</w:t>
            </w:r>
          </w:p>
        </w:tc>
        <w:tc>
          <w:tcPr>
            <w:tcW w:type="dxa" w:w="10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0.006</w:t>
            </w:r>
          </w:p>
        </w:tc>
      </w:tr>
      <w:tr>
        <w:tc>
          <w:tcPr>
            <w:tcW w:type="dxa" w:w="13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Diagnosis</w:t>
            </w:r>
          </w:p>
        </w:tc>
        <w:tc>
          <w:tcPr>
            <w:tcW w:type="dxa" w:w="42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Hyperlipidaemia, unspecified (E78.5)</w:t>
            </w:r>
          </w:p>
        </w:tc>
        <w:tc>
          <w:tcPr>
            <w:tcW w:type="dxa" w:w="19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575 (53.1)</w:t>
            </w:r>
          </w:p>
        </w:tc>
        <w:tc>
          <w:tcPr>
            <w:tcW w:type="dxa" w:w="196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554 (51.2)</w:t>
            </w:r>
          </w:p>
        </w:tc>
        <w:tc>
          <w:tcPr>
            <w:tcW w:type="dxa" w:w="10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0.039</w:t>
            </w:r>
          </w:p>
        </w:tc>
      </w:tr>
      <w:tr>
        <w:tc>
          <w:tcPr>
            <w:tcW w:type="dxa" w:w="13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Diagnosis</w:t>
            </w:r>
          </w:p>
        </w:tc>
        <w:tc>
          <w:tcPr>
            <w:tcW w:type="dxa" w:w="42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Tobacco use (Z72.0)</w:t>
            </w:r>
          </w:p>
        </w:tc>
        <w:tc>
          <w:tcPr>
            <w:tcW w:type="dxa" w:w="19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109 (10.1)</w:t>
            </w:r>
          </w:p>
        </w:tc>
        <w:tc>
          <w:tcPr>
            <w:tcW w:type="dxa" w:w="196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111 (10.3)</w:t>
            </w:r>
          </w:p>
        </w:tc>
        <w:tc>
          <w:tcPr>
            <w:tcW w:type="dxa" w:w="10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0.006</w:t>
            </w:r>
          </w:p>
        </w:tc>
      </w:tr>
      <w:tr>
        <w:tc>
          <w:tcPr>
            <w:tcW w:type="dxa" w:w="13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Diagnosis</w:t>
            </w:r>
          </w:p>
        </w:tc>
        <w:tc>
          <w:tcPr>
            <w:tcW w:type="dxa" w:w="42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Nicotine dependence (F17)</w:t>
            </w:r>
          </w:p>
        </w:tc>
        <w:tc>
          <w:tcPr>
            <w:tcW w:type="dxa" w:w="19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232 (21.4)</w:t>
            </w:r>
          </w:p>
        </w:tc>
        <w:tc>
          <w:tcPr>
            <w:tcW w:type="dxa" w:w="196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228 (21.1)</w:t>
            </w:r>
          </w:p>
        </w:tc>
        <w:tc>
          <w:tcPr>
            <w:tcW w:type="dxa" w:w="10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0.009</w:t>
            </w:r>
          </w:p>
        </w:tc>
      </w:tr>
      <w:tr>
        <w:tc>
          <w:tcPr>
            <w:tcW w:type="dxa" w:w="13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Diagnosis</w:t>
            </w:r>
          </w:p>
        </w:tc>
        <w:tc>
          <w:tcPr>
            <w:tcW w:type="dxa" w:w="42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Alcohol-related disorders (F10)</w:t>
            </w:r>
          </w:p>
        </w:tc>
        <w:tc>
          <w:tcPr>
            <w:tcW w:type="dxa" w:w="19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55 (5.1)</w:t>
            </w:r>
          </w:p>
        </w:tc>
        <w:tc>
          <w:tcPr>
            <w:tcW w:type="dxa" w:w="196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49 (4.5)</w:t>
            </w:r>
          </w:p>
        </w:tc>
        <w:tc>
          <w:tcPr>
            <w:tcW w:type="dxa" w:w="10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0.026</w:t>
            </w:r>
          </w:p>
        </w:tc>
      </w:tr>
      <w:tr>
        <w:tc>
          <w:tcPr>
            <w:tcW w:type="dxa" w:w="13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Diagnosis</w:t>
            </w:r>
          </w:p>
        </w:tc>
        <w:tc>
          <w:tcPr>
            <w:tcW w:type="dxa" w:w="42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Other stimulant-related disorders (F15)</w:t>
            </w:r>
          </w:p>
        </w:tc>
        <w:tc>
          <w:tcPr>
            <w:tcW w:type="dxa" w:w="19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10 (0.9)</w:t>
            </w:r>
          </w:p>
        </w:tc>
        <w:tc>
          <w:tcPr>
            <w:tcW w:type="dxa" w:w="196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13 (1.2)</w:t>
            </w:r>
          </w:p>
        </w:tc>
        <w:tc>
          <w:tcPr>
            <w:tcW w:type="dxa" w:w="10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0.027</w:t>
            </w:r>
          </w:p>
        </w:tc>
      </w:tr>
      <w:tr>
        <w:tc>
          <w:tcPr>
            <w:tcW w:type="dxa" w:w="13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Diagnosis</w:t>
            </w:r>
          </w:p>
        </w:tc>
        <w:tc>
          <w:tcPr>
            <w:tcW w:type="dxa" w:w="42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Opioid-related disorders (F11)</w:t>
            </w:r>
          </w:p>
        </w:tc>
        <w:tc>
          <w:tcPr>
            <w:tcW w:type="dxa" w:w="19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44 (4.1)</w:t>
            </w:r>
          </w:p>
        </w:tc>
        <w:tc>
          <w:tcPr>
            <w:tcW w:type="dxa" w:w="196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37 (3.4)</w:t>
            </w:r>
          </w:p>
        </w:tc>
        <w:tc>
          <w:tcPr>
            <w:tcW w:type="dxa" w:w="10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0.034</w:t>
            </w:r>
          </w:p>
        </w:tc>
      </w:tr>
      <w:tr>
        <w:tc>
          <w:tcPr>
            <w:tcW w:type="dxa" w:w="13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Diagnosis</w:t>
            </w:r>
          </w:p>
        </w:tc>
        <w:tc>
          <w:tcPr>
            <w:tcW w:type="dxa" w:w="42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Cannabis-related disorders (F12)</w:t>
            </w:r>
          </w:p>
        </w:tc>
        <w:tc>
          <w:tcPr>
            <w:tcW w:type="dxa" w:w="19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27 (2.5)</w:t>
            </w:r>
          </w:p>
        </w:tc>
        <w:tc>
          <w:tcPr>
            <w:tcW w:type="dxa" w:w="196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30 (2.8)</w:t>
            </w:r>
          </w:p>
        </w:tc>
        <w:tc>
          <w:tcPr>
            <w:tcW w:type="dxa" w:w="10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0.017</w:t>
            </w:r>
          </w:p>
        </w:tc>
      </w:tr>
      <w:tr>
        <w:tc>
          <w:tcPr>
            <w:tcW w:type="dxa" w:w="13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Diagnosis</w:t>
            </w:r>
          </w:p>
        </w:tc>
        <w:tc>
          <w:tcPr>
            <w:tcW w:type="dxa" w:w="42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Cocaine-related disorders (F14)</w:t>
            </w:r>
          </w:p>
        </w:tc>
        <w:tc>
          <w:tcPr>
            <w:tcW w:type="dxa" w:w="19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10 (0.9)</w:t>
            </w:r>
          </w:p>
        </w:tc>
        <w:tc>
          <w:tcPr>
            <w:tcW w:type="dxa" w:w="196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13 (1.2)</w:t>
            </w:r>
          </w:p>
        </w:tc>
        <w:tc>
          <w:tcPr>
            <w:tcW w:type="dxa" w:w="10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0.027</w:t>
            </w:r>
          </w:p>
        </w:tc>
      </w:tr>
      <w:tr>
        <w:tc>
          <w:tcPr>
            <w:tcW w:type="dxa" w:w="13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Diagnosis</w:t>
            </w:r>
          </w:p>
        </w:tc>
        <w:tc>
          <w:tcPr>
            <w:tcW w:type="dxa" w:w="42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Heart failure (I50)</w:t>
            </w:r>
          </w:p>
        </w:tc>
        <w:tc>
          <w:tcPr>
            <w:tcW w:type="dxa" w:w="19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284 (26.2)</w:t>
            </w:r>
          </w:p>
        </w:tc>
        <w:tc>
          <w:tcPr>
            <w:tcW w:type="dxa" w:w="196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279 (25.8)</w:t>
            </w:r>
          </w:p>
        </w:tc>
        <w:tc>
          <w:tcPr>
            <w:tcW w:type="dxa" w:w="10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0.011</w:t>
            </w:r>
          </w:p>
        </w:tc>
      </w:tr>
      <w:tr>
        <w:tc>
          <w:tcPr>
            <w:tcW w:type="dxa" w:w="13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Diagnosis</w:t>
            </w:r>
          </w:p>
        </w:tc>
        <w:tc>
          <w:tcPr>
            <w:tcW w:type="dxa" w:w="42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Other chronic obstructive pulmonary disease (J44)</w:t>
            </w:r>
          </w:p>
        </w:tc>
        <w:tc>
          <w:tcPr>
            <w:tcW w:type="dxa" w:w="19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115 (10.6)</w:t>
            </w:r>
          </w:p>
        </w:tc>
        <w:tc>
          <w:tcPr>
            <w:tcW w:type="dxa" w:w="196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116 (10.7)</w:t>
            </w:r>
          </w:p>
        </w:tc>
        <w:tc>
          <w:tcPr>
            <w:tcW w:type="dxa" w:w="10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0.003</w:t>
            </w:r>
          </w:p>
        </w:tc>
      </w:tr>
      <w:tr>
        <w:tc>
          <w:tcPr>
            <w:tcW w:type="dxa" w:w="13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Diagnosis</w:t>
            </w:r>
          </w:p>
        </w:tc>
        <w:tc>
          <w:tcPr>
            <w:tcW w:type="dxa" w:w="42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Nonrheumatic aortic valve disorders (I35)</w:t>
            </w:r>
          </w:p>
        </w:tc>
        <w:tc>
          <w:tcPr>
            <w:tcW w:type="dxa" w:w="19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170 (15.7)</w:t>
            </w:r>
          </w:p>
        </w:tc>
        <w:tc>
          <w:tcPr>
            <w:tcW w:type="dxa" w:w="196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185 (17.1)</w:t>
            </w:r>
          </w:p>
        </w:tc>
        <w:tc>
          <w:tcPr>
            <w:tcW w:type="dxa" w:w="10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0.037</w:t>
            </w:r>
          </w:p>
        </w:tc>
      </w:tr>
      <w:tr>
        <w:tc>
          <w:tcPr>
            <w:tcW w:type="dxa" w:w="13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Diagnosis</w:t>
            </w:r>
          </w:p>
        </w:tc>
        <w:tc>
          <w:tcPr>
            <w:tcW w:type="dxa" w:w="42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Nonrheumatic mitral valve disorders (I34)</w:t>
            </w:r>
          </w:p>
        </w:tc>
        <w:tc>
          <w:tcPr>
            <w:tcW w:type="dxa" w:w="19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159 (14.7)</w:t>
            </w:r>
          </w:p>
        </w:tc>
        <w:tc>
          <w:tcPr>
            <w:tcW w:type="dxa" w:w="196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159 (14.7)</w:t>
            </w:r>
          </w:p>
        </w:tc>
        <w:tc>
          <w:tcPr>
            <w:tcW w:type="dxa" w:w="10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&lt;0.001</w:t>
            </w:r>
          </w:p>
        </w:tc>
      </w:tr>
      <w:tr>
        <w:tc>
          <w:tcPr>
            <w:tcW w:type="dxa" w:w="13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Diagnosis</w:t>
            </w:r>
          </w:p>
        </w:tc>
        <w:tc>
          <w:tcPr>
            <w:tcW w:type="dxa" w:w="42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Acute myocardial infarction (I21)</w:t>
            </w:r>
          </w:p>
        </w:tc>
        <w:tc>
          <w:tcPr>
            <w:tcW w:type="dxa" w:w="19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373 (34.5)</w:t>
            </w:r>
          </w:p>
        </w:tc>
        <w:tc>
          <w:tcPr>
            <w:tcW w:type="dxa" w:w="196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361 (33.4)</w:t>
            </w:r>
          </w:p>
        </w:tc>
        <w:tc>
          <w:tcPr>
            <w:tcW w:type="dxa" w:w="10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0.023</w:t>
            </w:r>
          </w:p>
        </w:tc>
      </w:tr>
      <w:tr>
        <w:tc>
          <w:tcPr>
            <w:tcW w:type="dxa" w:w="13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Diagnosis</w:t>
            </w:r>
          </w:p>
        </w:tc>
        <w:tc>
          <w:tcPr>
            <w:tcW w:type="dxa" w:w="42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Old myocardial infarction (I25.2)</w:t>
            </w:r>
          </w:p>
        </w:tc>
        <w:tc>
          <w:tcPr>
            <w:tcW w:type="dxa" w:w="19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132 (12.2)</w:t>
            </w:r>
          </w:p>
        </w:tc>
        <w:tc>
          <w:tcPr>
            <w:tcW w:type="dxa" w:w="196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140 (12.9)</w:t>
            </w:r>
          </w:p>
        </w:tc>
        <w:tc>
          <w:tcPr>
            <w:tcW w:type="dxa" w:w="10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0.022</w:t>
            </w:r>
          </w:p>
        </w:tc>
      </w:tr>
      <w:tr>
        <w:tc>
          <w:tcPr>
            <w:tcW w:type="dxa" w:w="13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Diagnosis</w:t>
            </w:r>
          </w:p>
        </w:tc>
        <w:tc>
          <w:tcPr>
            <w:tcW w:type="dxa" w:w="42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Depressive episode (F32)</w:t>
            </w:r>
          </w:p>
        </w:tc>
        <w:tc>
          <w:tcPr>
            <w:tcW w:type="dxa" w:w="19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283 (26.2)</w:t>
            </w:r>
          </w:p>
        </w:tc>
        <w:tc>
          <w:tcPr>
            <w:tcW w:type="dxa" w:w="196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279 (25.8)</w:t>
            </w:r>
          </w:p>
        </w:tc>
        <w:tc>
          <w:tcPr>
            <w:tcW w:type="dxa" w:w="10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0.008</w:t>
            </w:r>
          </w:p>
        </w:tc>
      </w:tr>
      <w:tr>
        <w:tc>
          <w:tcPr>
            <w:tcW w:type="dxa" w:w="13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Diagnosis</w:t>
            </w:r>
          </w:p>
        </w:tc>
        <w:tc>
          <w:tcPr>
            <w:tcW w:type="dxa" w:w="42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Ischaemic heart diseases (I20–I25)</w:t>
            </w:r>
          </w:p>
        </w:tc>
        <w:tc>
          <w:tcPr>
            <w:tcW w:type="dxa" w:w="19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930 (86.0)</w:t>
            </w:r>
          </w:p>
        </w:tc>
        <w:tc>
          <w:tcPr>
            <w:tcW w:type="dxa" w:w="196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929 (85.9)</w:t>
            </w:r>
          </w:p>
        </w:tc>
        <w:tc>
          <w:tcPr>
            <w:tcW w:type="dxa" w:w="10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0.003</w:t>
            </w:r>
          </w:p>
        </w:tc>
      </w:tr>
      <w:tr>
        <w:tc>
          <w:tcPr>
            <w:tcW w:type="dxa" w:w="13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Diagnosis</w:t>
            </w:r>
          </w:p>
        </w:tc>
        <w:tc>
          <w:tcPr>
            <w:tcW w:type="dxa" w:w="42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Other peripheral vascular diseases (I73)</w:t>
            </w:r>
          </w:p>
        </w:tc>
        <w:tc>
          <w:tcPr>
            <w:tcW w:type="dxa" w:w="19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115 (10.6)</w:t>
            </w:r>
          </w:p>
        </w:tc>
        <w:tc>
          <w:tcPr>
            <w:tcW w:type="dxa" w:w="196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113 (10.4)</w:t>
            </w:r>
          </w:p>
        </w:tc>
        <w:tc>
          <w:tcPr>
            <w:tcW w:type="dxa" w:w="10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0.006</w:t>
            </w:r>
          </w:p>
        </w:tc>
      </w:tr>
      <w:tr>
        <w:tc>
          <w:tcPr>
            <w:tcW w:type="dxa" w:w="13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Diagnosis</w:t>
            </w:r>
          </w:p>
        </w:tc>
        <w:tc>
          <w:tcPr>
            <w:tcW w:type="dxa" w:w="42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Attention-deficit/hyperactivity disorders (F90)</w:t>
            </w:r>
          </w:p>
        </w:tc>
        <w:tc>
          <w:tcPr>
            <w:tcW w:type="dxa" w:w="19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314 (29.0)</w:t>
            </w:r>
          </w:p>
        </w:tc>
        <w:tc>
          <w:tcPr>
            <w:tcW w:type="dxa" w:w="196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308 (28.5)</w:t>
            </w:r>
          </w:p>
        </w:tc>
        <w:tc>
          <w:tcPr>
            <w:tcW w:type="dxa" w:w="10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0.012</w:t>
            </w:r>
          </w:p>
        </w:tc>
      </w:tr>
      <w:tr>
        <w:tc>
          <w:tcPr>
            <w:tcW w:type="dxa" w:w="13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Diagnosis</w:t>
            </w:r>
          </w:p>
        </w:tc>
        <w:tc>
          <w:tcPr>
            <w:tcW w:type="dxa" w:w="42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Narcolepsy and cataplexy (G47.4)</w:t>
            </w:r>
          </w:p>
        </w:tc>
        <w:tc>
          <w:tcPr>
            <w:tcW w:type="dxa" w:w="19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20 (1.8)</w:t>
            </w:r>
          </w:p>
        </w:tc>
        <w:tc>
          <w:tcPr>
            <w:tcW w:type="dxa" w:w="196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28 (2.6)</w:t>
            </w:r>
          </w:p>
        </w:tc>
        <w:tc>
          <w:tcPr>
            <w:tcW w:type="dxa" w:w="10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0.050</w:t>
            </w:r>
          </w:p>
        </w:tc>
      </w:tr>
      <w:tr>
        <w:tc>
          <w:tcPr>
            <w:tcW w:type="dxa" w:w="13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Diagnosis</w:t>
            </w:r>
          </w:p>
        </w:tc>
        <w:tc>
          <w:tcPr>
            <w:tcW w:type="dxa" w:w="42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Binge-eating disorder (F50.81)</w:t>
            </w:r>
          </w:p>
        </w:tc>
        <w:tc>
          <w:tcPr>
            <w:tcW w:type="dxa" w:w="19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10 (0.9)</w:t>
            </w:r>
          </w:p>
        </w:tc>
        <w:tc>
          <w:tcPr>
            <w:tcW w:type="dxa" w:w="196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0</w:t>
            </w:r>
          </w:p>
        </w:tc>
        <w:tc>
          <w:tcPr>
            <w:tcW w:type="dxa" w:w="10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0.137</w:t>
            </w:r>
          </w:p>
        </w:tc>
      </w:tr>
      <w:tr>
        <w:tc>
          <w:tcPr>
            <w:tcW w:type="dxa" w:w="13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Diagnosis</w:t>
            </w:r>
          </w:p>
        </w:tc>
        <w:tc>
          <w:tcPr>
            <w:tcW w:type="dxa" w:w="42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Chronic kidney disease (N18)</w:t>
            </w:r>
          </w:p>
        </w:tc>
        <w:tc>
          <w:tcPr>
            <w:tcW w:type="dxa" w:w="19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171 (15.8)</w:t>
            </w:r>
          </w:p>
        </w:tc>
        <w:tc>
          <w:tcPr>
            <w:tcW w:type="dxa" w:w="196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174 (16.1)</w:t>
            </w:r>
          </w:p>
        </w:tc>
        <w:tc>
          <w:tcPr>
            <w:tcW w:type="dxa" w:w="10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0.008</w:t>
            </w:r>
          </w:p>
        </w:tc>
      </w:tr>
      <w:tr>
        <w:tc>
          <w:tcPr>
            <w:tcW w:type="dxa" w:w="13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Diagnosis</w:t>
            </w:r>
          </w:p>
        </w:tc>
        <w:tc>
          <w:tcPr>
            <w:tcW w:type="dxa" w:w="42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Hypertensive diseases (I10–I1A)</w:t>
            </w:r>
          </w:p>
        </w:tc>
        <w:tc>
          <w:tcPr>
            <w:tcW w:type="dxa" w:w="19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740 (68.4)</w:t>
            </w:r>
          </w:p>
        </w:tc>
        <w:tc>
          <w:tcPr>
            <w:tcW w:type="dxa" w:w="196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735 (67.9)</w:t>
            </w:r>
          </w:p>
        </w:tc>
        <w:tc>
          <w:tcPr>
            <w:tcW w:type="dxa" w:w="10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0.010</w:t>
            </w:r>
          </w:p>
        </w:tc>
      </w:tr>
      <w:tr>
        <w:tc>
          <w:tcPr>
            <w:tcW w:type="dxa" w:w="13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Procedure</w:t>
            </w:r>
          </w:p>
        </w:tc>
        <w:tc>
          <w:tcPr>
            <w:tcW w:type="dxa" w:w="42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Pacemaker or implantable defibrillator procedures (1006075)</w:t>
            </w:r>
          </w:p>
        </w:tc>
        <w:tc>
          <w:tcPr>
            <w:tcW w:type="dxa" w:w="19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12 (1.1)</w:t>
            </w:r>
          </w:p>
        </w:tc>
        <w:tc>
          <w:tcPr>
            <w:tcW w:type="dxa" w:w="196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18 (1.7)</w:t>
            </w:r>
          </w:p>
        </w:tc>
        <w:tc>
          <w:tcPr>
            <w:tcW w:type="dxa" w:w="10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0.047</w:t>
            </w:r>
          </w:p>
        </w:tc>
      </w:tr>
      <w:tr>
        <w:tc>
          <w:tcPr>
            <w:tcW w:type="dxa" w:w="13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Medication</w:t>
            </w:r>
          </w:p>
        </w:tc>
        <w:tc>
          <w:tcPr>
            <w:tcW w:type="dxa" w:w="42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Anticoagulants (BL110)</w:t>
            </w:r>
          </w:p>
        </w:tc>
        <w:tc>
          <w:tcPr>
            <w:tcW w:type="dxa" w:w="19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813 (75.1)</w:t>
            </w:r>
          </w:p>
        </w:tc>
        <w:tc>
          <w:tcPr>
            <w:tcW w:type="dxa" w:w="196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789 (72.9)</w:t>
            </w:r>
          </w:p>
        </w:tc>
        <w:tc>
          <w:tcPr>
            <w:tcW w:type="dxa" w:w="10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0.051</w:t>
            </w:r>
          </w:p>
        </w:tc>
      </w:tr>
      <w:tr>
        <w:tc>
          <w:tcPr>
            <w:tcW w:type="dxa" w:w="13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Medication</w:t>
            </w:r>
          </w:p>
        </w:tc>
        <w:tc>
          <w:tcPr>
            <w:tcW w:type="dxa" w:w="42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Angiotensin-converting enzyme inhibitors (CV800)</w:t>
            </w:r>
          </w:p>
        </w:tc>
        <w:tc>
          <w:tcPr>
            <w:tcW w:type="dxa" w:w="19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437 (40.4)</w:t>
            </w:r>
          </w:p>
        </w:tc>
        <w:tc>
          <w:tcPr>
            <w:tcW w:type="dxa" w:w="196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416 (38.4)</w:t>
            </w:r>
          </w:p>
        </w:tc>
        <w:tc>
          <w:tcPr>
            <w:tcW w:type="dxa" w:w="10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0.040</w:t>
            </w:r>
          </w:p>
        </w:tc>
      </w:tr>
      <w:tr>
        <w:tc>
          <w:tcPr>
            <w:tcW w:type="dxa" w:w="13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Medication</w:t>
            </w:r>
          </w:p>
        </w:tc>
        <w:tc>
          <w:tcPr>
            <w:tcW w:type="dxa" w:w="42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Beta-blocking agents (C07)</w:t>
            </w:r>
          </w:p>
        </w:tc>
        <w:tc>
          <w:tcPr>
            <w:tcW w:type="dxa" w:w="19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833 (77.0)</w:t>
            </w:r>
          </w:p>
        </w:tc>
        <w:tc>
          <w:tcPr>
            <w:tcW w:type="dxa" w:w="196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785 (72.6)</w:t>
            </w:r>
          </w:p>
        </w:tc>
        <w:tc>
          <w:tcPr>
            <w:tcW w:type="dxa" w:w="10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0.102</w:t>
            </w:r>
          </w:p>
        </w:tc>
      </w:tr>
      <w:tr>
        <w:tc>
          <w:tcPr>
            <w:tcW w:type="dxa" w:w="13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Medication</w:t>
            </w:r>
          </w:p>
        </w:tc>
        <w:tc>
          <w:tcPr>
            <w:tcW w:type="dxa" w:w="42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Antilipaemic agents (CV350)</w:t>
            </w:r>
          </w:p>
        </w:tc>
        <w:tc>
          <w:tcPr>
            <w:tcW w:type="dxa" w:w="19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897 (82.9)</w:t>
            </w:r>
          </w:p>
        </w:tc>
        <w:tc>
          <w:tcPr>
            <w:tcW w:type="dxa" w:w="196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880 (81.3)</w:t>
            </w:r>
          </w:p>
        </w:tc>
        <w:tc>
          <w:tcPr>
            <w:tcW w:type="dxa" w:w="10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0.041</w:t>
            </w:r>
          </w:p>
        </w:tc>
      </w:tr>
      <w:tr>
        <w:tc>
          <w:tcPr>
            <w:tcW w:type="dxa" w:w="13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Medication</w:t>
            </w:r>
          </w:p>
        </w:tc>
        <w:tc>
          <w:tcPr>
            <w:tcW w:type="dxa" w:w="42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Angiotensin II inhibitors (CV805)</w:t>
            </w:r>
          </w:p>
        </w:tc>
        <w:tc>
          <w:tcPr>
            <w:tcW w:type="dxa" w:w="19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315 (29.1)</w:t>
            </w:r>
          </w:p>
        </w:tc>
        <w:tc>
          <w:tcPr>
            <w:tcW w:type="dxa" w:w="196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306 (28.3)</w:t>
            </w:r>
          </w:p>
        </w:tc>
        <w:tc>
          <w:tcPr>
            <w:tcW w:type="dxa" w:w="10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0.018</w:t>
            </w:r>
          </w:p>
        </w:tc>
      </w:tr>
      <w:tr>
        <w:tc>
          <w:tcPr>
            <w:tcW w:type="dxa" w:w="13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Laboratory</w:t>
            </w:r>
          </w:p>
        </w:tc>
        <w:tc>
          <w:tcPr>
            <w:tcW w:type="dxa" w:w="42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Serum or plasma creatinine, mg/dL (2160-0)</w:t>
            </w:r>
          </w:p>
        </w:tc>
        <w:tc>
          <w:tcPr>
            <w:tcW w:type="dxa" w:w="19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1.2 (1.3); n = 1034</w:t>
            </w:r>
          </w:p>
        </w:tc>
        <w:tc>
          <w:tcPr>
            <w:tcW w:type="dxa" w:w="196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1.2 (1.2); n = 1032</w:t>
            </w:r>
          </w:p>
        </w:tc>
        <w:tc>
          <w:tcPr>
            <w:tcW w:type="dxa" w:w="1000"/>
            <w:tcBorders>
              <w:top w:val="none" w:color="FFFFFF" w:sz="0"/>
              <w:left w:val="none" w:color="FFFFFF" w:sz="0"/>
              <w:bottom w:val="none" w:color="FFFFFF" w:sz="0"/>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0.037</w:t>
            </w:r>
          </w:p>
        </w:tc>
      </w:tr>
      <w:tr>
        <w:tc>
          <w:tcPr>
            <w:tcW w:type="dxa" w:w="1300"/>
            <w:tcBorders>
              <w:top w:val="none" w:color="FFFFFF" w:sz="0"/>
              <w:left w:val="none" w:color="FFFFFF" w:sz="0"/>
              <w:bottom w:val="single" w:color="000000" w:sz="6"/>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Oncology</w:t>
            </w:r>
          </w:p>
        </w:tc>
        <w:tc>
          <w:tcPr>
            <w:tcW w:type="dxa" w:w="4200"/>
            <w:tcBorders>
              <w:top w:val="none" w:color="FFFFFF" w:sz="0"/>
              <w:left w:val="none" w:color="FFFFFF" w:sz="0"/>
              <w:bottom w:val="single" w:color="000000" w:sz="6"/>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Malignant neoplasm (8000/3)</w:t>
            </w:r>
          </w:p>
        </w:tc>
        <w:tc>
          <w:tcPr>
            <w:tcW w:type="dxa" w:w="1900"/>
            <w:tcBorders>
              <w:top w:val="none" w:color="FFFFFF" w:sz="0"/>
              <w:left w:val="none" w:color="FFFFFF" w:sz="0"/>
              <w:bottom w:val="single" w:color="000000" w:sz="6"/>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0</w:t>
            </w:r>
          </w:p>
        </w:tc>
        <w:tc>
          <w:tcPr>
            <w:tcW w:type="dxa" w:w="1960"/>
            <w:tcBorders>
              <w:top w:val="none" w:color="FFFFFF" w:sz="0"/>
              <w:left w:val="none" w:color="FFFFFF" w:sz="0"/>
              <w:bottom w:val="single" w:color="000000" w:sz="6"/>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0</w:t>
            </w:r>
          </w:p>
        </w:tc>
        <w:tc>
          <w:tcPr>
            <w:tcW w:type="dxa" w:w="1000"/>
            <w:tcBorders>
              <w:top w:val="none" w:color="FFFFFF" w:sz="0"/>
              <w:left w:val="none" w:color="FFFFFF" w:sz="0"/>
              <w:bottom w:val="single" w:color="000000" w:sz="6"/>
              <w:right w:val="none" w:color="FFFFFF" w:sz="0"/>
            </w:tcBorders>
            <w:tcMar>
              <w:top w:type="dxa" w:w="30"/>
              <w:left w:type="dxa" w:w="70"/>
              <w:bottom w:type="dxa" w:w="30"/>
              <w:right w:type="dxa" w:w="70"/>
            </w:tcMar>
          </w:tcPr>
          <w:p>
            <w:pPr>
              <w:spacing w:after="0" w:line="240" w:lineRule="auto"/>
            </w:pPr>
            <w:r>
              <w:rPr>
                <w:rFonts w:ascii="Times New Roman" w:cs="Times New Roman" w:eastAsia="Times New Roman" w:hAnsi="Times New Roman"/>
                <w:sz w:val="18"/>
                <w:szCs w:val="18"/>
              </w:rPr>
              <w:t xml:space="preserve">—</w:t>
            </w:r>
          </w:p>
        </w:tc>
      </w:tr>
    </w:tbl>
    <w:p>
      <w:pPr>
        <w:spacing w:before="160" w:line="240" w:lineRule="auto"/>
      </w:pPr>
      <w:r>
        <w:rPr>
          <w:rFonts w:ascii="Times New Roman" w:cs="Times New Roman" w:eastAsia="Times New Roman" w:hAnsi="Times New Roman"/>
          <w:sz w:val="18"/>
          <w:szCs w:val="18"/>
        </w:rPr>
        <w:t xml:space="preserve">Data are n (%) unless otherwise indicated. Age and creatinine are mean (SD). The 43 variables are those explicitly listed by TriNetX as included in the propensity-score model. Unknown race and ethnicity categories, current age and other descriptive fields shown in the platform output were not listed as matching variables and are therefore not included. An absolute SMD below 0.10 was prespecified as acceptable; beta-blocker use and binge-eating disorder exceeded this threshold after matching. SD standard deviation, SMD standardised mean difference.</w:t>
      </w:r>
    </w:p>
    <w:sectPr>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20"/>
        <w:szCs w:val="20"/>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2026-09-13T23:31:39.298Z</dcterms:created>
  <dcterms:modified xsi:type="dcterms:W3CDTF">2026-09-13T23:31:39.299Z</dcterms:modified>
</cp:coreProperties>
</file>

<file path=docProps/custom.xml><?xml version="1.0" encoding="utf-8"?>
<Properties xmlns="http://schemas.openxmlformats.org/officeDocument/2006/custom-properties" xmlns:vt="http://schemas.openxmlformats.org/officeDocument/2006/docPropsVTypes"/>
</file>