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DFA7" w14:textId="77777777" w:rsidR="00B25C59" w:rsidRDefault="00B25C59" w:rsidP="00B25C59">
      <w:pPr>
        <w:pStyle w:val="Heading1"/>
        <w:rPr>
          <w:rFonts w:ascii="Times New Roman" w:eastAsia="Times New Roman" w:hAnsi="Times New Roman" w:cs="Times New Roman"/>
          <w:color w:val="auto"/>
        </w:rPr>
      </w:pPr>
      <w:r w:rsidRPr="16389702">
        <w:rPr>
          <w:rFonts w:ascii="Times New Roman" w:eastAsia="Times New Roman" w:hAnsi="Times New Roman" w:cs="Times New Roman"/>
          <w:color w:val="auto"/>
          <w:sz w:val="28"/>
          <w:szCs w:val="28"/>
        </w:rPr>
        <w:t>Appendix A. Reproducibility Specification</w:t>
      </w:r>
    </w:p>
    <w:p w14:paraId="2D59FD5C" w14:textId="77777777" w:rsidR="00B25C59" w:rsidRDefault="00B25C59" w:rsidP="00B25C59">
      <w:pPr>
        <w:rPr>
          <w:rFonts w:eastAsia="Times New Roman" w:cs="Times New Roman"/>
          <w:b/>
          <w:bCs/>
          <w:sz w:val="24"/>
          <w:szCs w:val="24"/>
        </w:rPr>
      </w:pPr>
      <w:r w:rsidRPr="16389702">
        <w:rPr>
          <w:rFonts w:eastAsia="Times New Roman" w:cs="Times New Roman"/>
          <w:b/>
          <w:bCs/>
          <w:sz w:val="24"/>
          <w:szCs w:val="24"/>
        </w:rPr>
        <w:t>Table 5. Primary surveillance specification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63"/>
        <w:gridCol w:w="4963"/>
      </w:tblGrid>
      <w:tr w:rsidR="00B25C59" w14:paraId="00AA533F" w14:textId="77777777" w:rsidTr="006365CE">
        <w:trPr>
          <w:tblHeader/>
          <w:jc w:val="center"/>
        </w:trPr>
        <w:tc>
          <w:tcPr>
            <w:tcW w:w="4968" w:type="dxa"/>
            <w:shd w:val="clear" w:color="auto" w:fill="D9EAF7"/>
          </w:tcPr>
          <w:p w14:paraId="70597747" w14:textId="77777777" w:rsidR="00B25C59" w:rsidRDefault="00B25C59" w:rsidP="006365CE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16389702">
              <w:rPr>
                <w:rFonts w:eastAsia="Times New Roman" w:cs="Times New Roman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4968" w:type="dxa"/>
            <w:shd w:val="clear" w:color="auto" w:fill="D9EAF7"/>
          </w:tcPr>
          <w:p w14:paraId="3341DC39" w14:textId="77777777" w:rsidR="00B25C59" w:rsidRDefault="00B25C59" w:rsidP="006365CE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16389702">
              <w:rPr>
                <w:rFonts w:eastAsia="Times New Roman" w:cs="Times New Roman"/>
                <w:b/>
                <w:bCs/>
                <w:sz w:val="24"/>
                <w:szCs w:val="24"/>
              </w:rPr>
              <w:t>Primary specification</w:t>
            </w:r>
          </w:p>
        </w:tc>
      </w:tr>
      <w:tr w:rsidR="00B25C59" w14:paraId="528D8123" w14:textId="77777777" w:rsidTr="006365CE">
        <w:trPr>
          <w:jc w:val="center"/>
        </w:trPr>
        <w:tc>
          <w:tcPr>
            <w:tcW w:w="4968" w:type="dxa"/>
            <w:vAlign w:val="center"/>
          </w:tcPr>
          <w:p w14:paraId="214857E1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Analytical unit</w:t>
            </w:r>
          </w:p>
        </w:tc>
        <w:tc>
          <w:tcPr>
            <w:tcW w:w="4968" w:type="dxa"/>
            <w:vAlign w:val="center"/>
          </w:tcPr>
          <w:p w14:paraId="6F600ADC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Unique narrative string by month</w:t>
            </w:r>
          </w:p>
        </w:tc>
      </w:tr>
      <w:tr w:rsidR="00B25C59" w14:paraId="46F2F78C" w14:textId="77777777" w:rsidTr="006365CE">
        <w:trPr>
          <w:jc w:val="center"/>
        </w:trPr>
        <w:tc>
          <w:tcPr>
            <w:tcW w:w="4968" w:type="dxa"/>
            <w:vAlign w:val="center"/>
          </w:tcPr>
          <w:p w14:paraId="199FEA78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Time aggregation</w:t>
            </w:r>
          </w:p>
        </w:tc>
        <w:tc>
          <w:tcPr>
            <w:tcW w:w="4968" w:type="dxa"/>
            <w:vAlign w:val="center"/>
          </w:tcPr>
          <w:p w14:paraId="26F2AD66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Monthly</w:t>
            </w:r>
          </w:p>
        </w:tc>
      </w:tr>
      <w:tr w:rsidR="00B25C59" w14:paraId="282BE364" w14:textId="77777777" w:rsidTr="006365CE">
        <w:trPr>
          <w:jc w:val="center"/>
        </w:trPr>
        <w:tc>
          <w:tcPr>
            <w:tcW w:w="4968" w:type="dxa"/>
            <w:vAlign w:val="center"/>
          </w:tcPr>
          <w:p w14:paraId="720F995D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Theme representation</w:t>
            </w:r>
          </w:p>
        </w:tc>
        <w:tc>
          <w:tcPr>
            <w:tcW w:w="4968" w:type="dxa"/>
            <w:vAlign w:val="center"/>
          </w:tcPr>
          <w:p w14:paraId="5B7B6704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Transparent phrase lexicons</w:t>
            </w:r>
          </w:p>
        </w:tc>
      </w:tr>
      <w:tr w:rsidR="00B25C59" w14:paraId="00C978DB" w14:textId="77777777" w:rsidTr="006365CE">
        <w:trPr>
          <w:jc w:val="center"/>
        </w:trPr>
        <w:tc>
          <w:tcPr>
            <w:tcW w:w="4968" w:type="dxa"/>
            <w:vAlign w:val="center"/>
          </w:tcPr>
          <w:p w14:paraId="36BF2C20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Historical baseline</w:t>
            </w:r>
          </w:p>
        </w:tc>
        <w:tc>
          <w:tcPr>
            <w:tcW w:w="4968" w:type="dxa"/>
            <w:vAlign w:val="center"/>
          </w:tcPr>
          <w:p w14:paraId="5F0C9553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Previous 12 months only</w:t>
            </w:r>
          </w:p>
        </w:tc>
      </w:tr>
      <w:tr w:rsidR="00B25C59" w14:paraId="2F32C38A" w14:textId="77777777" w:rsidTr="006365CE">
        <w:trPr>
          <w:jc w:val="center"/>
        </w:trPr>
        <w:tc>
          <w:tcPr>
            <w:tcW w:w="4968" w:type="dxa"/>
            <w:vAlign w:val="center"/>
          </w:tcPr>
          <w:p w14:paraId="4C2E2C05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Test</w:t>
            </w:r>
          </w:p>
        </w:tc>
        <w:tc>
          <w:tcPr>
            <w:tcW w:w="4968" w:type="dxa"/>
            <w:vAlign w:val="center"/>
          </w:tcPr>
          <w:p w14:paraId="225B9A14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One-sided Poisson upper tail</w:t>
            </w:r>
          </w:p>
        </w:tc>
      </w:tr>
      <w:tr w:rsidR="00B25C59" w14:paraId="4EFDA6A6" w14:textId="77777777" w:rsidTr="006365CE">
        <w:trPr>
          <w:jc w:val="center"/>
        </w:trPr>
        <w:tc>
          <w:tcPr>
            <w:tcW w:w="4968" w:type="dxa"/>
            <w:vAlign w:val="center"/>
          </w:tcPr>
          <w:p w14:paraId="4984498B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Multiplicity</w:t>
            </w:r>
          </w:p>
        </w:tc>
        <w:tc>
          <w:tcPr>
            <w:tcW w:w="4968" w:type="dxa"/>
            <w:vAlign w:val="center"/>
          </w:tcPr>
          <w:p w14:paraId="73062D1D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Benjamini-Hochberg FDR</w:t>
            </w:r>
          </w:p>
        </w:tc>
      </w:tr>
      <w:tr w:rsidR="00B25C59" w14:paraId="74EC6852" w14:textId="77777777" w:rsidTr="006365CE">
        <w:trPr>
          <w:jc w:val="center"/>
        </w:trPr>
        <w:tc>
          <w:tcPr>
            <w:tcW w:w="4968" w:type="dxa"/>
            <w:vAlign w:val="center"/>
          </w:tcPr>
          <w:p w14:paraId="73EF048B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Minimum support</w:t>
            </w:r>
          </w:p>
        </w:tc>
        <w:tc>
          <w:tcPr>
            <w:tcW w:w="4968" w:type="dxa"/>
            <w:vAlign w:val="center"/>
          </w:tcPr>
          <w:p w14:paraId="338E4B52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20 narratives/month</w:t>
            </w:r>
          </w:p>
        </w:tc>
      </w:tr>
      <w:tr w:rsidR="00B25C59" w14:paraId="1D397FE6" w14:textId="77777777" w:rsidTr="006365CE">
        <w:trPr>
          <w:jc w:val="center"/>
        </w:trPr>
        <w:tc>
          <w:tcPr>
            <w:tcW w:w="4968" w:type="dxa"/>
            <w:vAlign w:val="center"/>
          </w:tcPr>
          <w:p w14:paraId="2C6B0255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Minimum growth</w:t>
            </w:r>
          </w:p>
        </w:tc>
        <w:tc>
          <w:tcPr>
            <w:tcW w:w="4968" w:type="dxa"/>
            <w:vAlign w:val="center"/>
          </w:tcPr>
          <w:p w14:paraId="20454A20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2.0x baseline</w:t>
            </w:r>
          </w:p>
        </w:tc>
      </w:tr>
      <w:tr w:rsidR="00B25C59" w14:paraId="481B3472" w14:textId="77777777" w:rsidTr="006365CE">
        <w:trPr>
          <w:jc w:val="center"/>
        </w:trPr>
        <w:tc>
          <w:tcPr>
            <w:tcW w:w="4968" w:type="dxa"/>
            <w:vAlign w:val="center"/>
          </w:tcPr>
          <w:p w14:paraId="41EC5EF7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Persistence</w:t>
            </w:r>
          </w:p>
        </w:tc>
        <w:tc>
          <w:tcPr>
            <w:tcW w:w="4968" w:type="dxa"/>
            <w:vAlign w:val="center"/>
          </w:tcPr>
          <w:p w14:paraId="2403FD5A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2 consecutive qualifying months; onset is not confirmed until month 2</w:t>
            </w:r>
          </w:p>
        </w:tc>
      </w:tr>
      <w:tr w:rsidR="00B25C59" w14:paraId="6A252344" w14:textId="77777777" w:rsidTr="006365CE">
        <w:trPr>
          <w:jc w:val="center"/>
        </w:trPr>
        <w:tc>
          <w:tcPr>
            <w:tcW w:w="4968" w:type="dxa"/>
            <w:vAlign w:val="center"/>
          </w:tcPr>
          <w:p w14:paraId="56B7CF95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Sensitivity grid</w:t>
            </w:r>
          </w:p>
        </w:tc>
        <w:tc>
          <w:tcPr>
            <w:tcW w:w="4968" w:type="dxa"/>
            <w:vAlign w:val="center"/>
          </w:tcPr>
          <w:p w14:paraId="64A35C9F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3 windows x 3 growth thresholds x 3 count thresholds x 3 persistence rules = 81 exploratory specifications</w:t>
            </w:r>
          </w:p>
        </w:tc>
      </w:tr>
      <w:tr w:rsidR="00B25C59" w14:paraId="604975C3" w14:textId="77777777" w:rsidTr="006365CE">
        <w:trPr>
          <w:jc w:val="center"/>
        </w:trPr>
        <w:tc>
          <w:tcPr>
            <w:tcW w:w="4968" w:type="dxa"/>
            <w:vAlign w:val="center"/>
          </w:tcPr>
          <w:p w14:paraId="2DC6C9F0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Temporal leakage control</w:t>
            </w:r>
          </w:p>
        </w:tc>
        <w:tc>
          <w:tcPr>
            <w:tcW w:w="4968" w:type="dxa"/>
            <w:vAlign w:val="center"/>
          </w:tcPr>
          <w:p w14:paraId="3E3DB4AF" w14:textId="77777777" w:rsidR="00B25C59" w:rsidRDefault="00B25C59" w:rsidP="006365CE">
            <w:pPr>
              <w:rPr>
                <w:rFonts w:eastAsia="Times New Roman" w:cs="Times New Roman"/>
                <w:sz w:val="24"/>
                <w:szCs w:val="24"/>
              </w:rPr>
            </w:pPr>
            <w:r w:rsidRPr="16389702">
              <w:rPr>
                <w:rFonts w:eastAsia="Times New Roman" w:cs="Times New Roman"/>
                <w:sz w:val="24"/>
                <w:szCs w:val="24"/>
              </w:rPr>
              <w:t>No future counts or external event dates enter alert generation</w:t>
            </w:r>
          </w:p>
        </w:tc>
      </w:tr>
    </w:tbl>
    <w:p w14:paraId="7D37B205" w14:textId="77777777" w:rsidR="00B25C59" w:rsidRDefault="00B25C59" w:rsidP="00B25C59">
      <w:pPr>
        <w:rPr>
          <w:rFonts w:eastAsia="Times New Roman" w:cs="Times New Roman"/>
          <w:sz w:val="24"/>
          <w:szCs w:val="24"/>
        </w:rPr>
      </w:pPr>
    </w:p>
    <w:p w14:paraId="00BDB900" w14:textId="77777777" w:rsidR="008B07A6" w:rsidRDefault="008B07A6"/>
    <w:sectPr w:rsidR="008B07A6" w:rsidSect="00B25C59">
      <w:footerReference w:type="default" r:id="rId4"/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7781" w14:textId="77777777" w:rsidR="00B25C59" w:rsidRDefault="00B25C59">
    <w:pPr>
      <w:pStyle w:val="Footer"/>
      <w:jc w:val="center"/>
    </w:pPr>
    <w:r>
      <w:t xml:space="preserve">Blinded manuscript for peer review |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59"/>
    <w:rsid w:val="00066677"/>
    <w:rsid w:val="00153A17"/>
    <w:rsid w:val="001A37F3"/>
    <w:rsid w:val="003A4E89"/>
    <w:rsid w:val="00556784"/>
    <w:rsid w:val="008B07A6"/>
    <w:rsid w:val="0097029A"/>
    <w:rsid w:val="00987B63"/>
    <w:rsid w:val="00990454"/>
    <w:rsid w:val="00A234E6"/>
    <w:rsid w:val="00B25C59"/>
    <w:rsid w:val="00BF13F9"/>
    <w:rsid w:val="00CE738E"/>
    <w:rsid w:val="00D31E7D"/>
    <w:rsid w:val="00F52CE0"/>
    <w:rsid w:val="00FC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CF59"/>
  <w15:chartTrackingRefBased/>
  <w15:docId w15:val="{450461B2-218A-4FA9-A6BF-0D8432A7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C59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C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C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C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C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C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C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C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C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C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C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5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C5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5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C5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5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C5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25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59"/>
    <w:rPr>
      <w:rFonts w:ascii="Times New Roman" w:eastAsiaTheme="minorEastAsia" w:hAnsi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B25C5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2026-09-15T05:32:00Z</dcterms:created>
  <dcterms:modified xsi:type="dcterms:W3CDTF">2026-09-15T05:32:00Z</dcterms:modified>
</cp:coreProperties>
</file>