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988F7" w14:textId="77777777" w:rsidR="006858CD" w:rsidRDefault="006858CD" w:rsidP="006858CD">
      <w:pPr>
        <w:tabs>
          <w:tab w:val="left" w:pos="2032"/>
        </w:tabs>
        <w:rPr>
          <w:rFonts w:ascii="Times New Roman" w:hAnsi="Times New Roman" w:cs="Times New Roman"/>
        </w:rPr>
      </w:pPr>
      <w:r w:rsidRPr="00413211">
        <w:rPr>
          <w:rFonts w:ascii="Times New Roman" w:hAnsi="Times New Roman" w:cs="Times New Roman"/>
        </w:rPr>
        <w:t>Supplementary Information</w:t>
      </w:r>
    </w:p>
    <w:p w14:paraId="28C83C21" w14:textId="77777777" w:rsidR="006858CD" w:rsidRDefault="006858CD" w:rsidP="006858CD">
      <w:pPr>
        <w:tabs>
          <w:tab w:val="left" w:pos="2032"/>
        </w:tabs>
        <w:rPr>
          <w:rFonts w:ascii="Times New Roman" w:hAnsi="Times New Roman" w:cs="Times New Roman"/>
        </w:rPr>
      </w:pPr>
    </w:p>
    <w:p w14:paraId="24B79402" w14:textId="77777777" w:rsidR="006858CD" w:rsidRPr="00413211" w:rsidRDefault="006858CD" w:rsidP="006858CD">
      <w:pPr>
        <w:pStyle w:val="Heading1"/>
        <w:ind w:left="360" w:hanging="360"/>
        <w:rPr>
          <w:rFonts w:ascii="Times New Roman" w:hAnsi="Times New Roman" w:cs="Times New Roman"/>
        </w:rPr>
      </w:pPr>
      <w:r w:rsidRPr="00413211">
        <w:rPr>
          <w:rFonts w:ascii="Times New Roman" w:hAnsi="Times New Roman" w:cs="Times New Roman"/>
        </w:rPr>
        <w:t>Online Methods</w:t>
      </w:r>
    </w:p>
    <w:p w14:paraId="31B5D849" w14:textId="77777777" w:rsidR="006858CD" w:rsidRPr="00413211" w:rsidRDefault="006858CD" w:rsidP="006858CD">
      <w:pPr>
        <w:pStyle w:val="Heading2"/>
        <w:ind w:left="540" w:hanging="540"/>
        <w:rPr>
          <w:rFonts w:ascii="Times New Roman" w:hAnsi="Times New Roman" w:cs="Times New Roman"/>
        </w:rPr>
      </w:pPr>
      <w:r w:rsidRPr="00413211">
        <w:rPr>
          <w:rFonts w:ascii="Times New Roman" w:hAnsi="Times New Roman" w:cs="Times New Roman"/>
        </w:rPr>
        <w:t>Geologic composition</w:t>
      </w:r>
    </w:p>
    <w:p w14:paraId="28372DE8" w14:textId="77777777" w:rsidR="006858CD" w:rsidRPr="00413211" w:rsidRDefault="006858CD" w:rsidP="006858CD">
      <w:pPr>
        <w:rPr>
          <w:rFonts w:ascii="Times New Roman" w:hAnsi="Times New Roman" w:cs="Times New Roman"/>
        </w:rPr>
      </w:pPr>
      <w:r w:rsidRPr="00413211">
        <w:rPr>
          <w:rFonts w:ascii="Times New Roman" w:hAnsi="Times New Roman" w:cs="Times New Roman"/>
        </w:rPr>
        <w:t xml:space="preserve">The geology of the Central Valley aquifer has been well-characterized from ~8,500 lithologic borehole logs, later kriged to become the basis of the Central Valley Hydrologic Model (CVHM) and CVHM-2 released by U.S. Geologic Survey </w:t>
      </w:r>
      <w:r w:rsidRPr="00413211">
        <w:rPr>
          <w:rFonts w:ascii="Times New Roman" w:hAnsi="Times New Roman" w:cs="Times New Roman"/>
        </w:rPr>
        <w:fldChar w:fldCharType="begin"/>
      </w:r>
      <w:r>
        <w:rPr>
          <w:rFonts w:ascii="Times New Roman" w:hAnsi="Times New Roman" w:cs="Times New Roman"/>
        </w:rPr>
        <w:instrText xml:space="preserve"> ADDIN ZOTERO_ITEM CSL_CITATION {"citationID":"JSGnlkkx","properties":{"formattedCitation":"\\super 19\\nosupersub{}","plainCitation":"19","noteIndex":0},"citationItems":[{"id":"Y7RO1E0s/Bub8jQWx","uris":["http://www.mendeley.com/documents/?uuid=6de4d399-8d14-4d09-872d-fac68efe55a7"],"itemData":{"ISBN":"9781411325159","PMID":"15865636","abstract":"Executive Summary Californias Central Valley covers about 20,000 square miles and is one of the most productive agricultural regions in the world. More than 250 different crops are grown in the Central Valley with an estimated value of $17 billion per year. This irrigated agriculture relies heavily on surface-water diversions and groundwater pumpage. Approximately one-sixth of the Nations irrigated land is in the Central Valley, and about one-fifth of the Nations groundwater demand is supplied from its aquifers. The Central Valley also is rapidly becoming an important area for Californias expanding urban population. Since 1980, the population of the Central Valley has nearly doubled from 2 million to 3.8 million people. The Census Bureau projects that the Central Valleys population will increase to 6 million people by 2020. This surge in population has increased the competition for water resources within the Central Valley and statewide, which likely will be exacerbated by anticipated reductions in deliveries of Colorado River water to southern California. In response to this competition for water, a number of water-related issues have gained prominence: conservation of agricultural land, conjunctive use, artificial recharge, hydrologic implications of land-use change, and effects of climate variability. To provide information to stakeholders addressing these issues, the USGS Groundwater Resources Program made a detailed assessment of groundwater availability of the Central Valley aquifer system, that includes: (1) the present status of groundwater resources; (2) how these resources have changed over time; and (3) tools to assess system responses to stresses from future human uses and climate variability and change. This effort builds on previous investigations, such as the USGS Central Valley Regional Aquifer System and Analysis (CV-RASA) project and several other groundwater studies in the Valley completed by Federal, State and local agencies at differing scales. The principal product of this new assessment is a tool referred to as the Central Valley Hydrologic Model (CVHM) that accounts for integrated, variable water supply and demand, and simulates surface-water and groundwater-flow across the entire Central Valley system. The development of the CVHM comprised four major elements: (1) a comprehensive Geographic Information System (GIS) to compile, analyze and visualize data; (2) a texture model to characterize the aquifer system;(3) estimates of wat…","author":[{"dropping-particle":"","family":"Faunt","given":"Claudia C.","non-dropping-particle":"","parse-names":false,"suffix":""},{"dropping-particle":"","family":"Ed.","given":"","non-dropping-particle":"","parse-names":false,"suffix":""}],"container-title":"Program","id":"iP02DDZI/WXFLezrj","issued":{"date-parts":[["2009"]]},"number-of-pages":"1 - 246","title":"Groundwater Availability of the Central Valley Aquifer, California: U.S. Geological Survey Professional paper 1766","type":"book"}}],"schema":"https://github.com/citation-style-language/schema/raw/master/csl-citation.json"} </w:instrText>
      </w:r>
      <w:r w:rsidRPr="00413211">
        <w:rPr>
          <w:rFonts w:ascii="Times New Roman" w:hAnsi="Times New Roman" w:cs="Times New Roman"/>
        </w:rPr>
        <w:fldChar w:fldCharType="separate"/>
      </w:r>
      <w:r w:rsidRPr="004C1908">
        <w:rPr>
          <w:rFonts w:ascii="Times New Roman" w:hAnsi="Times New Roman" w:cs="Times New Roman"/>
          <w:kern w:val="0"/>
          <w:vertAlign w:val="superscript"/>
        </w:rPr>
        <w:t>19</w:t>
      </w:r>
      <w:r w:rsidRPr="00413211">
        <w:rPr>
          <w:rFonts w:ascii="Times New Roman" w:hAnsi="Times New Roman" w:cs="Times New Roman"/>
        </w:rPr>
        <w:fldChar w:fldCharType="end"/>
      </w:r>
      <w:r w:rsidRPr="00413211">
        <w:rPr>
          <w:rFonts w:ascii="Times New Roman" w:hAnsi="Times New Roman" w:cs="Times New Roman"/>
        </w:rPr>
        <w:t xml:space="preserve">. The aquifer is a heterogeneous alluvial aquifer system with confined, semi-confined, and unconfined layers and reaches around 2800 ft below the land surface. </w:t>
      </w:r>
    </w:p>
    <w:p w14:paraId="67E8D866" w14:textId="77777777" w:rsidR="006858CD" w:rsidRPr="00413211" w:rsidRDefault="006858CD" w:rsidP="006858CD">
      <w:pPr>
        <w:rPr>
          <w:rFonts w:ascii="Times New Roman" w:hAnsi="Times New Roman" w:cs="Times New Roman"/>
        </w:rPr>
      </w:pPr>
      <w:r w:rsidRPr="00413211">
        <w:rPr>
          <w:rFonts w:ascii="Times New Roman" w:hAnsi="Times New Roman" w:cs="Times New Roman"/>
        </w:rPr>
        <w:t xml:space="preserve">The CVHM </w:t>
      </w:r>
      <w:proofErr w:type="spellStart"/>
      <w:r w:rsidRPr="00413211">
        <w:rPr>
          <w:rFonts w:ascii="Times New Roman" w:hAnsi="Times New Roman" w:cs="Times New Roman"/>
        </w:rPr>
        <w:t>geotexture</w:t>
      </w:r>
      <w:proofErr w:type="spellEnd"/>
      <w:r w:rsidRPr="00413211">
        <w:rPr>
          <w:rFonts w:ascii="Times New Roman" w:hAnsi="Times New Roman" w:cs="Times New Roman"/>
        </w:rPr>
        <w:t xml:space="preserve"> model has a grid size of 1-mi by 1-mi for the entire Central Valley and is vertically discretized into 10 layers of varying thickness spanning the 2800 ft of aquifer depth. The layers correspond to natural geologic layer divisions down depth, including the division between the Corcoran clay, a thick clay deposit, and other portions of the aquifer. Within the model cell, the borehole lithological data is classified in binary bins of fine-grained (clay, lime, loam, mud, or silt) or coarse-grained (sand, gravel, pebbles, and boulders) </w:t>
      </w:r>
      <w:r w:rsidRPr="00413211">
        <w:rPr>
          <w:rFonts w:ascii="Times New Roman" w:hAnsi="Times New Roman" w:cs="Times New Roman"/>
        </w:rPr>
        <w:fldChar w:fldCharType="begin"/>
      </w:r>
      <w:r>
        <w:rPr>
          <w:rFonts w:ascii="Times New Roman" w:hAnsi="Times New Roman" w:cs="Times New Roman"/>
        </w:rPr>
        <w:instrText xml:space="preserve"> ADDIN ZOTERO_ITEM CSL_CITATION {"citationID":"oaTONKVb","properties":{"formattedCitation":"\\super 23\\uc0\\u8211{}26\\nosupersub{}","plainCitation":"23–26","noteIndex":0},"citationItems":[{"id":1025,"uris":["http://zotero.org/users/4145040/items/5UTTGIYA"],"itemData":{"id":1025,"type":"book","collection-number":"1401","publisher":"US Government Printing Office","source":"Google Scholar","title":"Geology of the fresh ground-water basin of the Central Valley, California: With texture maps and sections","title-short":"Geology of the fresh ground-water basin of the Central Valley, California","author":[{"family":"Page","given":"R. W."}],"issued":{"date-parts":[["1986"]]}}},{"id":1024,"uris":["http://zotero.org/users/4145040/items/MWQVX4QH"],"itemData":{"id":1024,"type":"book","collection-number":"1401","publisher":"US Government Printing Office","source":"Google Scholar","title":"Ground-water flow in the Central Valley, California","author":[{"family":"Williamson","given":"Alex K."},{"family":"Prudic","given":"David E."},{"family":"Swain","given":"Lindsay A."}],"issued":{"date-parts":[["1989"]]}}},{"id":1770,"uris":["http://zotero.org/users/4145040/items/BTMYTMYW"],"itemData":{"id":1770,"type":"article-journal","source":"Google Scholar","title":"Calibration of a Texture-Based Model of a Ground-Water Flow System, Western San Joaquin Valley, California'","URL":"https://www.oieau.fr/eaudoc/system/files/documents/3/18347/18347_doc.pdf","author":[{"family":"Phillips","given":"Steven P."},{"family":"Belitz","given":"Kenneth"}],"accessed":{"date-parts":[["2025",3,12]]},"issued":{"date-parts":[["1991"]]}}},{"id":1772,"uris":["http://zotero.org/users/4145040/items/84VEWUEU"],"itemData":{"id":1772,"type":"book","collection-number":"4","publisher":"US Department of the Interior, US Geological Survey","source":"Google Scholar","title":"Hydrogeologic characterization of the Modesto area, San Joaquin Valley, California","URL":"https://books.google.com/books?hl=en&amp;lr=&amp;id=4kRSAQAAMAAJ&amp;oi=fnd&amp;pg=PA1&amp;dq=burow+2004&amp;ots=I-Iqu_Dcso&amp;sig=CkXN5o-diOedqfpRaXJqlEVQ6eY","author":[{"family":"Burow","given":"Karen R."}],"accessed":{"date-parts":[["2025",3,12]]},"issued":{"date-parts":[["2004"]]}}}],"schema":"https://github.com/citation-style-language/schema/raw/master/csl-citation.json"} </w:instrText>
      </w:r>
      <w:r w:rsidRPr="00413211">
        <w:rPr>
          <w:rFonts w:ascii="Times New Roman" w:hAnsi="Times New Roman" w:cs="Times New Roman"/>
        </w:rPr>
        <w:fldChar w:fldCharType="separate"/>
      </w:r>
      <w:r w:rsidRPr="004C1908">
        <w:rPr>
          <w:rFonts w:ascii="Times New Roman" w:hAnsi="Times New Roman" w:cs="Times New Roman"/>
          <w:kern w:val="0"/>
          <w:vertAlign w:val="superscript"/>
        </w:rPr>
        <w:t>23–26</w:t>
      </w:r>
      <w:r w:rsidRPr="00413211">
        <w:rPr>
          <w:rFonts w:ascii="Times New Roman" w:hAnsi="Times New Roman" w:cs="Times New Roman"/>
        </w:rPr>
        <w:fldChar w:fldCharType="end"/>
      </w:r>
      <w:r w:rsidRPr="00413211">
        <w:rPr>
          <w:rFonts w:ascii="Times New Roman" w:hAnsi="Times New Roman" w:cs="Times New Roman"/>
        </w:rPr>
        <w:t xml:space="preserve">, with the percentages between the two bins calculated in 50 ft vertical segments. Roughly 20,000 model cells are active within the Central Valley. Readers are pointed to Faunt (2009) </w:t>
      </w:r>
      <w:r w:rsidRPr="00413211">
        <w:rPr>
          <w:rFonts w:ascii="Times New Roman" w:hAnsi="Times New Roman" w:cs="Times New Roman"/>
        </w:rPr>
        <w:fldChar w:fldCharType="begin"/>
      </w:r>
      <w:r>
        <w:rPr>
          <w:rFonts w:ascii="Times New Roman" w:hAnsi="Times New Roman" w:cs="Times New Roman"/>
        </w:rPr>
        <w:instrText xml:space="preserve"> ADDIN ZOTERO_ITEM CSL_CITATION {"citationID":"oskESwvo","properties":{"formattedCitation":"\\super 19\\nosupersub{}","plainCitation":"19","noteIndex":0},"citationItems":[{"id":"Y7RO1E0s/Bub8jQWx","uris":["http://www.mendeley.com/documents/?uuid=6de4d399-8d14-4d09-872d-fac68efe55a7"],"itemData":{"ISBN":"9781411325159","PMID":"15865636","abstract":"Executive Summary Californias Central Valley covers about 20,000 square miles and is one of the most productive agricultural regions in the world. More than 250 different crops are grown in the Central Valley with an estimated value of $17 billion per year. This irrigated agriculture relies heavily on surface-water diversions and groundwater pumpage. Approximately one-sixth of the Nations irrigated land is in the Central Valley, and about one-fifth of the Nations groundwater demand is supplied from its aquifers. The Central Valley also is rapidly becoming an important area for Californias expanding urban population. Since 1980, the population of the Central Valley has nearly doubled from 2 million to 3.8 million people. The Census Bureau projects that the Central Valleys population will increase to 6 million people by 2020. This surge in population has increased the competition for water resources within the Central Valley and statewide, which likely will be exacerbated by anticipated reductions in deliveries of Colorado River water to southern California. In response to this competition for water, a number of water-related issues have gained prominence: conservation of agricultural land, conjunctive use, artificial recharge, hydrologic implications of land-use change, and effects of climate variability. To provide information to stakeholders addressing these issues, the USGS Groundwater Resources Program made a detailed assessment of groundwater availability of the Central Valley aquifer system, that includes: (1) the present status of groundwater resources; (2) how these resources have changed over time; and (3) tools to assess system responses to stresses from future human uses and climate variability and change. This effort builds on previous investigations, such as the USGS Central Valley Regional Aquifer System and Analysis (CV-RASA) project and several other groundwater studies in the Valley completed by Federal, State and local agencies at differing scales. The principal product of this new assessment is a tool referred to as the Central Valley Hydrologic Model (CVHM) that accounts for integrated, variable water supply and demand, and simulates surface-water and groundwater-flow across the entire Central Valley system. The development of the CVHM comprised four major elements: (1) a comprehensive Geographic Information System (GIS) to compile, analyze and visualize data; (2) a texture model to characterize the aquifer system;(3) estimates of wat…","author":[{"dropping-particle":"","family":"Faunt","given":"Claudia C.","non-dropping-particle":"","parse-names":false,"suffix":""},{"dropping-particle":"","family":"Ed.","given":"","non-dropping-particle":"","parse-names":false,"suffix":""}],"container-title":"Program","id":"iP02DDZI/WXFLezrj","issued":{"date-parts":[["2009"]]},"number-of-pages":"1 - 246","title":"Groundwater Availability of the Central Valley Aquifer, California: U.S. Geological Survey Professional paper 1766","type":"book"}}],"schema":"https://github.com/citation-style-language/schema/raw/master/csl-citation.json"} </w:instrText>
      </w:r>
      <w:r w:rsidRPr="00413211">
        <w:rPr>
          <w:rFonts w:ascii="Times New Roman" w:hAnsi="Times New Roman" w:cs="Times New Roman"/>
        </w:rPr>
        <w:fldChar w:fldCharType="separate"/>
      </w:r>
      <w:r w:rsidRPr="004C1908">
        <w:rPr>
          <w:rFonts w:ascii="Times New Roman" w:hAnsi="Times New Roman" w:cs="Times New Roman"/>
          <w:kern w:val="0"/>
          <w:vertAlign w:val="superscript"/>
        </w:rPr>
        <w:t>19</w:t>
      </w:r>
      <w:r w:rsidRPr="00413211">
        <w:rPr>
          <w:rFonts w:ascii="Times New Roman" w:hAnsi="Times New Roman" w:cs="Times New Roman"/>
        </w:rPr>
        <w:fldChar w:fldCharType="end"/>
      </w:r>
      <w:r w:rsidRPr="00413211">
        <w:rPr>
          <w:rFonts w:ascii="Times New Roman" w:hAnsi="Times New Roman" w:cs="Times New Roman"/>
        </w:rPr>
        <w:t xml:space="preserve"> for more details on the original </w:t>
      </w:r>
      <w:proofErr w:type="spellStart"/>
      <w:r w:rsidRPr="00413211">
        <w:rPr>
          <w:rFonts w:ascii="Times New Roman" w:hAnsi="Times New Roman" w:cs="Times New Roman"/>
        </w:rPr>
        <w:t>geotexture</w:t>
      </w:r>
      <w:proofErr w:type="spellEnd"/>
      <w:r w:rsidRPr="00413211">
        <w:rPr>
          <w:rFonts w:ascii="Times New Roman" w:hAnsi="Times New Roman" w:cs="Times New Roman"/>
        </w:rPr>
        <w:t xml:space="preserve"> model. Within the neural network model, we used the coarse grain percentage from each model layer (1-10) as the prediction target. While our dataset contains this detailed layer-by-layer information, our broader goal is to predict the average coarse grain percentage across entire formations. This broader metric would enable geologists to estimate subsurface composition in regions where granular stratigraphic data is unavailable, making our model applicable to wider geographic areas with limited geological sampling.</w:t>
      </w:r>
    </w:p>
    <w:p w14:paraId="6AC2A6F4" w14:textId="77777777" w:rsidR="006858CD" w:rsidRPr="00413211" w:rsidRDefault="006858CD" w:rsidP="006858CD">
      <w:pPr>
        <w:rPr>
          <w:rFonts w:ascii="Times New Roman" w:hAnsi="Times New Roman" w:cs="Times New Roman"/>
        </w:rPr>
      </w:pPr>
    </w:p>
    <w:p w14:paraId="488BE00B" w14:textId="77777777" w:rsidR="006858CD" w:rsidRPr="00413211" w:rsidRDefault="006858CD" w:rsidP="006858CD">
      <w:pPr>
        <w:pStyle w:val="Heading2"/>
        <w:ind w:left="540" w:hanging="540"/>
        <w:rPr>
          <w:rFonts w:ascii="Times New Roman" w:hAnsi="Times New Roman" w:cs="Times New Roman"/>
        </w:rPr>
      </w:pPr>
      <w:r w:rsidRPr="00413211">
        <w:rPr>
          <w:rFonts w:ascii="Times New Roman" w:hAnsi="Times New Roman" w:cs="Times New Roman"/>
        </w:rPr>
        <w:t>Sentinel-1 InSAR processing</w:t>
      </w:r>
    </w:p>
    <w:p w14:paraId="391ED412" w14:textId="77777777" w:rsidR="006858CD" w:rsidRPr="00413211" w:rsidRDefault="006858CD" w:rsidP="006858CD">
      <w:pPr>
        <w:rPr>
          <w:rFonts w:ascii="Times New Roman" w:hAnsi="Times New Roman" w:cs="Times New Roman"/>
        </w:rPr>
      </w:pPr>
      <w:r w:rsidRPr="00413211">
        <w:rPr>
          <w:rFonts w:ascii="Times New Roman" w:hAnsi="Times New Roman" w:cs="Times New Roman"/>
        </w:rPr>
        <w:t>Sentinel-1 satellite data of tracks 42 and 144, covering March 1st</w:t>
      </w:r>
      <w:proofErr w:type="gramStart"/>
      <w:r w:rsidRPr="00413211">
        <w:rPr>
          <w:rFonts w:ascii="Times New Roman" w:hAnsi="Times New Roman" w:cs="Times New Roman"/>
        </w:rPr>
        <w:t xml:space="preserve"> 2015</w:t>
      </w:r>
      <w:proofErr w:type="gramEnd"/>
      <w:r w:rsidRPr="00413211">
        <w:rPr>
          <w:rFonts w:ascii="Times New Roman" w:hAnsi="Times New Roman" w:cs="Times New Roman"/>
        </w:rPr>
        <w:t>-August 31st</w:t>
      </w:r>
      <w:proofErr w:type="gramStart"/>
      <w:r w:rsidRPr="00413211">
        <w:rPr>
          <w:rFonts w:ascii="Times New Roman" w:hAnsi="Times New Roman" w:cs="Times New Roman"/>
        </w:rPr>
        <w:t xml:space="preserve"> 2020</w:t>
      </w:r>
      <w:proofErr w:type="gramEnd"/>
      <w:r w:rsidRPr="00413211">
        <w:rPr>
          <w:rFonts w:ascii="Times New Roman" w:hAnsi="Times New Roman" w:cs="Times New Roman"/>
        </w:rPr>
        <w:t>, and November 8th</w:t>
      </w:r>
      <w:proofErr w:type="gramStart"/>
      <w:r w:rsidRPr="00413211">
        <w:rPr>
          <w:rFonts w:ascii="Times New Roman" w:hAnsi="Times New Roman" w:cs="Times New Roman"/>
        </w:rPr>
        <w:t xml:space="preserve"> 2014</w:t>
      </w:r>
      <w:proofErr w:type="gramEnd"/>
      <w:r w:rsidRPr="00413211">
        <w:rPr>
          <w:rFonts w:ascii="Times New Roman" w:hAnsi="Times New Roman" w:cs="Times New Roman"/>
        </w:rPr>
        <w:t>-January 22nd</w:t>
      </w:r>
      <w:proofErr w:type="gramStart"/>
      <w:r w:rsidRPr="00413211">
        <w:rPr>
          <w:rFonts w:ascii="Times New Roman" w:hAnsi="Times New Roman" w:cs="Times New Roman"/>
        </w:rPr>
        <w:t xml:space="preserve"> 2019</w:t>
      </w:r>
      <w:proofErr w:type="gramEnd"/>
      <w:r w:rsidRPr="00413211">
        <w:rPr>
          <w:rFonts w:ascii="Times New Roman" w:hAnsi="Times New Roman" w:cs="Times New Roman"/>
        </w:rPr>
        <w:t xml:space="preserve">, respectively, were processed for vertical land motion. The two tracks collectively cover most of the central and southern portions of the Central Valley, including San Joaquin Valley and the Tulare Basin. Sentinel-1 provides wide-swath mode data over the study region with a regular interval of 12 days and a revisit time as short as 6 days using a Terrain Observation by Progressive Scan (TOPS) technique. </w:t>
      </w:r>
    </w:p>
    <w:p w14:paraId="6EBA9AB7" w14:textId="77777777" w:rsidR="006858CD" w:rsidRPr="00413211" w:rsidRDefault="006858CD" w:rsidP="006858CD">
      <w:pPr>
        <w:rPr>
          <w:rFonts w:ascii="Times New Roman" w:eastAsiaTheme="minorEastAsia" w:hAnsi="Times New Roman" w:cs="Times New Roman"/>
        </w:rPr>
      </w:pPr>
      <w:r w:rsidRPr="00413211">
        <w:rPr>
          <w:rFonts w:ascii="Times New Roman" w:hAnsi="Times New Roman" w:cs="Times New Roman"/>
        </w:rPr>
        <w:t xml:space="preserve">The JPL/Caltech ISCE software was used to generate the Sentienl-1 interferometry. It limited our interferometric pairs to the ones with a temporal baseline of no more than 24 days to mitigate temporal decorrelation. A Sentinel-1 stack processor was then used to co-register all SAR Single Look Complex (SLC) images to the reference geometry and employ the enhanced spectral diversity technique, estimating the azimuth misregistration between SLC images. Each interferogram was then corrected for topographic phase, unwrapped, and geocoded using the </w:t>
      </w:r>
      <w:r w:rsidRPr="00413211">
        <w:rPr>
          <w:rFonts w:ascii="Times New Roman" w:hAnsi="Times New Roman" w:cs="Times New Roman"/>
        </w:rPr>
        <w:lastRenderedPageBreak/>
        <w:t xml:space="preserve">SRTM DEM model. After generating hundreds of unwrapped interferograms for each track, a variant of the small baseline subset InSAR timeseries inversion approach was utilized to solve for line-of-sight displacement time series and velocity. This approach also estimates </w:t>
      </w:r>
      <w:proofErr w:type="gramStart"/>
      <w:r w:rsidRPr="00413211">
        <w:rPr>
          <w:rFonts w:ascii="Times New Roman" w:hAnsi="Times New Roman" w:cs="Times New Roman"/>
        </w:rPr>
        <w:t>the DEM</w:t>
      </w:r>
      <w:proofErr w:type="gramEnd"/>
      <w:r w:rsidRPr="00413211">
        <w:rPr>
          <w:rFonts w:ascii="Times New Roman" w:hAnsi="Times New Roman" w:cs="Times New Roman"/>
        </w:rPr>
        <w:t xml:space="preserve"> error and uses spatiotemporal filtering to suppress high-frequency troposphere noise (Liu et al., 2019). The cumulative displacement at each image date was outputted to a GMT grid and resampled to a ground posting of 2 km </w:t>
      </w:r>
      <m:oMath>
        <m:r>
          <w:rPr>
            <w:rFonts w:ascii="Cambria Math" w:hAnsi="Cambria Math" w:cs="Times New Roman"/>
          </w:rPr>
          <m:t>×</m:t>
        </m:r>
      </m:oMath>
      <w:r w:rsidRPr="00413211">
        <w:rPr>
          <w:rFonts w:ascii="Times New Roman" w:eastAsiaTheme="minorEastAsia" w:hAnsi="Times New Roman" w:cs="Times New Roman"/>
        </w:rPr>
        <w:t xml:space="preserve"> 2 km. </w:t>
      </w:r>
    </w:p>
    <w:p w14:paraId="07CE5911" w14:textId="77777777" w:rsidR="006858CD" w:rsidRPr="00413211" w:rsidRDefault="006858CD" w:rsidP="006858CD">
      <w:pPr>
        <w:pStyle w:val="Heading2"/>
        <w:ind w:left="540" w:hanging="540"/>
        <w:rPr>
          <w:rFonts w:ascii="Times New Roman" w:hAnsi="Times New Roman" w:cs="Times New Roman"/>
        </w:rPr>
      </w:pPr>
      <w:r w:rsidRPr="00413211">
        <w:rPr>
          <w:rFonts w:ascii="Times New Roman" w:hAnsi="Times New Roman" w:cs="Times New Roman"/>
        </w:rPr>
        <w:t>Spatial Classification Based on Temporal Characteristics</w:t>
      </w:r>
    </w:p>
    <w:p w14:paraId="123B9AF3" w14:textId="77777777" w:rsidR="006858CD" w:rsidRPr="00413211" w:rsidRDefault="006858CD" w:rsidP="006858CD">
      <w:pPr>
        <w:rPr>
          <w:rFonts w:ascii="Times New Roman" w:eastAsiaTheme="minorEastAsia" w:hAnsi="Times New Roman" w:cs="Times New Roman"/>
        </w:rPr>
      </w:pPr>
      <w:r w:rsidRPr="00413211">
        <w:rPr>
          <w:rFonts w:ascii="Times New Roman" w:hAnsi="Times New Roman" w:cs="Times New Roman"/>
        </w:rPr>
        <w:t xml:space="preserve">Both InSAR and </w:t>
      </w:r>
      <w:proofErr w:type="spellStart"/>
      <w:r w:rsidRPr="00413211">
        <w:rPr>
          <w:rFonts w:ascii="Times New Roman" w:hAnsi="Times New Roman" w:cs="Times New Roman"/>
        </w:rPr>
        <w:t>geotexure</w:t>
      </w:r>
      <w:proofErr w:type="spellEnd"/>
      <w:r w:rsidRPr="00413211">
        <w:rPr>
          <w:rFonts w:ascii="Times New Roman" w:hAnsi="Times New Roman" w:cs="Times New Roman"/>
        </w:rPr>
        <w:t xml:space="preserve"> data were interpolated into the same spatial grid with 2 km </w:t>
      </w:r>
      <m:oMath>
        <m:r>
          <w:rPr>
            <w:rFonts w:ascii="Cambria Math" w:hAnsi="Cambria Math" w:cs="Times New Roman"/>
          </w:rPr>
          <m:t>×</m:t>
        </m:r>
      </m:oMath>
      <w:r w:rsidRPr="00413211">
        <w:rPr>
          <w:rFonts w:ascii="Times New Roman" w:eastAsiaTheme="minorEastAsia" w:hAnsi="Times New Roman" w:cs="Times New Roman"/>
        </w:rPr>
        <w:t xml:space="preserve"> 2 km grid cells, with the InSAR data interpolated to a discretization of every two weeks. The temporal characteristics of the InSAR signal for each spatial grid were then used to identify regions within the Central Valley with different temporal dynamics (Fig. </w:t>
      </w:r>
      <w:r>
        <w:rPr>
          <w:rFonts w:ascii="Times New Roman" w:eastAsiaTheme="minorEastAsia" w:hAnsi="Times New Roman" w:cs="Times New Roman"/>
        </w:rPr>
        <w:t>S1</w:t>
      </w:r>
      <w:r w:rsidRPr="00413211">
        <w:rPr>
          <w:rFonts w:ascii="Times New Roman" w:eastAsiaTheme="minorEastAsia" w:hAnsi="Times New Roman" w:cs="Times New Roman"/>
        </w:rPr>
        <w:t xml:space="preserve">). Consistent with the general theory of geological behavior, regions with coarser grain </w:t>
      </w:r>
      <w:proofErr w:type="gramStart"/>
      <w:r w:rsidRPr="00413211">
        <w:rPr>
          <w:rFonts w:ascii="Times New Roman" w:eastAsiaTheme="minorEastAsia" w:hAnsi="Times New Roman" w:cs="Times New Roman"/>
        </w:rPr>
        <w:t>percentages  (</w:t>
      </w:r>
      <w:proofErr w:type="gramEnd"/>
      <w:r w:rsidRPr="00413211">
        <w:rPr>
          <w:rFonts w:ascii="Times New Roman" w:eastAsiaTheme="minorEastAsia" w:hAnsi="Times New Roman" w:cs="Times New Roman"/>
        </w:rPr>
        <w:t xml:space="preserve">Fig. </w:t>
      </w:r>
      <w:r>
        <w:rPr>
          <w:rFonts w:ascii="Times New Roman" w:eastAsiaTheme="minorEastAsia" w:hAnsi="Times New Roman" w:cs="Times New Roman"/>
        </w:rPr>
        <w:t>S1</w:t>
      </w:r>
      <w:r w:rsidRPr="00413211">
        <w:rPr>
          <w:rFonts w:ascii="Times New Roman" w:eastAsiaTheme="minorEastAsia" w:hAnsi="Times New Roman" w:cs="Times New Roman"/>
        </w:rPr>
        <w:t xml:space="preserve">B) tended to exhibit the potential for reversible, elastic land compaction as higher frequency temporal variability (i.e., monthly to seasonal) without a </w:t>
      </w:r>
      <w:proofErr w:type="gramStart"/>
      <w:r w:rsidRPr="00413211">
        <w:rPr>
          <w:rFonts w:ascii="Times New Roman" w:eastAsiaTheme="minorEastAsia" w:hAnsi="Times New Roman" w:cs="Times New Roman"/>
        </w:rPr>
        <w:t>long term</w:t>
      </w:r>
      <w:proofErr w:type="gramEnd"/>
      <w:r w:rsidRPr="00413211">
        <w:rPr>
          <w:rFonts w:ascii="Times New Roman" w:eastAsiaTheme="minorEastAsia" w:hAnsi="Times New Roman" w:cs="Times New Roman"/>
        </w:rPr>
        <w:t xml:space="preserve"> trend signal, while regions with higher fine grain percentages (Fig. </w:t>
      </w:r>
      <w:r>
        <w:rPr>
          <w:rFonts w:ascii="Times New Roman" w:eastAsiaTheme="minorEastAsia" w:hAnsi="Times New Roman" w:cs="Times New Roman"/>
        </w:rPr>
        <w:t>S1</w:t>
      </w:r>
      <w:r w:rsidRPr="00413211">
        <w:rPr>
          <w:rFonts w:ascii="Times New Roman" w:eastAsiaTheme="minorEastAsia" w:hAnsi="Times New Roman" w:cs="Times New Roman"/>
        </w:rPr>
        <w:t xml:space="preserve">A) tended to exhibit more interannual and </w:t>
      </w:r>
      <w:proofErr w:type="gramStart"/>
      <w:r w:rsidRPr="00413211">
        <w:rPr>
          <w:rFonts w:ascii="Times New Roman" w:eastAsiaTheme="minorEastAsia" w:hAnsi="Times New Roman" w:cs="Times New Roman"/>
        </w:rPr>
        <w:t>long term</w:t>
      </w:r>
      <w:proofErr w:type="gramEnd"/>
      <w:r w:rsidRPr="00413211">
        <w:rPr>
          <w:rFonts w:ascii="Times New Roman" w:eastAsiaTheme="minorEastAsia" w:hAnsi="Times New Roman" w:cs="Times New Roman"/>
        </w:rPr>
        <w:t xml:space="preserve"> trend behavior temporally.</w:t>
      </w:r>
    </w:p>
    <w:p w14:paraId="13B4117B" w14:textId="77777777" w:rsidR="006858CD" w:rsidRPr="00413211" w:rsidRDefault="006858CD" w:rsidP="006858CD">
      <w:pPr>
        <w:jc w:val="center"/>
        <w:rPr>
          <w:rFonts w:ascii="Times New Roman" w:eastAsiaTheme="minorEastAsia" w:hAnsi="Times New Roman" w:cs="Times New Roman"/>
          <w:b/>
          <w:bCs/>
        </w:rPr>
      </w:pPr>
      <w:r w:rsidRPr="00413211">
        <w:rPr>
          <w:rFonts w:ascii="Times New Roman" w:eastAsiaTheme="minorEastAsia" w:hAnsi="Times New Roman" w:cs="Times New Roman"/>
          <w:b/>
          <w:bCs/>
          <w:noProof/>
          <w14:ligatures w14:val="none"/>
        </w:rPr>
        <w:lastRenderedPageBreak/>
        <w:drawing>
          <wp:inline distT="0" distB="0" distL="0" distR="0" wp14:anchorId="2A16BBBF" wp14:editId="452D5EEF">
            <wp:extent cx="5943600" cy="5543550"/>
            <wp:effectExtent l="0" t="0" r="0" b="6350"/>
            <wp:docPr id="272778946" name="Picture 1" descr="A group of graphs showing the time and time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78946" name="Picture 1" descr="A group of graphs showing the time and time  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5543550"/>
                    </a:xfrm>
                    <a:prstGeom prst="rect">
                      <a:avLst/>
                    </a:prstGeom>
                  </pic:spPr>
                </pic:pic>
              </a:graphicData>
            </a:graphic>
          </wp:inline>
        </w:drawing>
      </w:r>
    </w:p>
    <w:p w14:paraId="7E0F4DCF" w14:textId="77777777" w:rsidR="006858CD" w:rsidRPr="00413211" w:rsidRDefault="006858CD" w:rsidP="006858CD">
      <w:pPr>
        <w:pStyle w:val="Heading3"/>
        <w:rPr>
          <w:rFonts w:ascii="Times New Roman" w:hAnsi="Times New Roman" w:cs="Times New Roman"/>
        </w:rPr>
      </w:pPr>
      <w:r w:rsidRPr="00413211">
        <w:rPr>
          <w:rFonts w:ascii="Times New Roman" w:hAnsi="Times New Roman" w:cs="Times New Roman"/>
          <w:b/>
        </w:rPr>
        <w:lastRenderedPageBreak/>
        <w:t>Fig</w:t>
      </w:r>
      <w:r>
        <w:rPr>
          <w:rFonts w:ascii="Times New Roman" w:hAnsi="Times New Roman" w:cs="Times New Roman"/>
          <w:b/>
        </w:rPr>
        <w:t>.</w:t>
      </w:r>
      <w:r w:rsidRPr="00413211">
        <w:rPr>
          <w:rFonts w:ascii="Times New Roman" w:hAnsi="Times New Roman" w:cs="Times New Roman"/>
          <w:b/>
        </w:rPr>
        <w:t xml:space="preserve"> </w:t>
      </w:r>
      <w:r>
        <w:rPr>
          <w:rFonts w:ascii="Times New Roman" w:hAnsi="Times New Roman" w:cs="Times New Roman"/>
          <w:b/>
        </w:rPr>
        <w:t>S1</w:t>
      </w:r>
      <w:r w:rsidRPr="00413211">
        <w:rPr>
          <w:rFonts w:ascii="Times New Roman" w:hAnsi="Times New Roman" w:cs="Times New Roman"/>
        </w:rPr>
        <w:t xml:space="preserve">. Two representative regions of the Central Valley with significant subsidence with different characteristics. Groundwater data from the National Water Information System and precipitation from PRISM Climate Data support the surface movement trends. (A) Chowchilla with monotonically decreasing land displacements, less fluctuating groundwater depth, relatively low precipitation, and high fine-grain ratio across the middle CVHM model layers (Displacement = -22.47 ± 10.66, Groundwater (ft) = 95.53 ± 27.69, Rain (mm) = 0.84 ± 0.80, Coarse Grain (%) = 27.44 ± 10.13). (B) Helm with fluctuating land displacements, relatively large seasonal changes in groundwater depth, high precipitation, and a higher overall coarse-grain ratio across all CVHM model layers (Displacement = -40.95 ± 14.49, Groundwater (ft) =160.52 ± 65.82, Rain (mm) = 3.48 ± 3.15, Coarse Grain (%) = 40.01 ± 1.67). </w:t>
      </w:r>
    </w:p>
    <w:p w14:paraId="2C28EBE5" w14:textId="77777777" w:rsidR="006858CD" w:rsidRPr="00413211" w:rsidRDefault="006858CD" w:rsidP="006858CD">
      <w:pPr>
        <w:rPr>
          <w:rFonts w:ascii="Times New Roman" w:hAnsi="Times New Roman" w:cs="Times New Roman"/>
        </w:rPr>
      </w:pPr>
    </w:p>
    <w:p w14:paraId="38EE8709" w14:textId="77777777" w:rsidR="006858CD" w:rsidRPr="00413211" w:rsidRDefault="006858CD" w:rsidP="006858CD">
      <w:pPr>
        <w:pStyle w:val="Heading1"/>
        <w:ind w:left="360" w:hanging="360"/>
        <w:rPr>
          <w:rFonts w:ascii="Times New Roman" w:hAnsi="Times New Roman" w:cs="Times New Roman"/>
        </w:rPr>
      </w:pPr>
      <w:r w:rsidRPr="00413211">
        <w:rPr>
          <w:rFonts w:ascii="Times New Roman" w:hAnsi="Times New Roman" w:cs="Times New Roman"/>
        </w:rPr>
        <w:t>Geologic Composition Estimation Model</w:t>
      </w:r>
    </w:p>
    <w:p w14:paraId="31BF2BC1" w14:textId="77777777" w:rsidR="006858CD" w:rsidRPr="00413211" w:rsidRDefault="006858CD" w:rsidP="006858CD">
      <w:pPr>
        <w:pStyle w:val="NormalWeb"/>
      </w:pPr>
      <w:r w:rsidRPr="00413211">
        <w:t>We used a fully connected multi-layer feedforward neural network to model long-term ground subsidence patterns in California's Central Valley. Each input sample consisted of a time series of biweekly InSAR-derived subsidence measurements over a five-year period, yielding 132 data points per location. The input time series was flattened into a single vector and fed into the network, which was designed to learn nonlinear mappings from surface displacement patterns to underlying geological properties derived from the Central Valley Hydrologic Model (CVHM).</w:t>
      </w:r>
    </w:p>
    <w:p w14:paraId="0DFE4988" w14:textId="77777777" w:rsidR="006858CD" w:rsidRPr="00413211" w:rsidRDefault="006858CD" w:rsidP="006858CD">
      <w:pPr>
        <w:pStyle w:val="NormalWeb"/>
      </w:pPr>
      <w:r w:rsidRPr="00413211">
        <w:t xml:space="preserve">The network architecture began with an input layer of 132 units, corresponding to the number of biweekly measurements. This was followed by a dense layer with 256 units and a </w:t>
      </w:r>
      <w:proofErr w:type="spellStart"/>
      <w:r w:rsidRPr="00413211">
        <w:t>ReLU</w:t>
      </w:r>
      <w:proofErr w:type="spellEnd"/>
      <w:r w:rsidRPr="00413211">
        <w:t xml:space="preserve"> activation function, accompanied by batch normalization and a dropout rate of 0.3 to prevent overfitting. The second layer reduced the dimensionality to 128 units, again using </w:t>
      </w:r>
      <w:proofErr w:type="spellStart"/>
      <w:r w:rsidRPr="00413211">
        <w:t>ReLU</w:t>
      </w:r>
      <w:proofErr w:type="spellEnd"/>
      <w:r w:rsidRPr="00413211">
        <w:t xml:space="preserve"> activation and regularized with batch normalization and dropout. The third and fourth layers further reduced the feature space to 64 and 32 units, respectively, each with </w:t>
      </w:r>
      <w:proofErr w:type="spellStart"/>
      <w:r w:rsidRPr="00413211">
        <w:t>ReLU</w:t>
      </w:r>
      <w:proofErr w:type="spellEnd"/>
      <w:r w:rsidRPr="00413211">
        <w:t xml:space="preserve"> activations. The final output layer used a linear activation function to produce continuous-valued predictions of the target soil property.</w:t>
      </w:r>
    </w:p>
    <w:p w14:paraId="6F57A5A5" w14:textId="77777777" w:rsidR="006858CD" w:rsidRPr="00413211" w:rsidRDefault="006858CD" w:rsidP="006858CD">
      <w:pPr>
        <w:pStyle w:val="NormalWeb"/>
      </w:pPr>
      <w:r w:rsidRPr="00413211">
        <w:t>Model training was performed using the Adam optimizer with a learning rate of 0.001 and mean squared error as the loss function. Early stopping was employed to prevent overfitting by monitoring validation loss. The model was trained for up to 200 epochs with a batch size of 64. Input features were normalized using Min-Max scaling to ensure stable convergence during training. The model’s predictions were benchmarked against reference values obtained from CVHM, enabling a quantitative assessment of its ability to recover subsurface geological composition from surface deformation data.</w:t>
      </w:r>
    </w:p>
    <w:p w14:paraId="107A9079" w14:textId="77777777" w:rsidR="006858CD" w:rsidRPr="00413211" w:rsidRDefault="006858CD" w:rsidP="006858CD">
      <w:pPr>
        <w:tabs>
          <w:tab w:val="left" w:pos="2032"/>
        </w:tabs>
        <w:rPr>
          <w:rFonts w:ascii="Times New Roman" w:hAnsi="Times New Roman" w:cs="Times New Roman"/>
        </w:rPr>
      </w:pPr>
    </w:p>
    <w:p w14:paraId="49052A3A" w14:textId="77777777" w:rsidR="006858CD" w:rsidRPr="00413211" w:rsidRDefault="006858CD" w:rsidP="006858CD">
      <w:pPr>
        <w:jc w:val="center"/>
        <w:rPr>
          <w:rFonts w:ascii="Times New Roman" w:hAnsi="Times New Roman" w:cs="Times New Roman"/>
        </w:rPr>
      </w:pPr>
      <w:r w:rsidRPr="00413211">
        <w:rPr>
          <w:rFonts w:ascii="Times New Roman" w:hAnsi="Times New Roman" w:cs="Times New Roman"/>
          <w:noProof/>
        </w:rPr>
        <w:lastRenderedPageBreak/>
        <w:drawing>
          <wp:inline distT="0" distB="0" distL="0" distR="0" wp14:anchorId="789FDAC7" wp14:editId="2798E9F9">
            <wp:extent cx="5269117" cy="6791869"/>
            <wp:effectExtent l="0" t="0" r="1905" b="3175"/>
            <wp:docPr id="390497424" name="Picture 1" descr="A screenshot of a computer generated imag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497424" name="Picture 1" descr="A screenshot of a computer generated image  AI-generated content may be incorrect."/>
                    <pic:cNvPicPr/>
                  </pic:nvPicPr>
                  <pic:blipFill>
                    <a:blip r:embed="rId6"/>
                    <a:stretch>
                      <a:fillRect/>
                    </a:stretch>
                  </pic:blipFill>
                  <pic:spPr>
                    <a:xfrm>
                      <a:off x="0" y="0"/>
                      <a:ext cx="5275461" cy="6800046"/>
                    </a:xfrm>
                    <a:prstGeom prst="rect">
                      <a:avLst/>
                    </a:prstGeom>
                  </pic:spPr>
                </pic:pic>
              </a:graphicData>
            </a:graphic>
          </wp:inline>
        </w:drawing>
      </w:r>
    </w:p>
    <w:p w14:paraId="6631DCB8" w14:textId="77777777" w:rsidR="006858CD" w:rsidRPr="00413211" w:rsidRDefault="006858CD" w:rsidP="006858CD">
      <w:pPr>
        <w:pStyle w:val="NormalWeb"/>
      </w:pPr>
      <w:r w:rsidRPr="00413211">
        <w:rPr>
          <w:b/>
          <w:bCs/>
          <w:sz w:val="20"/>
          <w:szCs w:val="20"/>
        </w:rPr>
        <w:t>Fig</w:t>
      </w:r>
      <w:r>
        <w:rPr>
          <w:b/>
          <w:bCs/>
          <w:sz w:val="20"/>
          <w:szCs w:val="20"/>
        </w:rPr>
        <w:t>.</w:t>
      </w:r>
      <w:r w:rsidRPr="00413211">
        <w:rPr>
          <w:b/>
          <w:bCs/>
          <w:sz w:val="20"/>
          <w:szCs w:val="20"/>
        </w:rPr>
        <w:t xml:space="preserve"> S</w:t>
      </w:r>
      <w:r>
        <w:rPr>
          <w:b/>
          <w:bCs/>
          <w:sz w:val="20"/>
          <w:szCs w:val="20"/>
        </w:rPr>
        <w:t>2</w:t>
      </w:r>
      <w:r w:rsidRPr="00413211">
        <w:rPr>
          <w:b/>
          <w:bCs/>
          <w:sz w:val="20"/>
          <w:szCs w:val="20"/>
        </w:rPr>
        <w:t>.</w:t>
      </w:r>
      <w:r w:rsidRPr="00413211">
        <w:rPr>
          <w:sz w:val="20"/>
          <w:szCs w:val="20"/>
        </w:rPr>
        <w:t xml:space="preserve"> Coarse Grain % from CVHM of each layer from 1 to 5 in northern and southern Central Valley regions. Note that by depth, some model cells from the original CVHM are not active regions of groundwater flow and the layers do not perfectly coincide in geometry. Compared to other layers (1-3), layer 4 has fine-grained clay regions (blue) that are in high contrast to other coarser-grained areas, which may be attributed to higher errors when the sampling distance increases.</w:t>
      </w:r>
    </w:p>
    <w:p w14:paraId="21ED5D08" w14:textId="77777777" w:rsidR="006858CD" w:rsidRPr="00413211" w:rsidRDefault="006858CD" w:rsidP="006858CD">
      <w:pPr>
        <w:rPr>
          <w:rFonts w:ascii="Times New Roman" w:hAnsi="Times New Roman" w:cs="Times New Roman"/>
        </w:rPr>
      </w:pPr>
    </w:p>
    <w:p w14:paraId="396B060C" w14:textId="77777777" w:rsidR="00A91650" w:rsidRDefault="00A91650"/>
    <w:sectPr w:rsidR="00A91650" w:rsidSect="006858CD">
      <w:headerReference w:type="default" r:id="rId7"/>
      <w:footerReference w:type="even" r:id="rId8"/>
      <w:footerReference w:type="default" r:id="rId9"/>
      <w:pgSz w:w="12240" w:h="15840"/>
      <w:pgMar w:top="1440" w:right="1440" w:bottom="1440" w:left="1440" w:header="720" w:footer="720" w:gutter="0"/>
      <w:lnNumType w:countBy="1" w:restart="continuou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39730916"/>
      <w:docPartObj>
        <w:docPartGallery w:val="Page Numbers (Bottom of Page)"/>
        <w:docPartUnique/>
      </w:docPartObj>
    </w:sdtPr>
    <w:sdtContent>
      <w:p w14:paraId="2F1A0C31" w14:textId="77777777" w:rsidR="006858CD" w:rsidRDefault="006858CD" w:rsidP="00756D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5292F6" w14:textId="77777777" w:rsidR="006858CD" w:rsidRDefault="006858CD" w:rsidP="00517E3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32567087"/>
      <w:docPartObj>
        <w:docPartGallery w:val="Page Numbers (Bottom of Page)"/>
        <w:docPartUnique/>
      </w:docPartObj>
    </w:sdtPr>
    <w:sdtContent>
      <w:p w14:paraId="7D1B34E0" w14:textId="77777777" w:rsidR="006858CD" w:rsidRDefault="006858CD" w:rsidP="00756D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7C85E34" w14:textId="77777777" w:rsidR="006858CD" w:rsidRDefault="006858CD" w:rsidP="00517E38">
    <w:pPr>
      <w:pStyle w:val="Foote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4BBAB" w14:textId="77777777" w:rsidR="006858CD" w:rsidRDefault="006858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8CD"/>
    <w:rsid w:val="000E2C30"/>
    <w:rsid w:val="000E2EDD"/>
    <w:rsid w:val="006858CD"/>
    <w:rsid w:val="00A91650"/>
    <w:rsid w:val="00CD53DF"/>
    <w:rsid w:val="00E559FE"/>
    <w:rsid w:val="00E633F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4D336"/>
  <w15:chartTrackingRefBased/>
  <w15:docId w15:val="{D363BB2E-991C-4E91-87EC-D13381CA8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8CD"/>
    <w:pPr>
      <w:spacing w:before="240" w:after="0" w:line="240" w:lineRule="auto"/>
    </w:pPr>
    <w:rPr>
      <w:rFonts w:ascii="Times" w:hAnsi="Times" w:cs="Times"/>
      <w:lang w:val="en-US" w:eastAsia="ko-KR"/>
    </w:rPr>
  </w:style>
  <w:style w:type="paragraph" w:styleId="Heading1">
    <w:name w:val="heading 1"/>
    <w:basedOn w:val="Normal"/>
    <w:next w:val="Normal"/>
    <w:link w:val="Heading1Char"/>
    <w:uiPriority w:val="9"/>
    <w:qFormat/>
    <w:rsid w:val="006858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858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858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58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58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58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58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58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58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8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858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858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58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58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58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58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58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58CD"/>
    <w:rPr>
      <w:rFonts w:eastAsiaTheme="majorEastAsia" w:cstheme="majorBidi"/>
      <w:color w:val="272727" w:themeColor="text1" w:themeTint="D8"/>
    </w:rPr>
  </w:style>
  <w:style w:type="paragraph" w:styleId="Title">
    <w:name w:val="Title"/>
    <w:basedOn w:val="Normal"/>
    <w:next w:val="Normal"/>
    <w:link w:val="TitleChar"/>
    <w:uiPriority w:val="10"/>
    <w:qFormat/>
    <w:rsid w:val="006858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58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58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58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58CD"/>
    <w:pPr>
      <w:spacing w:before="160"/>
      <w:jc w:val="center"/>
    </w:pPr>
    <w:rPr>
      <w:i/>
      <w:iCs/>
      <w:color w:val="404040" w:themeColor="text1" w:themeTint="BF"/>
    </w:rPr>
  </w:style>
  <w:style w:type="character" w:customStyle="1" w:styleId="QuoteChar">
    <w:name w:val="Quote Char"/>
    <w:basedOn w:val="DefaultParagraphFont"/>
    <w:link w:val="Quote"/>
    <w:uiPriority w:val="29"/>
    <w:rsid w:val="006858CD"/>
    <w:rPr>
      <w:i/>
      <w:iCs/>
      <w:color w:val="404040" w:themeColor="text1" w:themeTint="BF"/>
    </w:rPr>
  </w:style>
  <w:style w:type="paragraph" w:styleId="ListParagraph">
    <w:name w:val="List Paragraph"/>
    <w:basedOn w:val="Normal"/>
    <w:uiPriority w:val="34"/>
    <w:qFormat/>
    <w:rsid w:val="006858CD"/>
    <w:pPr>
      <w:ind w:left="720"/>
      <w:contextualSpacing/>
    </w:pPr>
  </w:style>
  <w:style w:type="character" w:styleId="IntenseEmphasis">
    <w:name w:val="Intense Emphasis"/>
    <w:basedOn w:val="DefaultParagraphFont"/>
    <w:uiPriority w:val="21"/>
    <w:qFormat/>
    <w:rsid w:val="006858CD"/>
    <w:rPr>
      <w:i/>
      <w:iCs/>
      <w:color w:val="0F4761" w:themeColor="accent1" w:themeShade="BF"/>
    </w:rPr>
  </w:style>
  <w:style w:type="paragraph" w:styleId="IntenseQuote">
    <w:name w:val="Intense Quote"/>
    <w:basedOn w:val="Normal"/>
    <w:next w:val="Normal"/>
    <w:link w:val="IntenseQuoteChar"/>
    <w:uiPriority w:val="30"/>
    <w:qFormat/>
    <w:rsid w:val="006858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58CD"/>
    <w:rPr>
      <w:i/>
      <w:iCs/>
      <w:color w:val="0F4761" w:themeColor="accent1" w:themeShade="BF"/>
    </w:rPr>
  </w:style>
  <w:style w:type="character" w:styleId="IntenseReference">
    <w:name w:val="Intense Reference"/>
    <w:basedOn w:val="DefaultParagraphFont"/>
    <w:uiPriority w:val="32"/>
    <w:qFormat/>
    <w:rsid w:val="006858CD"/>
    <w:rPr>
      <w:b/>
      <w:bCs/>
      <w:smallCaps/>
      <w:color w:val="0F4761" w:themeColor="accent1" w:themeShade="BF"/>
      <w:spacing w:val="5"/>
    </w:rPr>
  </w:style>
  <w:style w:type="paragraph" w:styleId="Header">
    <w:name w:val="header"/>
    <w:basedOn w:val="Normal"/>
    <w:link w:val="HeaderChar"/>
    <w:uiPriority w:val="99"/>
    <w:unhideWhenUsed/>
    <w:rsid w:val="006858CD"/>
    <w:pPr>
      <w:tabs>
        <w:tab w:val="center" w:pos="4680"/>
        <w:tab w:val="right" w:pos="9360"/>
      </w:tabs>
    </w:pPr>
    <w:rPr>
      <w:rFonts w:eastAsiaTheme="minorEastAsia"/>
      <w:kern w:val="0"/>
      <w14:ligatures w14:val="none"/>
    </w:rPr>
  </w:style>
  <w:style w:type="character" w:customStyle="1" w:styleId="HeaderChar">
    <w:name w:val="Header Char"/>
    <w:basedOn w:val="DefaultParagraphFont"/>
    <w:link w:val="Header"/>
    <w:uiPriority w:val="99"/>
    <w:rsid w:val="006858CD"/>
    <w:rPr>
      <w:rFonts w:ascii="Times" w:eastAsiaTheme="minorEastAsia" w:hAnsi="Times" w:cs="Times"/>
      <w:kern w:val="0"/>
      <w:lang w:val="en-US" w:eastAsia="ko-KR"/>
      <w14:ligatures w14:val="none"/>
    </w:rPr>
  </w:style>
  <w:style w:type="paragraph" w:styleId="Footer">
    <w:name w:val="footer"/>
    <w:basedOn w:val="Normal"/>
    <w:link w:val="FooterChar"/>
    <w:uiPriority w:val="99"/>
    <w:unhideWhenUsed/>
    <w:rsid w:val="006858CD"/>
    <w:pPr>
      <w:tabs>
        <w:tab w:val="center" w:pos="4680"/>
        <w:tab w:val="right" w:pos="9360"/>
      </w:tabs>
    </w:pPr>
    <w:rPr>
      <w:rFonts w:eastAsiaTheme="minorEastAsia"/>
      <w:kern w:val="0"/>
      <w14:ligatures w14:val="none"/>
    </w:rPr>
  </w:style>
  <w:style w:type="character" w:customStyle="1" w:styleId="FooterChar">
    <w:name w:val="Footer Char"/>
    <w:basedOn w:val="DefaultParagraphFont"/>
    <w:link w:val="Footer"/>
    <w:uiPriority w:val="99"/>
    <w:rsid w:val="006858CD"/>
    <w:rPr>
      <w:rFonts w:ascii="Times" w:eastAsiaTheme="minorEastAsia" w:hAnsi="Times" w:cs="Times"/>
      <w:kern w:val="0"/>
      <w:lang w:val="en-US" w:eastAsia="ko-KR"/>
      <w14:ligatures w14:val="none"/>
    </w:rPr>
  </w:style>
  <w:style w:type="paragraph" w:styleId="NormalWeb">
    <w:name w:val="Normal (Web)"/>
    <w:basedOn w:val="Normal"/>
    <w:uiPriority w:val="99"/>
    <w:semiHidden/>
    <w:unhideWhenUsed/>
    <w:rsid w:val="006858CD"/>
    <w:pPr>
      <w:spacing w:before="100" w:beforeAutospacing="1" w:after="100" w:afterAutospacing="1"/>
    </w:pPr>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6858CD"/>
  </w:style>
  <w:style w:type="character" w:styleId="LineNumber">
    <w:name w:val="line number"/>
    <w:basedOn w:val="DefaultParagraphFont"/>
    <w:uiPriority w:val="99"/>
    <w:semiHidden/>
    <w:unhideWhenUsed/>
    <w:rsid w:val="006858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2487</Words>
  <Characters>14178</Characters>
  <Application>Microsoft Office Word</Application>
  <DocSecurity>0</DocSecurity>
  <Lines>118</Lines>
  <Paragraphs>33</Paragraphs>
  <ScaleCrop>false</ScaleCrop>
  <Company/>
  <LinksUpToDate>false</LinksUpToDate>
  <CharactersWithSpaces>16632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Amruta Dange</dc:creator>
  <cp:keywords/>
  <dc:description/>
  <cp:lastModifiedBy>Amruta Dange</cp:lastModifiedBy>
  <cp:revision>1</cp:revision>
  <dcterms:created xsi:type="dcterms:W3CDTF">2026-10-05T18:06:00Z</dcterms:created>
  <dcterms:modified xsi:type="dcterms:W3CDTF">2026-10-05T18:06:00Z</dcterms:modified>
</cp:coreProperties>
</file>