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5EFD8" w14:textId="675649E4" w:rsidR="00DC6861" w:rsidRPr="00156F28" w:rsidRDefault="00DC6861" w:rsidP="00156F28">
      <w:pPr>
        <w:pStyle w:val="Heading2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7792FD5F" w14:textId="4839513F" w:rsidR="00156F28" w:rsidRPr="00156F28" w:rsidRDefault="00156F28" w:rsidP="00156F28">
      <w:pPr>
        <w:pStyle w:val="Caption"/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156F28">
        <w:rPr>
          <w:rFonts w:ascii="Times New Roman" w:hAnsi="Times New Roman" w:cs="Times New Roman"/>
          <w:sz w:val="24"/>
          <w:szCs w:val="24"/>
        </w:rPr>
        <w:t>Supplementary</w:t>
      </w:r>
      <w:r w:rsidRPr="00156F28">
        <w:rPr>
          <w:rFonts w:ascii="Times New Roman" w:hAnsi="Times New Roman" w:cs="Times New Roman"/>
          <w:sz w:val="24"/>
          <w:szCs w:val="24"/>
        </w:rPr>
        <w:t xml:space="preserve"> Table </w:t>
      </w:r>
      <w:r w:rsidRPr="00156F28">
        <w:rPr>
          <w:rFonts w:ascii="Times New Roman" w:hAnsi="Times New Roman" w:cs="Times New Roman"/>
          <w:sz w:val="24"/>
          <w:szCs w:val="24"/>
        </w:rPr>
        <w:fldChar w:fldCharType="begin"/>
      </w:r>
      <w:r w:rsidRPr="00156F28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156F28">
        <w:rPr>
          <w:rFonts w:ascii="Times New Roman" w:hAnsi="Times New Roman" w:cs="Times New Roman"/>
          <w:sz w:val="24"/>
          <w:szCs w:val="24"/>
        </w:rPr>
        <w:fldChar w:fldCharType="separate"/>
      </w:r>
      <w:r w:rsidRPr="00156F28">
        <w:rPr>
          <w:rFonts w:ascii="Times New Roman" w:hAnsi="Times New Roman" w:cs="Times New Roman"/>
          <w:noProof/>
          <w:sz w:val="24"/>
          <w:szCs w:val="24"/>
        </w:rPr>
        <w:t>1</w:t>
      </w:r>
      <w:r w:rsidRPr="00156F28">
        <w:rPr>
          <w:rFonts w:ascii="Times New Roman" w:hAnsi="Times New Roman" w:cs="Times New Roman"/>
          <w:sz w:val="24"/>
          <w:szCs w:val="24"/>
        </w:rPr>
        <w:fldChar w:fldCharType="end"/>
      </w:r>
      <w:r w:rsidRPr="00156F28">
        <w:rPr>
          <w:rFonts w:ascii="Times New Roman" w:hAnsi="Times New Roman" w:cs="Times New Roman"/>
          <w:sz w:val="24"/>
          <w:szCs w:val="24"/>
        </w:rPr>
        <w:t>. Sensitivity analysis comparing log-transformed and raw MVPA specifications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56"/>
        <w:gridCol w:w="3442"/>
        <w:gridCol w:w="3430"/>
      </w:tblGrid>
      <w:tr w:rsidR="00DC6861" w:rsidRPr="00156F28" w14:paraId="2A3BE681" w14:textId="77777777">
        <w:trPr>
          <w:tblHeader/>
          <w:jc w:val="center"/>
        </w:trPr>
        <w:tc>
          <w:tcPr>
            <w:tcW w:w="385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F150D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b/>
                <w:color w:val="000000"/>
              </w:rPr>
              <w:t>Parameter/path</w:t>
            </w:r>
          </w:p>
        </w:tc>
        <w:tc>
          <w:tcPr>
            <w:tcW w:w="344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5690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b/>
                <w:color w:val="000000"/>
              </w:rPr>
              <w:t>Primary model: log1p(MVPA)</w:t>
            </w:r>
          </w:p>
        </w:tc>
        <w:tc>
          <w:tcPr>
            <w:tcW w:w="34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086B0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b/>
                <w:color w:val="000000"/>
              </w:rPr>
              <w:t>Sensitivity model: raw MVPA</w:t>
            </w:r>
          </w:p>
        </w:tc>
      </w:tr>
      <w:tr w:rsidR="00DC6861" w:rsidRPr="00156F28" w14:paraId="492F4BE4" w14:textId="77777777">
        <w:trPr>
          <w:jc w:val="center"/>
        </w:trPr>
        <w:tc>
          <w:tcPr>
            <w:tcW w:w="385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B12A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Academic Pressure → MVPA</w:t>
            </w:r>
          </w:p>
        </w:tc>
        <w:tc>
          <w:tcPr>
            <w:tcW w:w="344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76AFB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−0.222; p &lt; 0.001</w:t>
            </w:r>
          </w:p>
        </w:tc>
        <w:tc>
          <w:tcPr>
            <w:tcW w:w="34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FE70B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−0.343; p &lt; 0.001</w:t>
            </w:r>
          </w:p>
        </w:tc>
      </w:tr>
      <w:tr w:rsidR="00DC6861" w:rsidRPr="00156F28" w14:paraId="184B2E04" w14:textId="77777777">
        <w:trPr>
          <w:jc w:val="center"/>
        </w:trPr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3AD4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MVPA → BMI</w:t>
            </w:r>
          </w:p>
        </w:tc>
        <w:tc>
          <w:tcPr>
            <w:tcW w:w="34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0980E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−0.044; p = 0.141</w:t>
            </w:r>
          </w:p>
        </w:tc>
        <w:tc>
          <w:tcPr>
            <w:tcW w:w="3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61E0A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−0.115; p &lt; 0.001</w:t>
            </w:r>
          </w:p>
        </w:tc>
      </w:tr>
      <w:tr w:rsidR="00DC6861" w:rsidRPr="00156F28" w14:paraId="3788CA82" w14:textId="77777777">
        <w:trPr>
          <w:jc w:val="center"/>
        </w:trPr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14C4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Academic Pressure → MVPA → BMI</w:t>
            </w:r>
          </w:p>
        </w:tc>
        <w:tc>
          <w:tcPr>
            <w:tcW w:w="34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6575A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0.010; p = 0.158</w:t>
            </w:r>
          </w:p>
        </w:tc>
        <w:tc>
          <w:tcPr>
            <w:tcW w:w="3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1B9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0.015; p &lt; 0.001</w:t>
            </w:r>
          </w:p>
        </w:tc>
      </w:tr>
      <w:tr w:rsidR="00DC6861" w:rsidRPr="00156F28" w14:paraId="3E6FA0A1" w14:textId="77777777">
        <w:trPr>
          <w:jc w:val="center"/>
        </w:trPr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AED4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Total indirect association</w:t>
            </w:r>
          </w:p>
        </w:tc>
        <w:tc>
          <w:tcPr>
            <w:tcW w:w="34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A714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0.018; p = 0.054</w:t>
            </w:r>
          </w:p>
        </w:tc>
        <w:tc>
          <w:tcPr>
            <w:tcW w:w="3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E563F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β = 0.023; p = 0.005</w:t>
            </w:r>
          </w:p>
        </w:tc>
      </w:tr>
      <w:tr w:rsidR="00DC6861" w:rsidRPr="00156F28" w14:paraId="20122343" w14:textId="77777777">
        <w:trPr>
          <w:jc w:val="center"/>
        </w:trPr>
        <w:tc>
          <w:tcPr>
            <w:tcW w:w="385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0FFC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R² — BMI</w:t>
            </w:r>
          </w:p>
        </w:tc>
        <w:tc>
          <w:tcPr>
            <w:tcW w:w="344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2C09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12.4%</w:t>
            </w:r>
          </w:p>
        </w:tc>
        <w:tc>
          <w:tcPr>
            <w:tcW w:w="34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227EB" w14:textId="77777777" w:rsidR="00DC6861" w:rsidRPr="00156F2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156F28">
              <w:rPr>
                <w:rFonts w:ascii="Times New Roman" w:eastAsia="Helvetica" w:hAnsi="Times New Roman" w:cs="Times New Roman"/>
                <w:color w:val="000000"/>
              </w:rPr>
              <w:t>13.4%</w:t>
            </w:r>
          </w:p>
        </w:tc>
      </w:tr>
    </w:tbl>
    <w:p w14:paraId="72DF805A" w14:textId="77777777" w:rsidR="00DC6861" w:rsidRPr="00156F28" w:rsidRDefault="00000000">
      <w:pPr>
        <w:rPr>
          <w:rFonts w:ascii="Times New Roman" w:hAnsi="Times New Roman" w:cs="Times New Roman"/>
        </w:rPr>
      </w:pPr>
      <w:r w:rsidRPr="00156F28">
        <w:rPr>
          <w:rFonts w:ascii="Times New Roman" w:hAnsi="Times New Roman" w:cs="Times New Roman"/>
        </w:rPr>
        <w:t>Note. β = standardized coefficient; MVPA = moderate-to-vigorous physical activity. The primary model used log1p(MVPA) because MVPA was highly right-skewed and included a substantial proportion of zero values. The sensitivity model used raw MVPA.</w:t>
      </w:r>
    </w:p>
    <w:sectPr w:rsidR="00DC6861" w:rsidRPr="00156F2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4178059">
    <w:abstractNumId w:val="1"/>
  </w:num>
  <w:num w:numId="2" w16cid:durableId="678654598">
    <w:abstractNumId w:val="2"/>
  </w:num>
  <w:num w:numId="3" w16cid:durableId="19972177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56F28"/>
    <w:rsid w:val="001C0A13"/>
    <w:rsid w:val="001D75AB"/>
    <w:rsid w:val="0035146C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DC6861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10D4DF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Caption">
    <w:name w:val="caption"/>
    <w:basedOn w:val="Normal"/>
    <w:next w:val="Normal"/>
    <w:uiPriority w:val="35"/>
    <w:unhideWhenUsed/>
    <w:qFormat/>
    <w:rsid w:val="00156F2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Mohammad Hamid Al Muktadir</cp:lastModifiedBy>
  <cp:revision>10</cp:revision>
  <dcterms:created xsi:type="dcterms:W3CDTF">2017-02-28T11:18:00Z</dcterms:created>
  <dcterms:modified xsi:type="dcterms:W3CDTF">2026-09-13T20:22:00Z</dcterms:modified>
  <cp:category/>
</cp:coreProperties>
</file>