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Times New Roman" w:hAnsi="Times New Roman"/>
          <w:b/>
          <w:sz w:val="28"/>
        </w:rPr>
        <w:t>Additional file 2. Comparison of score improvements between the two teaching sessions</w:t>
      </w:r>
    </w:p>
    <w:p>
      <w:pPr>
        <w:spacing w:after="120"/>
      </w:pPr>
      <w:r>
        <w:rPr>
          <w:rFonts w:ascii="Times New Roman" w:hAnsi="Times New Roman"/>
          <w:b/>
          <w:sz w:val="24"/>
        </w:rPr>
        <w:t>Table S1. Comparison of score improvements between teaching sessions 1 and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  <w:sz w:val="20"/>
              </w:rPr>
              <w:t>Domain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  <w:sz w:val="20"/>
              </w:rPr>
              <w:t>Question summary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  <w:sz w:val="20"/>
              </w:rPr>
              <w:t>Session 1 (n = 24)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  <w:sz w:val="20"/>
              </w:rPr>
              <w:t>Session 2 (n = 26)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  <w:sz w:val="20"/>
              </w:rPr>
              <w:t>p value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Life-guardian role (2-1)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0.33 ± 0.64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0.27 ± 0.45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0.682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Safety-first attitude (2-2)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0.08 ± 0.41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0.08 ± 0.27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0.948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Complication learning (2-3)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0.29 ± 0.55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0.46 ± 0.71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0.350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SOP compliance (2-4)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0.29 ± 0.55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0.31 ± 0.47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0.912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Seek help for difficult puncture (2-5)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0.21 ± 0.51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0.23 ± 0.65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0.893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Professionalism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Report complications (2-6)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0.21 ± 0.66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0.19 ± 0.75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0.937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Humanistic care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Comfort psychological distress (3-1)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0.33 ± 0.56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0.35 ± 0.56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0.936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Humanistic care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Protect patient privacy (3-2)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0.46 ± 0.66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0.42 ± 0.81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0.867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Humanistic care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Personalised care (3-3)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0.38 ± 0.71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0.46 ± 0.81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0.691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Humanistic care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Avoid dissatisfaction-inducing language (3-4)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0.79 ± 0.78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0.58 ± 0.70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0.311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Humanistic care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Maternal-infant safety focus (3-5)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0.33 ± 0.76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0.12 ± 0.33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0.204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Explain risks and cooperation (4-1)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0.50 ± 0.88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0.50 ± 0.81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1.000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Disclose patient safety incidents (4-2)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0.54 ± 0.83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0.50 ± 0.71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0.849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Empathic response (4-3)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0.42 ± 0.72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0.35 ± 0.56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0.699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Explain follow-up and prognosis (4-4)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0.75 ± 1.11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0.73 ± 0.87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0.946</w:t>
            </w:r>
          </w:p>
        </w:tc>
      </w:tr>
      <w:tr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Communication reduces disputes (4-5)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0.46 ± 0.72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0.15 ± 0.37</w:t>
            </w:r>
          </w:p>
        </w:tc>
        <w:tc>
          <w:tcPr>
            <w:tcW w:type="dxa" w:w="1728"/>
          </w:tcPr>
          <w:p>
            <w:pPr>
              <w:spacing w:line="276" w:lineRule="auto"/>
            </w:pPr>
            <w:r>
              <w:rPr>
                <w:rFonts w:ascii="Times New Roman" w:hAnsi="Times New Roman"/>
                <w:sz w:val="20"/>
              </w:rPr>
              <w:t>0.072</w:t>
            </w:r>
          </w:p>
        </w:tc>
      </w:tr>
    </w:tbl>
    <w:p>
      <w:pPr>
        <w:spacing w:before="120" w:line="276" w:lineRule="auto"/>
      </w:pPr>
      <w:r>
        <w:rPr>
          <w:rFonts w:ascii="Times New Roman" w:hAnsi="Times New Roman"/>
          <w:sz w:val="20"/>
        </w:rPr>
        <w:t>Values are presented as mean ± SD of post-course minus pre-course scores. Session 1 (n = 24) did not include Case 5, whereas Case 5 was added to Session 2 (n = 26) following student feedback. p values were obtained using independent-samples t-tests or Mann-Whitney U tests, as appropriate. SD, standard deviation.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