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1700" w14:textId="77777777" w:rsidR="00F03850" w:rsidRDefault="00F03850" w:rsidP="00F03850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material</w:t>
      </w:r>
    </w:p>
    <w:p w14:paraId="3B4B24E1" w14:textId="77777777" w:rsidR="00F03850" w:rsidRPr="00FA004F" w:rsidRDefault="00F03850" w:rsidP="00F03850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Table 1. </w:t>
      </w:r>
      <w:r w:rsidRPr="00FA004F">
        <w:rPr>
          <w:rFonts w:ascii="Arial" w:hAnsi="Arial" w:cs="Arial"/>
          <w:sz w:val="22"/>
          <w:szCs w:val="22"/>
        </w:rPr>
        <w:t xml:space="preserve">Documented </w:t>
      </w:r>
      <w:r>
        <w:rPr>
          <w:rFonts w:ascii="Arial" w:hAnsi="Arial" w:cs="Arial"/>
          <w:sz w:val="22"/>
          <w:szCs w:val="22"/>
        </w:rPr>
        <w:t>c</w:t>
      </w:r>
      <w:r w:rsidRPr="00FA004F">
        <w:rPr>
          <w:rFonts w:ascii="Arial" w:hAnsi="Arial" w:cs="Arial"/>
          <w:sz w:val="22"/>
          <w:szCs w:val="22"/>
        </w:rPr>
        <w:t xml:space="preserve">auses of </w:t>
      </w:r>
      <w:r>
        <w:rPr>
          <w:rFonts w:ascii="Arial" w:hAnsi="Arial" w:cs="Arial"/>
          <w:sz w:val="22"/>
          <w:szCs w:val="22"/>
        </w:rPr>
        <w:t>d</w:t>
      </w:r>
      <w:r w:rsidRPr="00FA004F">
        <w:rPr>
          <w:rFonts w:ascii="Arial" w:hAnsi="Arial" w:cs="Arial"/>
          <w:sz w:val="22"/>
          <w:szCs w:val="22"/>
        </w:rPr>
        <w:t xml:space="preserve">eath by </w:t>
      </w:r>
      <w:r>
        <w:rPr>
          <w:rFonts w:ascii="Arial" w:hAnsi="Arial" w:cs="Arial"/>
          <w:sz w:val="22"/>
          <w:szCs w:val="22"/>
        </w:rPr>
        <w:t>r</w:t>
      </w:r>
      <w:r w:rsidRPr="00FA004F">
        <w:rPr>
          <w:rFonts w:ascii="Arial" w:hAnsi="Arial" w:cs="Arial"/>
          <w:sz w:val="22"/>
          <w:szCs w:val="22"/>
        </w:rPr>
        <w:t xml:space="preserve">enal </w:t>
      </w:r>
      <w:r>
        <w:rPr>
          <w:rFonts w:ascii="Arial" w:hAnsi="Arial" w:cs="Arial"/>
          <w:sz w:val="22"/>
          <w:szCs w:val="22"/>
        </w:rPr>
        <w:t>f</w:t>
      </w:r>
      <w:r w:rsidRPr="00FA004F">
        <w:rPr>
          <w:rFonts w:ascii="Arial" w:hAnsi="Arial" w:cs="Arial"/>
          <w:sz w:val="22"/>
          <w:szCs w:val="22"/>
        </w:rPr>
        <w:t xml:space="preserve">unction </w:t>
      </w:r>
      <w:r>
        <w:rPr>
          <w:rFonts w:ascii="Arial" w:hAnsi="Arial" w:cs="Arial"/>
          <w:sz w:val="22"/>
          <w:szCs w:val="22"/>
        </w:rPr>
        <w:t>s</w:t>
      </w:r>
      <w:r w:rsidRPr="00FA004F">
        <w:rPr>
          <w:rFonts w:ascii="Arial" w:hAnsi="Arial" w:cs="Arial"/>
          <w:sz w:val="22"/>
          <w:szCs w:val="22"/>
        </w:rPr>
        <w:t>tatus</w:t>
      </w:r>
      <w:r>
        <w:rPr>
          <w:rFonts w:ascii="Arial" w:hAnsi="Arial" w:cs="Arial"/>
          <w:sz w:val="22"/>
          <w:szCs w:val="22"/>
        </w:rPr>
        <w:t>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0"/>
        <w:gridCol w:w="1800"/>
        <w:gridCol w:w="1800"/>
        <w:gridCol w:w="1800"/>
      </w:tblGrid>
      <w:tr w:rsidR="00F03850" w:rsidRPr="009B0AAC" w14:paraId="40D618FA" w14:textId="77777777" w:rsidTr="00475CF6">
        <w:tc>
          <w:tcPr>
            <w:tcW w:w="396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D2A953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Cause of death category</w:t>
            </w:r>
          </w:p>
        </w:tc>
        <w:tc>
          <w:tcPr>
            <w:tcW w:w="1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6A9F9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 RD (n=45)</w:t>
            </w:r>
          </w:p>
        </w:tc>
        <w:tc>
          <w:tcPr>
            <w:tcW w:w="1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A3809D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RD (n=32)</w:t>
            </w:r>
          </w:p>
        </w:tc>
        <w:tc>
          <w:tcPr>
            <w:tcW w:w="1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9C1A0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 (n=77)</w:t>
            </w:r>
          </w:p>
        </w:tc>
      </w:tr>
      <w:tr w:rsidR="00F03850" w:rsidRPr="009B0AAC" w14:paraId="0B33D516" w14:textId="77777777" w:rsidTr="00475CF6">
        <w:tc>
          <w:tcPr>
            <w:tcW w:w="3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89006A" w14:textId="77777777" w:rsidR="00F03850" w:rsidRPr="009B0AAC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Arrhythmia-related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E1DB4B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 (13.3%)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69E98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(6.3%)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1EF899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(10.4%)</w:t>
            </w:r>
          </w:p>
        </w:tc>
      </w:tr>
      <w:tr w:rsidR="00F03850" w:rsidRPr="009B0AAC" w14:paraId="14BD0AE7" w14:textId="77777777" w:rsidTr="00475CF6">
        <w:tc>
          <w:tcPr>
            <w:tcW w:w="3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8255C0" w14:textId="77777777" w:rsidR="00F03850" w:rsidRPr="009B0AAC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Heart failure / pump failure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209FC2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(24.4%)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DBCBB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(21.9%)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5E10F3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 (23.4%)</w:t>
            </w:r>
          </w:p>
        </w:tc>
      </w:tr>
      <w:tr w:rsidR="00F03850" w:rsidRPr="009B0AAC" w14:paraId="6C6F7749" w14:textId="77777777" w:rsidTr="00475CF6">
        <w:tc>
          <w:tcPr>
            <w:tcW w:w="3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58047A" w14:textId="77777777" w:rsidR="00F03850" w:rsidRPr="009B0AAC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Infectious / device-related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09DE0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(17.8%)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5873F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 (25.0%)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4252CD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(20.8%)</w:t>
            </w:r>
          </w:p>
        </w:tc>
      </w:tr>
      <w:tr w:rsidR="00F03850" w:rsidRPr="009B0AAC" w14:paraId="6D05E1DD" w14:textId="77777777" w:rsidTr="00475CF6">
        <w:tc>
          <w:tcPr>
            <w:tcW w:w="3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400C2E" w14:textId="77777777" w:rsidR="00F03850" w:rsidRPr="009B0AAC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Neurological / other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20007A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(8.9%)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BF11E6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(0%)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E8CA1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(5.2%)</w:t>
            </w:r>
          </w:p>
        </w:tc>
      </w:tr>
      <w:tr w:rsidR="00F03850" w:rsidRPr="009B0AAC" w14:paraId="23C5505D" w14:textId="77777777" w:rsidTr="00475CF6">
        <w:tc>
          <w:tcPr>
            <w:tcW w:w="3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6D246" w14:textId="77777777" w:rsidR="00F03850" w:rsidRPr="009B0AAC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Unknown / not documented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D8BFE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(35.6%)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E04A78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 (46.9%)</w:t>
            </w: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95A41A" w14:textId="77777777" w:rsidR="00F03850" w:rsidRPr="009B0AAC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 (40.3%)</w:t>
            </w:r>
          </w:p>
        </w:tc>
      </w:tr>
    </w:tbl>
    <w:p w14:paraId="63A8CE3C" w14:textId="77777777" w:rsidR="00F03850" w:rsidRDefault="00F03850" w:rsidP="00F03850">
      <w:pPr>
        <w:spacing w:line="480" w:lineRule="auto"/>
        <w:jc w:val="both"/>
      </w:pPr>
    </w:p>
    <w:p w14:paraId="5DFCB474" w14:textId="77777777" w:rsidR="00F03850" w:rsidRDefault="00F03850" w:rsidP="00F03850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2A3AC1E" w14:textId="77777777" w:rsidR="00F03850" w:rsidRDefault="00F03850" w:rsidP="00F03850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Table 2. </w:t>
      </w:r>
      <w:r w:rsidRPr="00FA004F">
        <w:rPr>
          <w:rFonts w:ascii="Arial" w:hAnsi="Arial" w:cs="Arial"/>
          <w:sz w:val="22"/>
          <w:szCs w:val="22"/>
        </w:rPr>
        <w:t xml:space="preserve">Multivariable </w:t>
      </w:r>
      <w:r>
        <w:rPr>
          <w:rFonts w:ascii="Arial" w:hAnsi="Arial" w:cs="Arial"/>
          <w:sz w:val="22"/>
          <w:szCs w:val="22"/>
        </w:rPr>
        <w:t>c</w:t>
      </w:r>
      <w:r w:rsidRPr="00FA004F">
        <w:rPr>
          <w:rFonts w:ascii="Arial" w:hAnsi="Arial" w:cs="Arial"/>
          <w:sz w:val="22"/>
          <w:szCs w:val="22"/>
        </w:rPr>
        <w:t xml:space="preserve">ox </w:t>
      </w:r>
      <w:r>
        <w:rPr>
          <w:rFonts w:ascii="Arial" w:hAnsi="Arial" w:cs="Arial"/>
          <w:sz w:val="22"/>
          <w:szCs w:val="22"/>
        </w:rPr>
        <w:t>p</w:t>
      </w:r>
      <w:r w:rsidRPr="00FA004F">
        <w:rPr>
          <w:rFonts w:ascii="Arial" w:hAnsi="Arial" w:cs="Arial"/>
          <w:sz w:val="22"/>
          <w:szCs w:val="22"/>
        </w:rPr>
        <w:t xml:space="preserve">roportional </w:t>
      </w:r>
      <w:r>
        <w:rPr>
          <w:rFonts w:ascii="Arial" w:hAnsi="Arial" w:cs="Arial"/>
          <w:sz w:val="22"/>
          <w:szCs w:val="22"/>
        </w:rPr>
        <w:t>h</w:t>
      </w:r>
      <w:r w:rsidRPr="00FA004F">
        <w:rPr>
          <w:rFonts w:ascii="Arial" w:hAnsi="Arial" w:cs="Arial"/>
          <w:sz w:val="22"/>
          <w:szCs w:val="22"/>
        </w:rPr>
        <w:t xml:space="preserve">azards </w:t>
      </w:r>
      <w:r>
        <w:rPr>
          <w:rFonts w:ascii="Arial" w:hAnsi="Arial" w:cs="Arial"/>
          <w:sz w:val="22"/>
          <w:szCs w:val="22"/>
        </w:rPr>
        <w:t>m</w:t>
      </w:r>
      <w:r w:rsidRPr="00FA004F">
        <w:rPr>
          <w:rFonts w:ascii="Arial" w:hAnsi="Arial" w:cs="Arial"/>
          <w:sz w:val="22"/>
          <w:szCs w:val="22"/>
        </w:rPr>
        <w:t xml:space="preserve">odels for the </w:t>
      </w:r>
      <w:r>
        <w:rPr>
          <w:rFonts w:ascii="Arial" w:hAnsi="Arial" w:cs="Arial"/>
          <w:sz w:val="22"/>
          <w:szCs w:val="22"/>
        </w:rPr>
        <w:t>c</w:t>
      </w:r>
      <w:r w:rsidRPr="00FA004F">
        <w:rPr>
          <w:rFonts w:ascii="Arial" w:hAnsi="Arial" w:cs="Arial"/>
          <w:sz w:val="22"/>
          <w:szCs w:val="22"/>
        </w:rPr>
        <w:t xml:space="preserve">omposite </w:t>
      </w:r>
      <w:r>
        <w:rPr>
          <w:rFonts w:ascii="Arial" w:hAnsi="Arial" w:cs="Arial"/>
          <w:sz w:val="22"/>
          <w:szCs w:val="22"/>
        </w:rPr>
        <w:t>e</w:t>
      </w:r>
      <w:r w:rsidRPr="00FA004F">
        <w:rPr>
          <w:rFonts w:ascii="Arial" w:hAnsi="Arial" w:cs="Arial"/>
          <w:sz w:val="22"/>
          <w:szCs w:val="22"/>
        </w:rPr>
        <w:t xml:space="preserve">ndpoint and </w:t>
      </w:r>
      <w:r>
        <w:rPr>
          <w:rFonts w:ascii="Arial" w:hAnsi="Arial" w:cs="Arial"/>
          <w:sz w:val="22"/>
          <w:szCs w:val="22"/>
        </w:rPr>
        <w:t>i</w:t>
      </w:r>
      <w:r w:rsidRPr="00FA004F">
        <w:rPr>
          <w:rFonts w:ascii="Arial" w:hAnsi="Arial" w:cs="Arial"/>
          <w:sz w:val="22"/>
          <w:szCs w:val="22"/>
        </w:rPr>
        <w:t xml:space="preserve">ndividual </w:t>
      </w:r>
      <w:r>
        <w:rPr>
          <w:rFonts w:ascii="Arial" w:hAnsi="Arial" w:cs="Arial"/>
          <w:sz w:val="22"/>
          <w:szCs w:val="22"/>
        </w:rPr>
        <w:t>c</w:t>
      </w:r>
      <w:r w:rsidRPr="00FA004F">
        <w:rPr>
          <w:rFonts w:ascii="Arial" w:hAnsi="Arial" w:cs="Arial"/>
          <w:sz w:val="22"/>
          <w:szCs w:val="22"/>
        </w:rPr>
        <w:t>omponents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1"/>
        <w:gridCol w:w="1966"/>
        <w:gridCol w:w="1992"/>
        <w:gridCol w:w="2021"/>
      </w:tblGrid>
      <w:tr w:rsidR="00F03850" w14:paraId="013D7A3D" w14:textId="77777777" w:rsidTr="00475CF6">
        <w:tc>
          <w:tcPr>
            <w:tcW w:w="9360" w:type="dxa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EDCE8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Composite Endpoint (LVAD,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HTx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, or Death)</w:t>
            </w:r>
          </w:p>
        </w:tc>
      </w:tr>
      <w:tr w:rsidR="00F03850" w14:paraId="1F5EADC2" w14:textId="77777777" w:rsidTr="00475CF6">
        <w:tc>
          <w:tcPr>
            <w:tcW w:w="338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7345A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196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F03166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9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A3C6B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202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0B6CE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F03850" w14:paraId="3935FC16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CB728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Renal dysfunction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B3E8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1.77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B192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1.22–2.58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F027D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0.003</w:t>
            </w:r>
          </w:p>
        </w:tc>
      </w:tr>
      <w:tr w:rsidR="00F03850" w14:paraId="3DE7CF86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4B7AC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 (per year)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73FF7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BDB195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0.98–1.01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528C94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0.878</w:t>
            </w:r>
          </w:p>
        </w:tc>
      </w:tr>
      <w:tr w:rsidR="00F03850" w14:paraId="3D34B0B9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1125A5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LVEF (per 5% increase)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DD5E1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0.77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2CF4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0.71–0.84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B711D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F03850" w14:paraId="0EB364CB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6C872B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Female sex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8A4DEB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1.99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C0D49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1.23–3.21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F665F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0.005</w:t>
            </w:r>
          </w:p>
        </w:tc>
      </w:tr>
      <w:tr w:rsidR="00F03850" w14:paraId="20A93F8E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2E76F9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ICM (vs. NICM)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96DCE9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0.80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A5C829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0.55–1.15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FCADE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0.224</w:t>
            </w:r>
          </w:p>
        </w:tc>
      </w:tr>
      <w:tr w:rsidR="00F03850" w14:paraId="1EF170BD" w14:textId="77777777" w:rsidTr="00475CF6">
        <w:tc>
          <w:tcPr>
            <w:tcW w:w="9360" w:type="dxa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F7F7FD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LVAD Implantation</w:t>
            </w:r>
          </w:p>
        </w:tc>
      </w:tr>
      <w:tr w:rsidR="00F03850" w14:paraId="5FD06D40" w14:textId="77777777" w:rsidTr="00475CF6">
        <w:tc>
          <w:tcPr>
            <w:tcW w:w="338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ED59B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196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D57812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9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6C1F6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202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FEB771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F03850" w14:paraId="2F1F5ACF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C0C30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Renal dysfunction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6C6268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1.79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808E0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1.04–3.09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92BB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0.036</w:t>
            </w:r>
          </w:p>
        </w:tc>
      </w:tr>
      <w:tr w:rsidR="00F03850" w14:paraId="4F74474B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B81AD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 (per year)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DAB8D1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0.99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1042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0.97–1.02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8A73B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0.511</w:t>
            </w:r>
          </w:p>
        </w:tc>
      </w:tr>
      <w:tr w:rsidR="00F03850" w14:paraId="2D939C02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FDF50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LVEF (per 5% increase)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6DC7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0.64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C40032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0.56–0.74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483E87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F03850" w14:paraId="5A5A3BFA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D4BFD6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Female sex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036A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1.83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CE850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0.82–4.10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34DB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0.142</w:t>
            </w:r>
          </w:p>
        </w:tc>
      </w:tr>
      <w:tr w:rsidR="00F03850" w14:paraId="0B311471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BBCA60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ICM (vs. NICM)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F9594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1.10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29F3E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0.62–1.97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FCEE5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0.738</w:t>
            </w:r>
          </w:p>
        </w:tc>
      </w:tr>
      <w:tr w:rsidR="00F03850" w14:paraId="4B4665D6" w14:textId="77777777" w:rsidTr="00475CF6">
        <w:tc>
          <w:tcPr>
            <w:tcW w:w="9360" w:type="dxa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9E014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Heart Transplantation</w:t>
            </w:r>
          </w:p>
        </w:tc>
      </w:tr>
      <w:tr w:rsidR="00F03850" w14:paraId="2122AE26" w14:textId="77777777" w:rsidTr="00475CF6">
        <w:tc>
          <w:tcPr>
            <w:tcW w:w="338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BDA545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196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A42C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9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17A2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202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90A09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F03850" w14:paraId="046BE8A8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FA818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Renal dysfunction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6074B7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2.22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A5BB5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1.01–4.88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D16A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0.046</w:t>
            </w:r>
          </w:p>
        </w:tc>
      </w:tr>
      <w:tr w:rsidR="00F03850" w14:paraId="38EFBF09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C92789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 (per year)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FE7694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0.96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17F45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0.93–0.98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68380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0.001</w:t>
            </w:r>
          </w:p>
        </w:tc>
      </w:tr>
      <w:tr w:rsidR="00F03850" w14:paraId="1E9298B6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8087B8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LVEF (per 5% increase)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39AA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0.74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B1A9D9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0.63–0.88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CDE337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F03850" w14:paraId="73A94EF5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F94EE3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Female sex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45354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1.35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0D708B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0.40–4.56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352B8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0.630</w:t>
            </w:r>
          </w:p>
        </w:tc>
      </w:tr>
      <w:tr w:rsidR="00F03850" w14:paraId="7A77EE46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6FF6B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ICM (vs. NICM)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193CC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0.59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4FD07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0.27–1.29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DAA38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0.184</w:t>
            </w:r>
          </w:p>
        </w:tc>
      </w:tr>
      <w:tr w:rsidR="00F03850" w14:paraId="308388FC" w14:textId="77777777" w:rsidTr="00475CF6">
        <w:tc>
          <w:tcPr>
            <w:tcW w:w="9360" w:type="dxa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FCDBA7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All-Cause Death</w:t>
            </w:r>
          </w:p>
        </w:tc>
      </w:tr>
      <w:tr w:rsidR="00F03850" w14:paraId="411A848C" w14:textId="77777777" w:rsidTr="00475CF6">
        <w:tc>
          <w:tcPr>
            <w:tcW w:w="338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2AF3EE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196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DCB6C5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9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5C7E14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202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5DAF4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F03850" w14:paraId="38C6A33F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5BC075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Renal dysfunction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F31AE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1.76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5CC872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1.08–2.85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8288C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0.022</w:t>
            </w:r>
          </w:p>
        </w:tc>
      </w:tr>
      <w:tr w:rsidR="00F03850" w14:paraId="5F98BFDB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717703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 (per year)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F80B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1.02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2A938B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1.00–1.05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B473C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0.032</w:t>
            </w:r>
          </w:p>
        </w:tc>
      </w:tr>
      <w:tr w:rsidR="00F03850" w14:paraId="32209FB8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052674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LVEF (per 5% increase)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0E737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0.80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2EFD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0.72–0.89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48DBB0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F03850" w14:paraId="5C82C081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C12D6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Female sex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B700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2.62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5F05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1.48–4.64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F343F4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F03850" w14:paraId="17E80218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FFF0A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ICM (vs. NICM)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87E4D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0.86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4085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0.53–1.38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A1D151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0.521</w:t>
            </w:r>
          </w:p>
        </w:tc>
      </w:tr>
    </w:tbl>
    <w:p w14:paraId="3AA51B40" w14:textId="77777777" w:rsidR="00F03850" w:rsidRDefault="00F03850" w:rsidP="00F03850">
      <w:pPr>
        <w:rPr>
          <w:rFonts w:ascii="Arial" w:hAnsi="Arial" w:cs="Arial"/>
          <w:sz w:val="22"/>
          <w:szCs w:val="22"/>
        </w:rPr>
      </w:pPr>
    </w:p>
    <w:p w14:paraId="6B13397E" w14:textId="77777777" w:rsidR="00F03850" w:rsidRDefault="00F03850" w:rsidP="00F0385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B918F68" w14:textId="77777777" w:rsidR="00F03850" w:rsidRDefault="00F03850" w:rsidP="00F03850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 xml:space="preserve">Table 3. </w:t>
      </w:r>
      <w:r w:rsidRPr="00EB313C">
        <w:rPr>
          <w:rFonts w:ascii="Arial" w:hAnsi="Arial" w:cs="Arial"/>
          <w:sz w:val="22"/>
          <w:szCs w:val="22"/>
        </w:rPr>
        <w:t xml:space="preserve">Sensitivity Analysis: Multivariable </w:t>
      </w:r>
      <w:r>
        <w:rPr>
          <w:rFonts w:ascii="Arial" w:hAnsi="Arial" w:cs="Arial"/>
          <w:sz w:val="22"/>
          <w:szCs w:val="22"/>
        </w:rPr>
        <w:t>c</w:t>
      </w:r>
      <w:r w:rsidRPr="00EB313C">
        <w:rPr>
          <w:rFonts w:ascii="Arial" w:hAnsi="Arial" w:cs="Arial"/>
          <w:sz w:val="22"/>
          <w:szCs w:val="22"/>
        </w:rPr>
        <w:t xml:space="preserve">ox </w:t>
      </w:r>
      <w:r>
        <w:rPr>
          <w:rFonts w:ascii="Arial" w:hAnsi="Arial" w:cs="Arial"/>
          <w:sz w:val="22"/>
          <w:szCs w:val="22"/>
        </w:rPr>
        <w:t>m</w:t>
      </w:r>
      <w:r w:rsidRPr="00EB313C">
        <w:rPr>
          <w:rFonts w:ascii="Arial" w:hAnsi="Arial" w:cs="Arial"/>
          <w:sz w:val="22"/>
          <w:szCs w:val="22"/>
        </w:rPr>
        <w:t xml:space="preserve">odel for the </w:t>
      </w:r>
      <w:r>
        <w:rPr>
          <w:rFonts w:ascii="Arial" w:hAnsi="Arial" w:cs="Arial"/>
          <w:sz w:val="22"/>
          <w:szCs w:val="22"/>
        </w:rPr>
        <w:t>c</w:t>
      </w:r>
      <w:r w:rsidRPr="00EB313C">
        <w:rPr>
          <w:rFonts w:ascii="Arial" w:hAnsi="Arial" w:cs="Arial"/>
          <w:sz w:val="22"/>
          <w:szCs w:val="22"/>
        </w:rPr>
        <w:t xml:space="preserve">omposite </w:t>
      </w:r>
      <w:r>
        <w:rPr>
          <w:rFonts w:ascii="Arial" w:hAnsi="Arial" w:cs="Arial"/>
          <w:sz w:val="22"/>
          <w:szCs w:val="22"/>
        </w:rPr>
        <w:t>e</w:t>
      </w:r>
      <w:r w:rsidRPr="00EB313C">
        <w:rPr>
          <w:rFonts w:ascii="Arial" w:hAnsi="Arial" w:cs="Arial"/>
          <w:sz w:val="22"/>
          <w:szCs w:val="22"/>
        </w:rPr>
        <w:t xml:space="preserve">ndpoint with </w:t>
      </w:r>
      <w:r>
        <w:rPr>
          <w:rFonts w:ascii="Arial" w:hAnsi="Arial" w:cs="Arial"/>
          <w:sz w:val="22"/>
          <w:szCs w:val="22"/>
        </w:rPr>
        <w:t>a</w:t>
      </w:r>
      <w:r w:rsidRPr="00EB313C">
        <w:rPr>
          <w:rFonts w:ascii="Arial" w:hAnsi="Arial" w:cs="Arial"/>
          <w:sz w:val="22"/>
          <w:szCs w:val="22"/>
        </w:rPr>
        <w:t xml:space="preserve">dditional </w:t>
      </w:r>
      <w:r>
        <w:rPr>
          <w:rFonts w:ascii="Arial" w:hAnsi="Arial" w:cs="Arial"/>
          <w:sz w:val="22"/>
          <w:szCs w:val="22"/>
        </w:rPr>
        <w:t>a</w:t>
      </w:r>
      <w:r w:rsidRPr="00EB313C">
        <w:rPr>
          <w:rFonts w:ascii="Arial" w:hAnsi="Arial" w:cs="Arial"/>
          <w:sz w:val="22"/>
          <w:szCs w:val="22"/>
        </w:rPr>
        <w:t xml:space="preserve">djustment for NYHA </w:t>
      </w:r>
      <w:r>
        <w:rPr>
          <w:rFonts w:ascii="Arial" w:hAnsi="Arial" w:cs="Arial"/>
          <w:sz w:val="22"/>
          <w:szCs w:val="22"/>
        </w:rPr>
        <w:t>c</w:t>
      </w:r>
      <w:r w:rsidRPr="00EB313C">
        <w:rPr>
          <w:rFonts w:ascii="Arial" w:hAnsi="Arial" w:cs="Arial"/>
          <w:sz w:val="22"/>
          <w:szCs w:val="22"/>
        </w:rPr>
        <w:t xml:space="preserve">lass, </w:t>
      </w:r>
      <w:r>
        <w:rPr>
          <w:rFonts w:ascii="Arial" w:hAnsi="Arial" w:cs="Arial"/>
          <w:sz w:val="22"/>
          <w:szCs w:val="22"/>
        </w:rPr>
        <w:t>d</w:t>
      </w:r>
      <w:r w:rsidRPr="00EB313C">
        <w:rPr>
          <w:rFonts w:ascii="Arial" w:hAnsi="Arial" w:cs="Arial"/>
          <w:sz w:val="22"/>
          <w:szCs w:val="22"/>
        </w:rPr>
        <w:t xml:space="preserve">iabetes, and </w:t>
      </w:r>
      <w:r>
        <w:rPr>
          <w:rFonts w:ascii="Arial" w:hAnsi="Arial" w:cs="Arial"/>
          <w:sz w:val="22"/>
          <w:szCs w:val="22"/>
        </w:rPr>
        <w:t>a</w:t>
      </w:r>
      <w:r w:rsidRPr="00EB313C">
        <w:rPr>
          <w:rFonts w:ascii="Arial" w:hAnsi="Arial" w:cs="Arial"/>
          <w:sz w:val="22"/>
          <w:szCs w:val="22"/>
        </w:rPr>
        <w:t xml:space="preserve">trial </w:t>
      </w:r>
      <w:r>
        <w:rPr>
          <w:rFonts w:ascii="Arial" w:hAnsi="Arial" w:cs="Arial"/>
          <w:sz w:val="22"/>
          <w:szCs w:val="22"/>
        </w:rPr>
        <w:t>f</w:t>
      </w:r>
      <w:r w:rsidRPr="00EB313C">
        <w:rPr>
          <w:rFonts w:ascii="Arial" w:hAnsi="Arial" w:cs="Arial"/>
          <w:sz w:val="22"/>
          <w:szCs w:val="22"/>
        </w:rPr>
        <w:t>ibrillation</w:t>
      </w:r>
      <w:r>
        <w:rPr>
          <w:rFonts w:ascii="Arial" w:hAnsi="Arial" w:cs="Arial"/>
          <w:sz w:val="22"/>
          <w:szCs w:val="22"/>
        </w:rPr>
        <w:t>.</w:t>
      </w:r>
    </w:p>
    <w:p w14:paraId="7A3773B3" w14:textId="77777777" w:rsidR="00F03850" w:rsidRDefault="00F03850" w:rsidP="00F03850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1"/>
        <w:gridCol w:w="1966"/>
        <w:gridCol w:w="1992"/>
        <w:gridCol w:w="2021"/>
      </w:tblGrid>
      <w:tr w:rsidR="00F03850" w14:paraId="1577ADF0" w14:textId="77777777" w:rsidTr="00475CF6">
        <w:tc>
          <w:tcPr>
            <w:tcW w:w="9360" w:type="dxa"/>
            <w:gridSpan w:val="4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5EA1F3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Composite Endpoint (LVAD, 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HTx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, or Death) — Sensitivity Analysis</w:t>
            </w:r>
          </w:p>
        </w:tc>
      </w:tr>
      <w:tr w:rsidR="00F03850" w14:paraId="292CDDBB" w14:textId="77777777" w:rsidTr="00475CF6">
        <w:tc>
          <w:tcPr>
            <w:tcW w:w="338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588EAE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Covariate</w:t>
            </w:r>
          </w:p>
        </w:tc>
        <w:tc>
          <w:tcPr>
            <w:tcW w:w="1966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666F6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HR</w:t>
            </w:r>
          </w:p>
        </w:tc>
        <w:tc>
          <w:tcPr>
            <w:tcW w:w="1992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CD3D48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95% CI</w:t>
            </w:r>
          </w:p>
        </w:tc>
        <w:tc>
          <w:tcPr>
            <w:tcW w:w="2021" w:type="dxa"/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4ABB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p-value</w:t>
            </w:r>
          </w:p>
        </w:tc>
      </w:tr>
      <w:tr w:rsidR="00F03850" w14:paraId="3F87F892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431CA3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Renal dysfunction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AE5A8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1.54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D4BC0C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1.05–2.27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EF69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0.028</w:t>
            </w:r>
          </w:p>
        </w:tc>
      </w:tr>
      <w:tr w:rsidR="00F03850" w14:paraId="3E096857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7C577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Age (per year)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F4A8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1.00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C321B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0.98–1.01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B0DB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0.569</w:t>
            </w:r>
          </w:p>
        </w:tc>
      </w:tr>
      <w:tr w:rsidR="00F03850" w14:paraId="22F0EB71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4A30E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LVEF (per 5% increase)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0149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0.80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C1FFA1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0.73–0.88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788E1D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&lt;0.001</w:t>
            </w:r>
          </w:p>
        </w:tc>
      </w:tr>
      <w:tr w:rsidR="00F03850" w14:paraId="759E518E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852007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Female sex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2A5515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2.06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0EC45F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1.25–3.40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03DC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0.005</w:t>
            </w:r>
          </w:p>
        </w:tc>
      </w:tr>
      <w:tr w:rsidR="00F03850" w14:paraId="4E2DEE2D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BAE1E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ICM (vs. NICM)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43A6B7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0.81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F90F2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0.55–1.17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88548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0.257</w:t>
            </w:r>
          </w:p>
        </w:tc>
      </w:tr>
      <w:tr w:rsidR="00F03850" w14:paraId="05CB4099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171814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NYHA class III–IV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3880A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1.61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86BA20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1.09–2.38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9F5D4E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0.017</w:t>
            </w:r>
          </w:p>
        </w:tc>
      </w:tr>
      <w:tr w:rsidR="00F03850" w14:paraId="5E3230DE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79D717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Diabetes mellitus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D7F53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1.24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A5131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0.79–1.93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9ADEC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0.350</w:t>
            </w:r>
          </w:p>
        </w:tc>
      </w:tr>
      <w:tr w:rsidR="00F03850" w14:paraId="5E379482" w14:textId="77777777" w:rsidTr="00475CF6">
        <w:tc>
          <w:tcPr>
            <w:tcW w:w="338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89917C" w14:textId="77777777" w:rsidR="00F03850" w:rsidRDefault="00F03850" w:rsidP="00475CF6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Atrial fibrillation</w:t>
            </w:r>
          </w:p>
        </w:tc>
        <w:tc>
          <w:tcPr>
            <w:tcW w:w="196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F1DE9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1.15</w:t>
            </w:r>
          </w:p>
        </w:tc>
        <w:tc>
          <w:tcPr>
            <w:tcW w:w="1992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B41A5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0.79–1.69</w:t>
            </w:r>
          </w:p>
        </w:tc>
        <w:tc>
          <w:tcPr>
            <w:tcW w:w="2021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223426" w14:textId="77777777" w:rsidR="00F03850" w:rsidRDefault="00F03850" w:rsidP="00475CF6">
            <w:pPr>
              <w:spacing w:line="48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0.471</w:t>
            </w:r>
          </w:p>
        </w:tc>
      </w:tr>
    </w:tbl>
    <w:p w14:paraId="15491F10" w14:textId="77777777" w:rsidR="00F03850" w:rsidRDefault="00F03850" w:rsidP="00F03850">
      <w:pPr>
        <w:rPr>
          <w:rFonts w:ascii="Arial" w:hAnsi="Arial" w:cs="Arial"/>
          <w:sz w:val="22"/>
          <w:szCs w:val="22"/>
        </w:rPr>
      </w:pPr>
    </w:p>
    <w:p w14:paraId="24208681" w14:textId="77777777" w:rsidR="00C6465A" w:rsidRDefault="00C6465A"/>
    <w:sectPr w:rsidR="00C6465A" w:rsidSect="00F03850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A543" w14:textId="77777777" w:rsidR="00F03850" w:rsidRDefault="00F038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8116" w14:textId="77777777" w:rsidR="00F03850" w:rsidRDefault="00F038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87E9C" w14:textId="77777777" w:rsidR="00F03850" w:rsidRDefault="00F0385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96881" w14:textId="77777777" w:rsidR="00F03850" w:rsidRDefault="00F038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1127" w14:textId="77777777" w:rsidR="00F03850" w:rsidRDefault="00F038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ED64A" w14:textId="77777777" w:rsidR="00F03850" w:rsidRDefault="00F038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50"/>
    <w:rsid w:val="000905F0"/>
    <w:rsid w:val="00112C91"/>
    <w:rsid w:val="00242B4F"/>
    <w:rsid w:val="00302F9E"/>
    <w:rsid w:val="004E23CF"/>
    <w:rsid w:val="006D5216"/>
    <w:rsid w:val="00A80498"/>
    <w:rsid w:val="00C52040"/>
    <w:rsid w:val="00C62D14"/>
    <w:rsid w:val="00C6465A"/>
    <w:rsid w:val="00CA33FC"/>
    <w:rsid w:val="00EA3576"/>
    <w:rsid w:val="00F0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6968"/>
  <w15:chartTrackingRefBased/>
  <w15:docId w15:val="{42C07338-811B-48E7-A88B-981178DC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850"/>
    <w:pPr>
      <w:spacing w:after="0" w:line="24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38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8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8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8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8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850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850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850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850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8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F03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85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F03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850"/>
    <w:pPr>
      <w:spacing w:before="160" w:after="160" w:line="278" w:lineRule="auto"/>
      <w:jc w:val="center"/>
    </w:pPr>
    <w:rPr>
      <w:i/>
      <w:iCs/>
      <w:color w:val="404040" w:themeColor="text1" w:themeTint="BF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F03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850"/>
    <w:pPr>
      <w:spacing w:after="160" w:line="278" w:lineRule="auto"/>
      <w:ind w:left="720"/>
      <w:contextualSpacing/>
    </w:pPr>
    <w:rPr>
      <w:lang w:val="en-IN"/>
    </w:rPr>
  </w:style>
  <w:style w:type="character" w:styleId="IntenseEmphasis">
    <w:name w:val="Intense Emphasis"/>
    <w:basedOn w:val="DefaultParagraphFont"/>
    <w:uiPriority w:val="21"/>
    <w:qFormat/>
    <w:rsid w:val="00F03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8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0385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850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0385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85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2026-10-30T18:50:00Z</dcterms:created>
  <dcterms:modified xsi:type="dcterms:W3CDTF">2026-10-30T18:51:00Z</dcterms:modified>
</cp:coreProperties>
</file>