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  <w:lang w:val="en-US" w:eastAsia="zh-CN"/>
        </w:rPr>
      </w:pPr>
      <w:bookmarkStart w:id="0" w:name="OLE_LINK22"/>
      <w:r>
        <w:rPr>
          <w:rFonts w:ascii="Times New Roman" w:hAnsi="Times New Roman"/>
          <w:b/>
          <w:bCs/>
          <w:sz w:val="24"/>
          <w:szCs w:val="24"/>
          <w:highlight w:val="none"/>
        </w:rPr>
        <w:t>Garcinol Promotes the Formation of Slow-Twitch Muscle Fibers by Inhibiting p300-Dependent Acetylation of PGC-1α</w:t>
      </w:r>
      <w:bookmarkEnd w:id="0"/>
      <w:r>
        <w:rPr>
          <w:rFonts w:hint="eastAsia" w:ascii="Times New Roman" w:hAnsi="Times New Roman"/>
          <w:b/>
          <w:bCs/>
          <w:sz w:val="24"/>
          <w:szCs w:val="24"/>
          <w:highlight w:val="none"/>
          <w:lang w:val="en-US" w:eastAsia="zh-CN"/>
        </w:rPr>
        <w:t xml:space="preserve">. </w:t>
      </w:r>
      <w:bookmarkStart w:id="10" w:name="_GoBack"/>
      <w:bookmarkEnd w:id="10"/>
    </w:p>
    <w:p>
      <w:pPr>
        <w:spacing w:line="360" w:lineRule="auto"/>
        <w:jc w:val="center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Online</w:t>
      </w:r>
      <w:r>
        <w:rPr>
          <w:rFonts w:hint="eastAsia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Supplementary</w:t>
      </w:r>
      <w:r>
        <w:rPr>
          <w:rFonts w:hint="eastAsia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Material</w:t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  <w:highlight w:val="none"/>
        </w:rPr>
      </w:pPr>
      <w:r>
        <w:rPr>
          <w:rFonts w:ascii="Times New Roman" w:hAnsi="Times New Roman" w:cs="Times New Roman"/>
          <w:b/>
          <w:bCs/>
          <w:sz w:val="24"/>
          <w:highlight w:val="none"/>
        </w:rPr>
        <w:t>Supplemental</w:t>
      </w:r>
      <w:r>
        <w:rPr>
          <w:rFonts w:hint="eastAsia" w:ascii="Times New Roman" w:hAnsi="Times New Roman" w:cs="Times New Roman"/>
          <w:b/>
          <w:bCs/>
          <w:sz w:val="24"/>
          <w:highlight w:val="none"/>
        </w:rPr>
        <w:t xml:space="preserve"> </w:t>
      </w:r>
      <w:r>
        <w:rPr>
          <w:rFonts w:ascii="Times New Roman" w:hAnsi="Times New Roman" w:cs="Times New Roman"/>
          <w:b/>
          <w:bCs/>
          <w:sz w:val="24"/>
          <w:highlight w:val="none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highlight w:val="none"/>
        </w:rPr>
        <w:t>1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highlight w:val="none"/>
        </w:rPr>
      </w:pPr>
      <w:r>
        <w:rPr>
          <w:rFonts w:ascii="Times New Roman" w:hAnsi="Times New Roman" w:cs="Times New Roman"/>
          <w:b/>
          <w:bCs/>
          <w:sz w:val="24"/>
          <w:highlight w:val="none"/>
        </w:rPr>
        <w:t>Ingredient and chemical composition of the diets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9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highlight w:val="none"/>
              </w:rPr>
              <w:t>Item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Ingredient, %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Corn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67.0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Soybean meal, dehulled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Wheat bran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Fish meal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Soybean oil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Dicalcium phosphate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Limestone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L-Lysine HCl (78%)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Salt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0.38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Premix</w:t>
            </w:r>
            <w:r>
              <w:rPr>
                <w:rFonts w:ascii="Times New Roman" w:hAnsi="Times New Roman" w:cs="Times New Roman"/>
                <w:sz w:val="24"/>
                <w:highlight w:val="none"/>
                <w:vertAlign w:val="superscript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vertAlign w:val="superscript"/>
              </w:rPr>
              <w:t>1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0.5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Total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Calculated composition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G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ross energy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GE, MJ/kg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C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rude protein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CP, %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21.7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Fat,%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Ca, %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0.95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Total P, %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0.61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Analyzed composition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etabolizable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 energy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, M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E, MJ/kg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12.04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C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rude protein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CP, %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20.5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Fat,%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 xml:space="preserve">Ash, % 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39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E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ther extract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EE, %</w:t>
            </w:r>
          </w:p>
        </w:tc>
        <w:tc>
          <w:tcPr>
            <w:tcW w:w="413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1.7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vertAlign w:val="superscript"/>
        </w:rPr>
        <w:t>1</w:t>
      </w:r>
      <w:bookmarkStart w:id="1" w:name="OLE_LINK5"/>
      <w:r>
        <w:rPr>
          <w:rFonts w:ascii="Times New Roman" w:hAnsi="Times New Roman" w:cs="Times New Roman"/>
          <w:sz w:val="24"/>
          <w:szCs w:val="24"/>
          <w:highlight w:val="none"/>
        </w:rPr>
        <w:t>Premix supplied the following per kilogram of diet: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1) cobalt (as cyanocobalamin), 0.6; 2) copper (as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CuSO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bscript"/>
        </w:rPr>
        <w:t>4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-5H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bscript"/>
        </w:rPr>
        <w:t>2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O), 5.0; 3) iodine (as CaI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bscript"/>
        </w:rPr>
        <w:t>2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), 0.48; 4) iron (as FeSO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bscript"/>
        </w:rPr>
        <w:t>4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), 75.0; 5) manganese (as MnO),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20.0; 6) selenium (as Na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bscript"/>
        </w:rPr>
        <w:t>2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SeO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bscript"/>
        </w:rPr>
        <w:t>3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), 0.40; and 7) zinc (as ZnO), 10.0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; 8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) all-rac-a-tocopheryl acetate, 64.0;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9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) D -biotin,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0.2;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) calcium d-pantothenate, 24.0;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11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) cholecalciferol, 5.5;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12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) folic acid, 6.0;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13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) menadione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sodium bisulfite, 2.2;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14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) nicotinic acid, 30.3;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15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) pyridoxine-HCl, 12.0;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16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) retiny acetate, 1.9;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17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)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riboflavin, 5.5;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18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) thiamin-HCl, 13.0; and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19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) vitamin B-12, 0.022.</w:t>
      </w:r>
    </w:p>
    <w:bookmarkEnd w:id="1"/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rPr>
          <w:rFonts w:ascii="Times New Roman" w:hAnsi="Times New Roman" w:cs="Times New Roman"/>
          <w:sz w:val="24"/>
          <w:highlight w:val="none"/>
          <w:vertAlign w:val="superscript"/>
        </w:rPr>
      </w:pPr>
      <w:r>
        <w:rPr>
          <w:rFonts w:hint="eastAsia" w:ascii="Times New Roman" w:hAnsi="Times New Roman" w:cs="Times New Roman"/>
          <w:b/>
          <w:bCs/>
          <w:sz w:val="24"/>
          <w:highlight w:val="none"/>
        </w:rPr>
        <w:t xml:space="preserve">Supplemental Table </w:t>
      </w:r>
      <w:r>
        <w:rPr>
          <w:rFonts w:ascii="Times New Roman" w:hAnsi="Times New Roman" w:cs="Times New Roman"/>
          <w:b/>
          <w:bCs/>
          <w:sz w:val="24"/>
          <w:highlight w:val="none"/>
        </w:rPr>
        <w:t>2</w:t>
      </w:r>
      <w:r>
        <w:rPr>
          <w:rFonts w:hint="eastAsia" w:ascii="Times New Roman" w:hAnsi="Times New Roman" w:cs="Times New Roman"/>
          <w:b/>
          <w:bCs/>
          <w:sz w:val="24"/>
          <w:highlight w:val="none"/>
        </w:rPr>
        <w:t xml:space="preserve"> </w:t>
      </w:r>
      <w:r>
        <w:rPr>
          <w:rFonts w:hint="eastAsia" w:ascii="Times New Roman" w:hAnsi="Times New Roman" w:cs="Times New Roman"/>
          <w:sz w:val="24"/>
          <w:highlight w:val="none"/>
        </w:rPr>
        <w:t>Name, type, dilution, and source of primary antibodies</w:t>
      </w:r>
      <w:r>
        <w:rPr>
          <w:rFonts w:hint="eastAsia" w:ascii="Times New Roman" w:hAnsi="Times New Roman" w:cs="Times New Roman"/>
          <w:sz w:val="24"/>
          <w:highlight w:val="none"/>
          <w:vertAlign w:val="superscript"/>
        </w:rPr>
        <w:t>1</w:t>
      </w:r>
    </w:p>
    <w:tbl>
      <w:tblPr>
        <w:tblStyle w:val="5"/>
        <w:tblpPr w:leftFromText="180" w:rightFromText="180" w:vertAnchor="text" w:horzAnchor="margin" w:tblpY="182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209"/>
        <w:gridCol w:w="1473"/>
        <w:gridCol w:w="4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53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Antibody</w:t>
            </w:r>
          </w:p>
        </w:tc>
        <w:tc>
          <w:tcPr>
            <w:tcW w:w="12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Isotype</w:t>
            </w:r>
          </w:p>
        </w:tc>
        <w:tc>
          <w:tcPr>
            <w:tcW w:w="147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Dilution</w:t>
            </w:r>
          </w:p>
        </w:tc>
        <w:tc>
          <w:tcPr>
            <w:tcW w:w="49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left="120" w:hanging="120" w:hangingChars="50"/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highlight w:val="none"/>
              </w:rPr>
              <w:t>Source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highlight w:val="none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宋体" w:cs="Times New Roman"/>
                <w:sz w:val="24"/>
                <w:highlight w:val="none"/>
              </w:rPr>
              <w:t>300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000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Cell Signaling Technology (Boston,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P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GC-1α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2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000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bookmarkStart w:id="2" w:name="OLE_LINK2"/>
            <w:r>
              <w:rPr>
                <w:rFonts w:ascii="Times New Roman" w:hAnsi="Times New Roman" w:cs="Times New Roman"/>
                <w:sz w:val="24"/>
                <w:highlight w:val="none"/>
              </w:rPr>
              <w:t>Cell Signaling Technology (Boston, MA, USA)</w:t>
            </w:r>
            <w:bookmarkEnd w:id="2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bookmarkStart w:id="3" w:name="OLE_LINK3"/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Sirt1</w:t>
            </w:r>
            <w:bookmarkEnd w:id="3"/>
          </w:p>
        </w:tc>
        <w:tc>
          <w:tcPr>
            <w:tcW w:w="1209" w:type="dxa"/>
            <w:shd w:val="clear" w:color="auto" w:fill="auto"/>
            <w:vAlign w:val="top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2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000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Cell Signaling Technology (Boston,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Slow MyHC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1:1000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Abcam (Cambridge,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Fast MyHC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10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Abcam (Cambridge,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ACTB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bookmarkStart w:id="4" w:name="OLE_LINK1"/>
            <w:r>
              <w:rPr>
                <w:rFonts w:ascii="Times New Roman" w:hAnsi="Times New Roman" w:cs="Times New Roman"/>
                <w:sz w:val="24"/>
                <w:highlight w:val="none"/>
              </w:rPr>
              <w:t>1:2000</w:t>
            </w:r>
            <w:bookmarkEnd w:id="4"/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Cell Signaling Technology (Boston,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9180" w:type="dxa"/>
            <w:gridSpan w:val="4"/>
            <w:shd w:val="clear" w:color="auto" w:fill="auto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600" w:firstLineChars="250"/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Secondary Antibody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53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HRP labelled Antibody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Goat anti rabbit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1:10,000</w:t>
            </w:r>
          </w:p>
        </w:tc>
        <w:tc>
          <w:tcPr>
            <w:tcW w:w="49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Santa Cruz</w:t>
            </w:r>
            <w:r>
              <w:rPr>
                <w:rFonts w:ascii="Times New Roman" w:hAnsi="Times New Roman" w:cs="Times New Roman"/>
                <w:sz w:val="24"/>
                <w:highlight w:val="non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(</w:t>
            </w:r>
            <w:r>
              <w:rPr>
                <w:rFonts w:ascii="Times New Roman" w:hAnsi="Times New Roman" w:cs="Times New Roman"/>
                <w:sz w:val="24"/>
                <w:highlight w:val="none"/>
                <w:shd w:val="clear" w:color="auto" w:fill="FFFFFF"/>
              </w:rPr>
              <w:t>Santa Cruz, CA, USA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)</w:t>
            </w:r>
          </w:p>
        </w:tc>
      </w:tr>
    </w:tbl>
    <w:p>
      <w:pPr>
        <w:rPr>
          <w:rFonts w:ascii="Times New Roman" w:hAnsi="Times New Roman" w:cs="Times New Roman"/>
          <w:sz w:val="24"/>
          <w:highlight w:val="none"/>
          <w:vertAlign w:val="superscript"/>
        </w:rPr>
      </w:pPr>
    </w:p>
    <w:p>
      <w:pPr>
        <w:spacing w:line="360" w:lineRule="auto"/>
        <w:jc w:val="both"/>
        <w:rPr>
          <w:rFonts w:hint="default" w:ascii="Times New Roman" w:hAnsi="Times New Roman" w:cs="Times New Roman" w:eastAsiaTheme="minorEastAsia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highlight w:val="none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highlight w:val="none"/>
        </w:rPr>
        <w:t>PGC-1α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peroxlsome proliferator-activated receptor-γ coactlvator-1α;  Sirt1, Silent information regulator 1;</w:t>
      </w:r>
      <w:bookmarkStart w:id="5" w:name="OLE_LINK4"/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highlight w:val="none"/>
        </w:rPr>
        <w:t>Slow MyHC</w:t>
      </w:r>
      <w:bookmarkEnd w:id="5"/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 xml:space="preserve">, slow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yosin heavy chain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Fast</w:t>
      </w:r>
      <w:r>
        <w:rPr>
          <w:rFonts w:hint="default" w:ascii="Times New Roman" w:hAnsi="Times New Roman" w:cs="Times New Roman"/>
          <w:sz w:val="24"/>
          <w:highlight w:val="none"/>
        </w:rPr>
        <w:t xml:space="preserve"> MyHC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 xml:space="preserve">, fast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yosin heavy chain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; ACTB, β-Actin.</w:t>
      </w: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highlight w:val="none"/>
        </w:rPr>
        <w:t xml:space="preserve">Supplemental Table </w:t>
      </w:r>
      <w:r>
        <w:rPr>
          <w:rFonts w:hint="eastAsia" w:ascii="Times New Roman" w:hAnsi="Times New Roman" w:cs="Times New Roman"/>
          <w:b/>
          <w:bCs/>
          <w:sz w:val="24"/>
          <w:highlight w:val="none"/>
          <w:lang w:val="en-US" w:eastAsia="zh-CN"/>
        </w:rPr>
        <w:t xml:space="preserve">3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Primers used for real-time quantitative PCR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vertAlign w:val="superscript"/>
          <w:lang w:val="en-US" w:eastAsia="zh-CN"/>
        </w:rPr>
        <w:t>1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6"/>
        <w:gridCol w:w="4293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Gene</w:t>
            </w:r>
          </w:p>
        </w:tc>
        <w:tc>
          <w:tcPr>
            <w:tcW w:w="429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Primer</w:t>
            </w: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sequence (5′–3′) </w:t>
            </w:r>
          </w:p>
        </w:tc>
        <w:tc>
          <w:tcPr>
            <w:tcW w:w="170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Length,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MyHCI</w:t>
            </w:r>
          </w:p>
        </w:tc>
        <w:tc>
          <w:tcPr>
            <w:tcW w:w="4293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F:AAGGGCTTGAACGAGGAGTAGA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R:TTATTCTGCTTCCTCCAAAGGG</w:t>
            </w:r>
          </w:p>
        </w:tc>
        <w:tc>
          <w:tcPr>
            <w:tcW w:w="170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MyHCIIa</w:t>
            </w: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 GCTGAGCGAGCTGAAATCC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 ACTGAGACACCAGAGCTTCT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MyHCIIx</w:t>
            </w: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F: AGAAGATCAACTGAGTGAACT 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 AGAGCTGAGAAACTAACGTG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MyHCIIb</w:t>
            </w: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 ATGAAGAGGAACCACATTA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 TTATTGCCTCAGTAGCTTG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Myoglobin</w:t>
            </w: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 CACCATGGGGCTCAGTGATG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R:CTCAGCCCTGGAAGCCTAGC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TnI slow</w:t>
            </w: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 AGTTGAGAGGAAATCCAAGAT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R:CTTCAGCTTCAGGTCCTTGAT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bookmarkStart w:id="6" w:name="OLE_LINK8"/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TnI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fast</w:t>
            </w:r>
            <w:bookmarkEnd w:id="6"/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F:TCAAGGATAAGGGCGACAGC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R:TGTCCATGGACGCAGCTCTT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18srRNA</w:t>
            </w:r>
          </w:p>
        </w:tc>
        <w:tc>
          <w:tcPr>
            <w:tcW w:w="429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F:CCCACGGAATCGAGAAAGAG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R:TTGACGGAAGGGCACCA</w:t>
            </w:r>
          </w:p>
        </w:tc>
        <w:tc>
          <w:tcPr>
            <w:tcW w:w="170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122</w:t>
            </w:r>
          </w:p>
        </w:tc>
      </w:tr>
    </w:tbl>
    <w:p>
      <w:pPr>
        <w:spacing w:line="360" w:lineRule="auto"/>
        <w:rPr>
          <w:rFonts w:hint="eastAsia" w:ascii="Times New Roman" w:hAnsi="Times New Roman" w:cs="Times New Roman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highlight w:val="none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MyHCI, Myosin heavy chain I;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MyHCIIa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, Myosin heavy chain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IIa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MyHCIIx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, </w:t>
      </w:r>
      <w:bookmarkStart w:id="7" w:name="OLE_LINK7"/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Myosin heavy chain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IIx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;</w:t>
      </w:r>
      <w:bookmarkEnd w:id="7"/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MyHC</w:t>
      </w:r>
      <w:bookmarkStart w:id="8" w:name="OLE_LINK9"/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IIb</w:t>
      </w:r>
      <w:bookmarkEnd w:id="8"/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, Myosin heavy chain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IIb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TnI slow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, Troponin I slow; TnI fast, Troponin I fast.</w:t>
      </w:r>
    </w:p>
    <w:p>
      <w:pPr>
        <w:spacing w:line="360" w:lineRule="auto"/>
        <w:rPr>
          <w:rFonts w:hint="default" w:ascii="Times New Roman" w:hAnsi="Times New Roman" w:cs="Times New Roman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F: forward primer; R: reverse primer</w:t>
      </w:r>
    </w:p>
    <w:p>
      <w:pPr>
        <w:spacing w:line="360" w:lineRule="auto"/>
        <w:rPr>
          <w:rFonts w:hint="default" w:ascii="Times New Roman" w:hAnsi="Times New Roman" w:cs="Times New Roman"/>
          <w:sz w:val="24"/>
          <w:highlight w:val="none"/>
          <w:lang w:val="en-US" w:eastAsia="zh-CN"/>
        </w:rPr>
      </w:pPr>
    </w:p>
    <w:p>
      <w:pPr>
        <w:spacing w:line="360" w:lineRule="auto"/>
        <w:rPr>
          <w:rFonts w:ascii="Times New Roman" w:hAnsi="Times New Roman" w:cs="Times New Roman"/>
          <w:sz w:val="24"/>
          <w:highlight w:val="none"/>
        </w:rPr>
      </w:pPr>
    </w:p>
    <w:p>
      <w:pPr>
        <w:spacing w:line="360" w:lineRule="auto"/>
        <w:rPr>
          <w:rFonts w:ascii="Times New Roman" w:hAnsi="Times New Roman" w:cs="Times New Roman"/>
          <w:sz w:val="24"/>
          <w:highlight w:val="none"/>
        </w:rPr>
      </w:pPr>
    </w:p>
    <w:p>
      <w:pPr>
        <w:spacing w:line="360" w:lineRule="auto"/>
        <w:rPr>
          <w:rFonts w:ascii="Times New Roman" w:hAnsi="Times New Roman" w:cs="Times New Roman"/>
          <w:sz w:val="24"/>
          <w:highlight w:val="none"/>
        </w:rPr>
      </w:pPr>
    </w:p>
    <w:p>
      <w:pPr>
        <w:spacing w:line="360" w:lineRule="auto"/>
        <w:rPr>
          <w:rFonts w:ascii="Times New Roman" w:hAnsi="Times New Roman" w:cs="Times New Roman"/>
          <w:sz w:val="24"/>
          <w:highlight w:val="none"/>
        </w:rPr>
      </w:pPr>
    </w:p>
    <w:p>
      <w:pPr>
        <w:spacing w:line="360" w:lineRule="auto"/>
        <w:rPr>
          <w:rFonts w:ascii="Times New Roman" w:hAnsi="Times New Roman" w:cs="Times New Roman"/>
          <w:sz w:val="24"/>
          <w:highlight w:val="none"/>
        </w:rPr>
      </w:pPr>
    </w:p>
    <w:p>
      <w:pPr>
        <w:spacing w:line="360" w:lineRule="auto"/>
        <w:rPr>
          <w:rFonts w:ascii="Times New Roman" w:hAnsi="Times New Roman" w:cs="Times New Roman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</w:pPr>
      <w:bookmarkStart w:id="9" w:name="OLE_LINK6"/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Online Supplementary Material</w:t>
      </w: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Figure S1.</w:t>
      </w:r>
      <w:bookmarkEnd w:id="9"/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 Dose-response curves for C2C12 myotubes to garcinol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sz w:val="24"/>
          <w:highlight w:val="none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highlight w:val="none"/>
          <w:lang w:eastAsia="zh-CN"/>
        </w:rPr>
        <w:drawing>
          <wp:inline distT="0" distB="0" distL="114300" distR="114300">
            <wp:extent cx="3749040" cy="2475230"/>
            <wp:effectExtent l="0" t="0" r="3810" b="1270"/>
            <wp:docPr id="2" name="图片 2" descr="细胞活力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细胞活力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 w:eastAsiaTheme="minorEastAsia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Time-response curve of C2C12 myotubes to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 garcinol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sz w:val="24"/>
          <w:highlight w:val="none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highlight w:val="none"/>
          <w:lang w:eastAsia="zh-CN"/>
        </w:rPr>
        <w:drawing>
          <wp:inline distT="0" distB="0" distL="114300" distR="114300">
            <wp:extent cx="3581400" cy="2618105"/>
            <wp:effectExtent l="0" t="0" r="0" b="10795"/>
            <wp:docPr id="1" name="图片 1" descr="细胞活力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细胞活力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61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36BA8"/>
    <w:rsid w:val="00015AC4"/>
    <w:rsid w:val="001D5FA6"/>
    <w:rsid w:val="0040584D"/>
    <w:rsid w:val="004B6DAF"/>
    <w:rsid w:val="00505C57"/>
    <w:rsid w:val="005C0320"/>
    <w:rsid w:val="005C10D5"/>
    <w:rsid w:val="006A7614"/>
    <w:rsid w:val="00876112"/>
    <w:rsid w:val="008871D2"/>
    <w:rsid w:val="00A640C0"/>
    <w:rsid w:val="00B34E2B"/>
    <w:rsid w:val="00C85054"/>
    <w:rsid w:val="00DD3A95"/>
    <w:rsid w:val="01AC1DD1"/>
    <w:rsid w:val="02536F73"/>
    <w:rsid w:val="02715552"/>
    <w:rsid w:val="027352C4"/>
    <w:rsid w:val="02FF3640"/>
    <w:rsid w:val="04337EF7"/>
    <w:rsid w:val="053F3369"/>
    <w:rsid w:val="05A9548E"/>
    <w:rsid w:val="06B22F2E"/>
    <w:rsid w:val="07357261"/>
    <w:rsid w:val="086079FD"/>
    <w:rsid w:val="0ACE5ACD"/>
    <w:rsid w:val="0B1069DC"/>
    <w:rsid w:val="0D046EBA"/>
    <w:rsid w:val="0DAC7C1E"/>
    <w:rsid w:val="0DE01814"/>
    <w:rsid w:val="0DE732E6"/>
    <w:rsid w:val="0DF0532B"/>
    <w:rsid w:val="0F0E4632"/>
    <w:rsid w:val="0F5554C3"/>
    <w:rsid w:val="0F8D62F8"/>
    <w:rsid w:val="0FFD3163"/>
    <w:rsid w:val="100832D9"/>
    <w:rsid w:val="116550A1"/>
    <w:rsid w:val="11857F12"/>
    <w:rsid w:val="12106EEB"/>
    <w:rsid w:val="124C24BE"/>
    <w:rsid w:val="12883ED1"/>
    <w:rsid w:val="146D3330"/>
    <w:rsid w:val="14701797"/>
    <w:rsid w:val="16E05D6F"/>
    <w:rsid w:val="175376BA"/>
    <w:rsid w:val="176D4623"/>
    <w:rsid w:val="177C4FAF"/>
    <w:rsid w:val="18A94F3F"/>
    <w:rsid w:val="18E07105"/>
    <w:rsid w:val="1A4873A7"/>
    <w:rsid w:val="1BDA22A9"/>
    <w:rsid w:val="1C01191B"/>
    <w:rsid w:val="1C073244"/>
    <w:rsid w:val="1C084EDA"/>
    <w:rsid w:val="1D4348BB"/>
    <w:rsid w:val="1E9D44B7"/>
    <w:rsid w:val="1EDC65F0"/>
    <w:rsid w:val="1EDC680D"/>
    <w:rsid w:val="1F2472A6"/>
    <w:rsid w:val="1FA61D60"/>
    <w:rsid w:val="1FD03C84"/>
    <w:rsid w:val="1FDC3FD7"/>
    <w:rsid w:val="208020B8"/>
    <w:rsid w:val="21E57871"/>
    <w:rsid w:val="22C434FB"/>
    <w:rsid w:val="237C359A"/>
    <w:rsid w:val="238D6354"/>
    <w:rsid w:val="24195712"/>
    <w:rsid w:val="24E74CC8"/>
    <w:rsid w:val="25013816"/>
    <w:rsid w:val="26126EE0"/>
    <w:rsid w:val="265C49F2"/>
    <w:rsid w:val="26690936"/>
    <w:rsid w:val="269B7A10"/>
    <w:rsid w:val="26CF00A8"/>
    <w:rsid w:val="27157590"/>
    <w:rsid w:val="27200866"/>
    <w:rsid w:val="279A03ED"/>
    <w:rsid w:val="27B67DA9"/>
    <w:rsid w:val="291573F8"/>
    <w:rsid w:val="292F5795"/>
    <w:rsid w:val="29FA1188"/>
    <w:rsid w:val="29FC2A17"/>
    <w:rsid w:val="2A1C162C"/>
    <w:rsid w:val="2BB859A0"/>
    <w:rsid w:val="2DA13068"/>
    <w:rsid w:val="2EEB732A"/>
    <w:rsid w:val="2EF07C9C"/>
    <w:rsid w:val="2F404387"/>
    <w:rsid w:val="2F632684"/>
    <w:rsid w:val="2F9473F6"/>
    <w:rsid w:val="2FA405BA"/>
    <w:rsid w:val="2FB41C31"/>
    <w:rsid w:val="30215E09"/>
    <w:rsid w:val="303E7925"/>
    <w:rsid w:val="319C09C9"/>
    <w:rsid w:val="319F2BB7"/>
    <w:rsid w:val="31C7593F"/>
    <w:rsid w:val="31D04F55"/>
    <w:rsid w:val="33BA16AD"/>
    <w:rsid w:val="33D12177"/>
    <w:rsid w:val="33E06AB6"/>
    <w:rsid w:val="34D36447"/>
    <w:rsid w:val="35437084"/>
    <w:rsid w:val="35EA40D7"/>
    <w:rsid w:val="36F036D9"/>
    <w:rsid w:val="37C81046"/>
    <w:rsid w:val="385043ED"/>
    <w:rsid w:val="3B193403"/>
    <w:rsid w:val="3BCC7718"/>
    <w:rsid w:val="3C712FEF"/>
    <w:rsid w:val="3CC5799B"/>
    <w:rsid w:val="3DCE72FF"/>
    <w:rsid w:val="3DF84988"/>
    <w:rsid w:val="3E7C5A7C"/>
    <w:rsid w:val="3E8C41CE"/>
    <w:rsid w:val="3E954833"/>
    <w:rsid w:val="3F05081C"/>
    <w:rsid w:val="3FFD1393"/>
    <w:rsid w:val="403719D9"/>
    <w:rsid w:val="40EF704B"/>
    <w:rsid w:val="41330088"/>
    <w:rsid w:val="42347CE8"/>
    <w:rsid w:val="424857F2"/>
    <w:rsid w:val="43AF648E"/>
    <w:rsid w:val="45270463"/>
    <w:rsid w:val="45A76FD3"/>
    <w:rsid w:val="45E53542"/>
    <w:rsid w:val="46B55E3E"/>
    <w:rsid w:val="46BE545A"/>
    <w:rsid w:val="48530AE7"/>
    <w:rsid w:val="4897097F"/>
    <w:rsid w:val="49555F35"/>
    <w:rsid w:val="4ACC3EE4"/>
    <w:rsid w:val="4AF8294C"/>
    <w:rsid w:val="4B400ABB"/>
    <w:rsid w:val="4B902041"/>
    <w:rsid w:val="4BDD3171"/>
    <w:rsid w:val="4C457733"/>
    <w:rsid w:val="4CCF08B2"/>
    <w:rsid w:val="4CF635AC"/>
    <w:rsid w:val="4DFE411C"/>
    <w:rsid w:val="4F106342"/>
    <w:rsid w:val="4F52711F"/>
    <w:rsid w:val="502F0F30"/>
    <w:rsid w:val="508D40C1"/>
    <w:rsid w:val="50DA2E2F"/>
    <w:rsid w:val="52322A38"/>
    <w:rsid w:val="523E4895"/>
    <w:rsid w:val="52681938"/>
    <w:rsid w:val="529E175A"/>
    <w:rsid w:val="54107DB3"/>
    <w:rsid w:val="556E7F86"/>
    <w:rsid w:val="57065D9C"/>
    <w:rsid w:val="572B7194"/>
    <w:rsid w:val="57D50365"/>
    <w:rsid w:val="583D597C"/>
    <w:rsid w:val="58584370"/>
    <w:rsid w:val="58860CC8"/>
    <w:rsid w:val="58C647B1"/>
    <w:rsid w:val="59BA69A6"/>
    <w:rsid w:val="59C519B7"/>
    <w:rsid w:val="5A9D757C"/>
    <w:rsid w:val="5B4368A4"/>
    <w:rsid w:val="5B890CB5"/>
    <w:rsid w:val="5B926AC2"/>
    <w:rsid w:val="5C802F47"/>
    <w:rsid w:val="5E0D56FE"/>
    <w:rsid w:val="5E28629A"/>
    <w:rsid w:val="60EF5F01"/>
    <w:rsid w:val="62C76DD7"/>
    <w:rsid w:val="62FC2196"/>
    <w:rsid w:val="639049F0"/>
    <w:rsid w:val="63E34A1F"/>
    <w:rsid w:val="64486E3E"/>
    <w:rsid w:val="64A414AE"/>
    <w:rsid w:val="654B2266"/>
    <w:rsid w:val="658F436A"/>
    <w:rsid w:val="65B53110"/>
    <w:rsid w:val="65D411CB"/>
    <w:rsid w:val="65E056FA"/>
    <w:rsid w:val="67655AA6"/>
    <w:rsid w:val="68736BA8"/>
    <w:rsid w:val="69A91888"/>
    <w:rsid w:val="69E35A58"/>
    <w:rsid w:val="6E435695"/>
    <w:rsid w:val="6ECA0BA6"/>
    <w:rsid w:val="6F127C42"/>
    <w:rsid w:val="6F4267F3"/>
    <w:rsid w:val="6FDD3312"/>
    <w:rsid w:val="70D677FF"/>
    <w:rsid w:val="72101912"/>
    <w:rsid w:val="72164429"/>
    <w:rsid w:val="72F462C9"/>
    <w:rsid w:val="738510C9"/>
    <w:rsid w:val="73FE2D83"/>
    <w:rsid w:val="74184A8D"/>
    <w:rsid w:val="7468310B"/>
    <w:rsid w:val="74746E53"/>
    <w:rsid w:val="75457C50"/>
    <w:rsid w:val="760E3513"/>
    <w:rsid w:val="763439E1"/>
    <w:rsid w:val="76E265E7"/>
    <w:rsid w:val="779B4A16"/>
    <w:rsid w:val="783A5083"/>
    <w:rsid w:val="787567F1"/>
    <w:rsid w:val="787E6332"/>
    <w:rsid w:val="78DB2876"/>
    <w:rsid w:val="7927537D"/>
    <w:rsid w:val="796C365A"/>
    <w:rsid w:val="79F272C9"/>
    <w:rsid w:val="7A675BC7"/>
    <w:rsid w:val="7AA963A9"/>
    <w:rsid w:val="7B2D673E"/>
    <w:rsid w:val="7BA33BD1"/>
    <w:rsid w:val="7C0127F8"/>
    <w:rsid w:val="7CCD7A89"/>
    <w:rsid w:val="7D422FFB"/>
    <w:rsid w:val="7E10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pPr>
      <w:spacing w:line="240" w:lineRule="auto"/>
    </w:pPr>
    <w:rPr>
      <w:b/>
      <w:bCs/>
      <w:color w:val="5B9BD5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1319</Characters>
  <Lines>10</Lines>
  <Paragraphs>3</Paragraphs>
  <TotalTime>0</TotalTime>
  <ScaleCrop>false</ScaleCrop>
  <LinksUpToDate>false</LinksUpToDate>
  <CharactersWithSpaces>1547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2020-03-08T04:37:00Z</dcterms:created>
  <dc:creator>pipi</dc:creator>
  <cp:lastModifiedBy>pipi</cp:lastModifiedBy>
  <dcterms:modified xsi:type="dcterms:W3CDTF">2021-08-23T07:46:07Z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0B3F76FBD19B4588B533EDD13933A676</vt:lpwstr>
  </property>
</Properties>
</file>