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99C" w:rsidRDefault="00B94C70">
      <w:r>
        <w:rPr>
          <w:noProof/>
          <w:lang w:val="hu-HU"/>
        </w:rPr>
        <w:drawing>
          <wp:inline distT="114300" distB="114300" distL="114300" distR="114300">
            <wp:extent cx="5731200" cy="228600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286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B94C70">
      <w:pPr>
        <w:jc w:val="both"/>
      </w:pPr>
      <w:r>
        <w:rPr>
          <w:b/>
          <w:bCs/>
        </w:rPr>
        <w:t xml:space="preserve">SFig 1. Distribution of patient-level immune-cell phenotype densities. </w:t>
      </w:r>
      <w:r>
        <w:t xml:space="preserve">Histograms show cohort-wide distributions of CD4+, CD8+, CD45RO+, CD45RA+ and lineage-restricted double-positive cell densities. Dashed lines indicate cohort medians; sample size, median and interquartile range are shown within each panel. </w:t>
      </w:r>
    </w:p>
    <w:p w:rsidR="0004499C" w:rsidRDefault="0004499C"/>
    <w:p w:rsidR="0004499C" w:rsidRDefault="0004499C"/>
    <w:p w:rsidR="0004499C" w:rsidRDefault="00B94C70">
      <w:r>
        <w:rPr>
          <w:noProof/>
          <w:lang w:val="hu-HU"/>
        </w:rPr>
        <w:drawing>
          <wp:inline distT="114300" distB="114300" distL="114300" distR="114300">
            <wp:extent cx="5731200" cy="3581400"/>
            <wp:effectExtent l="0" t="0" r="0" b="0"/>
            <wp:docPr id="4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581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B94C70">
      <w:pPr>
        <w:jc w:val="both"/>
      </w:pPr>
      <w:r>
        <w:rPr>
          <w:b/>
          <w:bCs/>
        </w:rPr>
        <w:t>SFig 2. Dis</w:t>
      </w:r>
      <w:r>
        <w:rPr>
          <w:b/>
          <w:bCs/>
        </w:rPr>
        <w:t xml:space="preserve">tribution of lineage-specific CD45RO ratios and normalized T-cell fractions. </w:t>
      </w:r>
      <w:r>
        <w:t>Histograms show patient-level CD45RO ratios and CD45RO+ or CD45RA+ fractions within CD8+ and CD4+ parent lineages. Dashed lines indicate cohort medians; sample size, median and in</w:t>
      </w:r>
      <w:r>
        <w:t xml:space="preserve">terquartile range are shown within each panel. </w:t>
      </w:r>
    </w:p>
    <w:p w:rsidR="0004499C" w:rsidRDefault="0004499C"/>
    <w:p w:rsidR="0004499C" w:rsidRDefault="00B94C70">
      <w:r>
        <w:rPr>
          <w:noProof/>
          <w:lang w:val="hu-HU"/>
        </w:rPr>
        <w:lastRenderedPageBreak/>
        <w:drawing>
          <wp:inline distT="114300" distB="114300" distL="114300" distR="114300">
            <wp:extent cx="5731200" cy="3619500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B94C70">
      <w:pPr>
        <w:jc w:val="both"/>
        <w:rPr>
          <w:b/>
          <w:bCs/>
        </w:rPr>
      </w:pPr>
      <w:r>
        <w:rPr>
          <w:b/>
          <w:bCs/>
        </w:rPr>
        <w:t>SFig 3. CD45RO ratios and lineage-normalized T-cell fractions according to PFS group.</w:t>
      </w:r>
      <w:r>
        <w:t xml:space="preserve"> Patient-level CD45RO ratios and lineage-normalized CD45RO+ or CD45RA+ fractions were compared between long-PFS and shor</w:t>
      </w:r>
      <w:r>
        <w:t>t-PFS groups. CD45RO ratios were higher in long-PFS patients within both CD8+ and CD4+ lineages, while the CD8+CD45RA+ fraction within CD8+ cells was higher in short-PFS patients. Other lineage-normalized fractions did not differ significantly. Statistical</w:t>
      </w:r>
      <w:r>
        <w:t xml:space="preserve"> significance is indicated above each comparison; n.s., not significant; *p&lt;0.05; **p&lt;0.01. </w:t>
      </w:r>
    </w:p>
    <w:p w:rsidR="0004499C" w:rsidRDefault="0004499C"/>
    <w:p w:rsidR="0004499C" w:rsidRDefault="0004499C"/>
    <w:p w:rsidR="0004499C" w:rsidRDefault="00B94C70">
      <w:r>
        <w:rPr>
          <w:noProof/>
          <w:lang w:val="hu-HU"/>
        </w:rPr>
        <w:lastRenderedPageBreak/>
        <w:drawing>
          <wp:inline distT="114300" distB="114300" distL="114300" distR="114300">
            <wp:extent cx="5731200" cy="3619500"/>
            <wp:effectExtent l="0" t="0" r="0" b="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619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04499C"/>
    <w:p w:rsidR="0004499C" w:rsidRDefault="00B94C70">
      <w:r>
        <w:rPr>
          <w:b/>
          <w:bCs/>
        </w:rPr>
        <w:t>SFig 4</w:t>
      </w:r>
      <w:r>
        <w:t xml:space="preserve">. </w:t>
      </w:r>
      <w:r>
        <w:rPr>
          <w:b/>
          <w:bCs/>
        </w:rPr>
        <w:t>CD45RO ratios and lineage-normalized T-cell fractions according to OS group.</w:t>
      </w:r>
      <w:r>
        <w:t xml:space="preserve"> Patient-level CD45RO ratios and lineage-normalized CD45RO+ or CD45RA+ fra</w:t>
      </w:r>
      <w:r>
        <w:t>ctions were compared between long-OS and short-OS groups. The CD45RO ratio within CD8+ cells was higher in long-OS patients, whereas the CD8+CD45RA+ fraction within CD8+ cells was higher in short-OS patients. The CD4-lineage ratio and the remaining lineage</w:t>
      </w:r>
      <w:r>
        <w:t xml:space="preserve">-normalized fractions did not differ significantly between groups. Statistical significance is indicated above each comparison; n.s., not significant; **p&lt;0.01. </w:t>
      </w:r>
    </w:p>
    <w:p w:rsidR="0004499C" w:rsidRDefault="0004499C"/>
    <w:p w:rsidR="0004499C" w:rsidRDefault="0004499C"/>
    <w:p w:rsidR="0004499C" w:rsidRDefault="0004499C"/>
    <w:p w:rsidR="0004499C" w:rsidRDefault="00B94C70">
      <w:r>
        <w:rPr>
          <w:noProof/>
          <w:lang w:val="hu-HU"/>
        </w:rPr>
        <w:lastRenderedPageBreak/>
        <w:drawing>
          <wp:inline distT="114300" distB="114300" distL="114300" distR="114300">
            <wp:extent cx="5731200" cy="84582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45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B94C70">
      <w:pPr>
        <w:jc w:val="both"/>
      </w:pPr>
      <w:r>
        <w:rPr>
          <w:b/>
          <w:bCs/>
        </w:rPr>
        <w:t>SFig 5. Additional Kaplan–Meier analyses of CD45RO- and CD45RA-related T-cell phenotypes.</w:t>
      </w:r>
      <w:r>
        <w:t xml:space="preserve"> Progression-free survival (PFS; upper panel) and overall survival (OS; lower </w:t>
      </w:r>
      <w:r>
        <w:lastRenderedPageBreak/>
        <w:t>panel) were evaluated for lineage-restricted phenotype densities, CD45RO ratios and parent-lineage-normalized fractions. Patients were dichotomized into high and low groups using</w:t>
      </w:r>
      <w:r>
        <w:t xml:space="preserve"> the cohort median for each variable, with the corresponding cutoff shown within each plot. </w:t>
      </w:r>
    </w:p>
    <w:p w:rsidR="0004499C" w:rsidRDefault="00B94C70">
      <w:r>
        <w:rPr>
          <w:noProof/>
          <w:lang w:val="hu-HU"/>
        </w:rPr>
        <w:drawing>
          <wp:inline distT="114300" distB="114300" distL="114300" distR="114300">
            <wp:extent cx="5731200" cy="3492500"/>
            <wp:effectExtent l="0" t="0" r="0" b="0"/>
            <wp:docPr id="6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49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4499C" w:rsidRDefault="00B94C70" w:rsidP="00B94C70">
      <w:pPr>
        <w:jc w:val="both"/>
      </w:pPr>
      <w:r>
        <w:rPr>
          <w:b/>
          <w:bCs/>
        </w:rPr>
        <w:t xml:space="preserve">SFig 6. Patient-level distribution of the TEI-derived risk score and clinicopathological characteristics. </w:t>
      </w:r>
      <w:r>
        <w:rPr>
          <w:rFonts w:ascii="Arial Unicode MS" w:eastAsia="Arial Unicode MS" w:hAnsi="Arial Unicode MS" w:cs="Arial Unicode MS"/>
        </w:rPr>
        <w:t xml:space="preserve">Patients were ranked according to the TEI-derived risk </w:t>
      </w:r>
      <w:r>
        <w:rPr>
          <w:rFonts w:ascii="Arial Unicode MS" w:eastAsia="Arial Unicode MS" w:hAnsi="Arial Unicode MS" w:cs="Arial Unicode MS"/>
        </w:rPr>
        <w:t xml:space="preserve">score (−log10 TEI), with the dashed horizontal line indicating the cohort median. The annotation matrix below summarizes PFS6 and OS12 groups, treatment modality, PD-L1 status, sex, COPD status and metastatic burden for each patient </w:t>
      </w:r>
      <w:bookmarkStart w:id="0" w:name="_GoBack"/>
      <w:bookmarkEnd w:id="0"/>
    </w:p>
    <w:sectPr w:rsidR="0004499C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1" w:fontKey="{643D7A8D-E701-43B9-996D-8030542D4414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2" w:subsetted="1" w:fontKey="{A093E7E0-8997-4431-BE02-E1453A65275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6B0F0155-FAA9-4D74-B2AE-4FFB49187E5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2FA7E399-885C-4595-9D0A-6485278F8E0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04499C"/>
    <w:rsid w:val="0004499C"/>
    <w:rsid w:val="00B9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C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C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4C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4C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2026-09-13T10:58:00Z</dcterms:created>
  <dcterms:modified xsi:type="dcterms:W3CDTF">2026-09-13T10:58:00Z</dcterms:modified>
</cp:coreProperties>
</file>