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2D292" w14:textId="77777777" w:rsidR="007A620F" w:rsidRDefault="00000000">
      <w:r>
        <w:rPr>
          <w:b/>
          <w:sz w:val="26"/>
        </w:rPr>
        <w:t>Supplementary Information</w:t>
      </w:r>
    </w:p>
    <w:p w14:paraId="4BF51836" w14:textId="77777777" w:rsidR="007A620F" w:rsidRDefault="00000000">
      <w:r>
        <w:t>Article title: Factors Associated With 3-Month Visual Outcomes in Patients With Pituitary Tumors: The Impact of Functional Status and Transsphenoidal Surgery</w:t>
      </w:r>
    </w:p>
    <w:p w14:paraId="14AE9C0C" w14:textId="77777777" w:rsidR="007A620F" w:rsidRDefault="00000000">
      <w:r>
        <w:t>Journal: Pituitary</w:t>
      </w:r>
    </w:p>
    <w:p w14:paraId="09A53654" w14:textId="77777777" w:rsidR="007A620F" w:rsidRDefault="00000000">
      <w:r>
        <w:t>Authors: Yeo Jin Lee, Suk-Gyu Ha</w:t>
      </w:r>
    </w:p>
    <w:p w14:paraId="2221F050" w14:textId="77777777" w:rsidR="007A620F" w:rsidRDefault="00000000">
      <w:r>
        <w:t xml:space="preserve">Corresponding author affiliation and e-mail address: </w:t>
      </w:r>
    </w:p>
    <w:p w14:paraId="0B0CDE98" w14:textId="4F622DF7" w:rsidR="007A620F" w:rsidRDefault="00E26E8C">
      <w:pPr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S</w:t>
      </w:r>
      <w:r>
        <w:rPr>
          <w:rFonts w:eastAsia="맑은 고딕"/>
          <w:lang w:eastAsia="ko-KR"/>
        </w:rPr>
        <w:t>u</w:t>
      </w:r>
      <w:r>
        <w:rPr>
          <w:rFonts w:eastAsia="맑은 고딕" w:hint="eastAsia"/>
          <w:lang w:eastAsia="ko-KR"/>
        </w:rPr>
        <w:t xml:space="preserve">k-Gyu, Ha </w:t>
      </w:r>
    </w:p>
    <w:p w14:paraId="5FCD63D7" w14:textId="3A730B26" w:rsidR="00E26E8C" w:rsidRPr="00E26E8C" w:rsidRDefault="00E26E8C">
      <w:pPr>
        <w:rPr>
          <w:rFonts w:eastAsia="맑은 고딕" w:hint="eastAsia"/>
          <w:lang w:eastAsia="ko-KR"/>
        </w:rPr>
      </w:pPr>
      <w:hyperlink r:id="rId6" w:history="1">
        <w:r w:rsidRPr="00997D7F">
          <w:rPr>
            <w:rStyle w:val="aff1"/>
            <w:rFonts w:eastAsia="맑은 고딕"/>
            <w:lang w:eastAsia="ko-KR"/>
          </w:rPr>
          <w:t>Sukgyu.ha@gmail.com</w:t>
        </w:r>
      </w:hyperlink>
      <w:r>
        <w:rPr>
          <w:rFonts w:eastAsia="맑은 고딕" w:hint="eastAsia"/>
          <w:lang w:eastAsia="ko-KR"/>
        </w:rPr>
        <w:t xml:space="preserve"> </w:t>
      </w:r>
    </w:p>
    <w:p w14:paraId="45341285" w14:textId="5B7B617A" w:rsidR="00E26E8C" w:rsidRPr="00E26E8C" w:rsidRDefault="00E26E8C">
      <w:pPr>
        <w:rPr>
          <w:rFonts w:eastAsia="맑은 고딕" w:hint="eastAsia"/>
          <w:lang w:eastAsia="ko-KR"/>
        </w:rPr>
      </w:pPr>
      <w:r>
        <w:rPr>
          <w:rFonts w:eastAsia="맑은 고딕" w:hint="eastAsia"/>
          <w:lang w:eastAsia="ko-KR"/>
        </w:rPr>
        <w:t xml:space="preserve">Korea University College of Medicine Department of Ophthalmology Ansan Hospital </w:t>
      </w:r>
    </w:p>
    <w:p w14:paraId="07C4232C" w14:textId="77777777" w:rsidR="007A620F" w:rsidRDefault="007A620F"/>
    <w:p w14:paraId="0A85FA12" w14:textId="77777777" w:rsidR="007A620F" w:rsidRDefault="00000000">
      <w:pPr>
        <w:spacing w:before="200"/>
      </w:pPr>
      <w:r>
        <w:rPr>
          <w:b/>
          <w:sz w:val="18"/>
        </w:rPr>
        <w:t>Supplementary Table S1. Baseline characteristics according to transsphenoidal surgery status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7A620F" w14:paraId="7AB19EB9" w14:textId="77777777">
        <w:trPr>
          <w:jc w:val="center"/>
        </w:trPr>
        <w:tc>
          <w:tcPr>
            <w:tcW w:w="2160" w:type="dxa"/>
            <w:shd w:val="clear" w:color="auto" w:fill="D9E1F2"/>
          </w:tcPr>
          <w:p w14:paraId="50D74906" w14:textId="77777777" w:rsidR="007A620F" w:rsidRDefault="00000000">
            <w:r>
              <w:rPr>
                <w:b/>
                <w:sz w:val="17"/>
              </w:rPr>
              <w:t>Characteristic</w:t>
            </w:r>
          </w:p>
        </w:tc>
        <w:tc>
          <w:tcPr>
            <w:tcW w:w="2160" w:type="dxa"/>
            <w:shd w:val="clear" w:color="auto" w:fill="D9E1F2"/>
          </w:tcPr>
          <w:p w14:paraId="6E1945C4" w14:textId="77777777" w:rsidR="007A620F" w:rsidRDefault="00000000">
            <w:r>
              <w:rPr>
                <w:b/>
                <w:sz w:val="17"/>
              </w:rPr>
              <w:t>Non-TSA (n=38)</w:t>
            </w:r>
          </w:p>
        </w:tc>
        <w:tc>
          <w:tcPr>
            <w:tcW w:w="2160" w:type="dxa"/>
            <w:shd w:val="clear" w:color="auto" w:fill="D9E1F2"/>
          </w:tcPr>
          <w:p w14:paraId="5A966132" w14:textId="77777777" w:rsidR="007A620F" w:rsidRDefault="00000000">
            <w:r>
              <w:rPr>
                <w:b/>
                <w:sz w:val="17"/>
              </w:rPr>
              <w:t>TSA (n=37)</w:t>
            </w:r>
          </w:p>
        </w:tc>
        <w:tc>
          <w:tcPr>
            <w:tcW w:w="2160" w:type="dxa"/>
            <w:shd w:val="clear" w:color="auto" w:fill="D9E1F2"/>
          </w:tcPr>
          <w:p w14:paraId="561B91B5" w14:textId="77777777" w:rsidR="007A620F" w:rsidRDefault="00000000">
            <w:r>
              <w:rPr>
                <w:b/>
                <w:sz w:val="17"/>
              </w:rPr>
              <w:t>P value</w:t>
            </w:r>
          </w:p>
        </w:tc>
      </w:tr>
      <w:tr w:rsidR="007A620F" w14:paraId="0ED5AEC1" w14:textId="77777777">
        <w:trPr>
          <w:jc w:val="center"/>
        </w:trPr>
        <w:tc>
          <w:tcPr>
            <w:tcW w:w="2160" w:type="dxa"/>
          </w:tcPr>
          <w:p w14:paraId="0B231479" w14:textId="77777777" w:rsidR="007A620F" w:rsidRDefault="00000000">
            <w:r>
              <w:rPr>
                <w:sz w:val="17"/>
              </w:rPr>
              <w:t>Age, years</w:t>
            </w:r>
          </w:p>
        </w:tc>
        <w:tc>
          <w:tcPr>
            <w:tcW w:w="2160" w:type="dxa"/>
          </w:tcPr>
          <w:p w14:paraId="5BD523C6" w14:textId="77777777" w:rsidR="007A620F" w:rsidRDefault="00000000">
            <w:r>
              <w:rPr>
                <w:sz w:val="17"/>
              </w:rPr>
              <w:t>63.9 ± 10.6</w:t>
            </w:r>
          </w:p>
        </w:tc>
        <w:tc>
          <w:tcPr>
            <w:tcW w:w="2160" w:type="dxa"/>
          </w:tcPr>
          <w:p w14:paraId="1ACA3727" w14:textId="77777777" w:rsidR="007A620F" w:rsidRDefault="00000000">
            <w:r>
              <w:rPr>
                <w:sz w:val="17"/>
              </w:rPr>
              <w:t>66.2 ± 13.4</w:t>
            </w:r>
          </w:p>
        </w:tc>
        <w:tc>
          <w:tcPr>
            <w:tcW w:w="2160" w:type="dxa"/>
          </w:tcPr>
          <w:p w14:paraId="5AB28CF0" w14:textId="77777777" w:rsidR="007A620F" w:rsidRDefault="00000000">
            <w:r>
              <w:rPr>
                <w:sz w:val="17"/>
              </w:rPr>
              <w:t>0.420</w:t>
            </w:r>
          </w:p>
        </w:tc>
      </w:tr>
      <w:tr w:rsidR="007A620F" w14:paraId="67304B55" w14:textId="77777777">
        <w:trPr>
          <w:jc w:val="center"/>
        </w:trPr>
        <w:tc>
          <w:tcPr>
            <w:tcW w:w="2160" w:type="dxa"/>
          </w:tcPr>
          <w:p w14:paraId="369DD43E" w14:textId="77777777" w:rsidR="007A620F" w:rsidRDefault="00000000">
            <w:r>
              <w:rPr>
                <w:sz w:val="17"/>
              </w:rPr>
              <w:t>Male sex, n (%)</w:t>
            </w:r>
          </w:p>
        </w:tc>
        <w:tc>
          <w:tcPr>
            <w:tcW w:w="2160" w:type="dxa"/>
          </w:tcPr>
          <w:p w14:paraId="5FE415DB" w14:textId="77777777" w:rsidR="007A620F" w:rsidRDefault="00000000">
            <w:r>
              <w:rPr>
                <w:sz w:val="17"/>
              </w:rPr>
              <w:t>25 (65.8)</w:t>
            </w:r>
          </w:p>
        </w:tc>
        <w:tc>
          <w:tcPr>
            <w:tcW w:w="2160" w:type="dxa"/>
          </w:tcPr>
          <w:p w14:paraId="4C274966" w14:textId="77777777" w:rsidR="007A620F" w:rsidRDefault="00000000">
            <w:r>
              <w:rPr>
                <w:sz w:val="17"/>
              </w:rPr>
              <w:t>20 (54.1)</w:t>
            </w:r>
          </w:p>
        </w:tc>
        <w:tc>
          <w:tcPr>
            <w:tcW w:w="2160" w:type="dxa"/>
          </w:tcPr>
          <w:p w14:paraId="1A37BBE7" w14:textId="77777777" w:rsidR="007A620F" w:rsidRDefault="00000000">
            <w:r>
              <w:rPr>
                <w:sz w:val="17"/>
              </w:rPr>
              <w:t>0.423</w:t>
            </w:r>
          </w:p>
        </w:tc>
      </w:tr>
      <w:tr w:rsidR="007A620F" w14:paraId="0849E6DA" w14:textId="77777777">
        <w:trPr>
          <w:jc w:val="center"/>
        </w:trPr>
        <w:tc>
          <w:tcPr>
            <w:tcW w:w="2160" w:type="dxa"/>
          </w:tcPr>
          <w:p w14:paraId="42C6E17B" w14:textId="77777777" w:rsidR="007A620F" w:rsidRDefault="00000000">
            <w:r>
              <w:rPr>
                <w:sz w:val="17"/>
              </w:rPr>
              <w:t>Functioning tumor, n (%)</w:t>
            </w:r>
          </w:p>
        </w:tc>
        <w:tc>
          <w:tcPr>
            <w:tcW w:w="2160" w:type="dxa"/>
          </w:tcPr>
          <w:p w14:paraId="62C51136" w14:textId="77777777" w:rsidR="007A620F" w:rsidRDefault="00000000">
            <w:r>
              <w:rPr>
                <w:sz w:val="17"/>
              </w:rPr>
              <w:t>24 (63.2)</w:t>
            </w:r>
          </w:p>
        </w:tc>
        <w:tc>
          <w:tcPr>
            <w:tcW w:w="2160" w:type="dxa"/>
          </w:tcPr>
          <w:p w14:paraId="3D32232D" w14:textId="77777777" w:rsidR="007A620F" w:rsidRDefault="00000000">
            <w:r>
              <w:rPr>
                <w:sz w:val="17"/>
              </w:rPr>
              <w:t>11 (29.7)</w:t>
            </w:r>
          </w:p>
        </w:tc>
        <w:tc>
          <w:tcPr>
            <w:tcW w:w="2160" w:type="dxa"/>
          </w:tcPr>
          <w:p w14:paraId="477C5807" w14:textId="77777777" w:rsidR="007A620F" w:rsidRDefault="00000000">
            <w:r>
              <w:rPr>
                <w:sz w:val="17"/>
              </w:rPr>
              <w:t>0.008</w:t>
            </w:r>
          </w:p>
        </w:tc>
      </w:tr>
      <w:tr w:rsidR="007A620F" w14:paraId="46CE5629" w14:textId="77777777">
        <w:trPr>
          <w:jc w:val="center"/>
        </w:trPr>
        <w:tc>
          <w:tcPr>
            <w:tcW w:w="2160" w:type="dxa"/>
          </w:tcPr>
          <w:p w14:paraId="1629F8AA" w14:textId="77777777" w:rsidR="007A620F" w:rsidRDefault="00000000">
            <w:r>
              <w:rPr>
                <w:sz w:val="17"/>
              </w:rPr>
              <w:t>Tumor maximum diameter, mm</w:t>
            </w:r>
          </w:p>
        </w:tc>
        <w:tc>
          <w:tcPr>
            <w:tcW w:w="2160" w:type="dxa"/>
          </w:tcPr>
          <w:p w14:paraId="63353F76" w14:textId="77777777" w:rsidR="007A620F" w:rsidRDefault="00000000">
            <w:r>
              <w:rPr>
                <w:sz w:val="17"/>
              </w:rPr>
              <w:t>23.2 ± 6.3</w:t>
            </w:r>
          </w:p>
        </w:tc>
        <w:tc>
          <w:tcPr>
            <w:tcW w:w="2160" w:type="dxa"/>
          </w:tcPr>
          <w:p w14:paraId="0CD08A6E" w14:textId="77777777" w:rsidR="007A620F" w:rsidRDefault="00000000">
            <w:r>
              <w:rPr>
                <w:sz w:val="17"/>
              </w:rPr>
              <w:t>30.0 ± 6.8</w:t>
            </w:r>
          </w:p>
        </w:tc>
        <w:tc>
          <w:tcPr>
            <w:tcW w:w="2160" w:type="dxa"/>
          </w:tcPr>
          <w:p w14:paraId="375B5B67" w14:textId="77777777" w:rsidR="007A620F" w:rsidRDefault="00000000">
            <w:r>
              <w:rPr>
                <w:sz w:val="17"/>
              </w:rPr>
              <w:t>&lt;0.001</w:t>
            </w:r>
          </w:p>
        </w:tc>
      </w:tr>
      <w:tr w:rsidR="007A620F" w14:paraId="35273A9E" w14:textId="77777777">
        <w:trPr>
          <w:jc w:val="center"/>
        </w:trPr>
        <w:tc>
          <w:tcPr>
            <w:tcW w:w="2160" w:type="dxa"/>
          </w:tcPr>
          <w:p w14:paraId="74CC3144" w14:textId="77777777" w:rsidR="007A620F" w:rsidRDefault="00000000">
            <w:r>
              <w:rPr>
                <w:sz w:val="17"/>
              </w:rPr>
              <w:t>Chiasmal compression grade</w:t>
            </w:r>
          </w:p>
        </w:tc>
        <w:tc>
          <w:tcPr>
            <w:tcW w:w="2160" w:type="dxa"/>
          </w:tcPr>
          <w:p w14:paraId="588AFDC1" w14:textId="77777777" w:rsidR="007A620F" w:rsidRDefault="00000000">
            <w:r>
              <w:rPr>
                <w:sz w:val="17"/>
              </w:rPr>
              <w:t>1.2 ± 0.9</w:t>
            </w:r>
          </w:p>
        </w:tc>
        <w:tc>
          <w:tcPr>
            <w:tcW w:w="2160" w:type="dxa"/>
          </w:tcPr>
          <w:p w14:paraId="6735BF49" w14:textId="77777777" w:rsidR="007A620F" w:rsidRDefault="00000000">
            <w:r>
              <w:rPr>
                <w:sz w:val="17"/>
              </w:rPr>
              <w:t>2.0 ± 0.9</w:t>
            </w:r>
          </w:p>
        </w:tc>
        <w:tc>
          <w:tcPr>
            <w:tcW w:w="2160" w:type="dxa"/>
          </w:tcPr>
          <w:p w14:paraId="13F83C1F" w14:textId="77777777" w:rsidR="007A620F" w:rsidRDefault="00000000">
            <w:r>
              <w:rPr>
                <w:sz w:val="17"/>
              </w:rPr>
              <w:t>&lt;0.001</w:t>
            </w:r>
          </w:p>
        </w:tc>
      </w:tr>
      <w:tr w:rsidR="007A620F" w14:paraId="5BAE14A8" w14:textId="77777777">
        <w:trPr>
          <w:jc w:val="center"/>
        </w:trPr>
        <w:tc>
          <w:tcPr>
            <w:tcW w:w="2160" w:type="dxa"/>
          </w:tcPr>
          <w:p w14:paraId="3D009292" w14:textId="77777777" w:rsidR="007A620F" w:rsidRDefault="00000000">
            <w:r>
              <w:rPr>
                <w:sz w:val="17"/>
              </w:rPr>
              <w:t>Temporal RNFL, μm</w:t>
            </w:r>
          </w:p>
        </w:tc>
        <w:tc>
          <w:tcPr>
            <w:tcW w:w="2160" w:type="dxa"/>
          </w:tcPr>
          <w:p w14:paraId="5A03B657" w14:textId="77777777" w:rsidR="007A620F" w:rsidRDefault="00000000">
            <w:r>
              <w:rPr>
                <w:sz w:val="17"/>
              </w:rPr>
              <w:t>67.5 ± 7.9</w:t>
            </w:r>
          </w:p>
        </w:tc>
        <w:tc>
          <w:tcPr>
            <w:tcW w:w="2160" w:type="dxa"/>
          </w:tcPr>
          <w:p w14:paraId="5B77167F" w14:textId="77777777" w:rsidR="007A620F" w:rsidRDefault="00000000">
            <w:r>
              <w:rPr>
                <w:sz w:val="17"/>
              </w:rPr>
              <w:t>63.8 ± 6.4</w:t>
            </w:r>
          </w:p>
        </w:tc>
        <w:tc>
          <w:tcPr>
            <w:tcW w:w="2160" w:type="dxa"/>
          </w:tcPr>
          <w:p w14:paraId="02A6FFC0" w14:textId="77777777" w:rsidR="007A620F" w:rsidRDefault="00000000">
            <w:r>
              <w:rPr>
                <w:sz w:val="17"/>
              </w:rPr>
              <w:t>0.027</w:t>
            </w:r>
          </w:p>
        </w:tc>
      </w:tr>
      <w:tr w:rsidR="007A620F" w14:paraId="67DE7766" w14:textId="77777777">
        <w:trPr>
          <w:jc w:val="center"/>
        </w:trPr>
        <w:tc>
          <w:tcPr>
            <w:tcW w:w="2160" w:type="dxa"/>
          </w:tcPr>
          <w:p w14:paraId="405B5BCF" w14:textId="77777777" w:rsidR="007A620F" w:rsidRDefault="00000000">
            <w:r>
              <w:rPr>
                <w:sz w:val="17"/>
              </w:rPr>
              <w:t>GCIPL, μm</w:t>
            </w:r>
          </w:p>
        </w:tc>
        <w:tc>
          <w:tcPr>
            <w:tcW w:w="2160" w:type="dxa"/>
          </w:tcPr>
          <w:p w14:paraId="0BDDD876" w14:textId="77777777" w:rsidR="007A620F" w:rsidRDefault="00000000">
            <w:r>
              <w:rPr>
                <w:sz w:val="17"/>
              </w:rPr>
              <w:t>72.5 ± 6.1</w:t>
            </w:r>
          </w:p>
        </w:tc>
        <w:tc>
          <w:tcPr>
            <w:tcW w:w="2160" w:type="dxa"/>
          </w:tcPr>
          <w:p w14:paraId="58C5EC8D" w14:textId="77777777" w:rsidR="007A620F" w:rsidRDefault="00000000">
            <w:r>
              <w:rPr>
                <w:sz w:val="17"/>
              </w:rPr>
              <w:t>67.3 ± 5.8</w:t>
            </w:r>
          </w:p>
        </w:tc>
        <w:tc>
          <w:tcPr>
            <w:tcW w:w="2160" w:type="dxa"/>
          </w:tcPr>
          <w:p w14:paraId="3C10B437" w14:textId="77777777" w:rsidR="007A620F" w:rsidRDefault="00000000">
            <w:r>
              <w:rPr>
                <w:sz w:val="17"/>
              </w:rPr>
              <w:t>&lt;0.001</w:t>
            </w:r>
          </w:p>
        </w:tc>
      </w:tr>
      <w:tr w:rsidR="007A620F" w14:paraId="346D62F1" w14:textId="77777777">
        <w:trPr>
          <w:jc w:val="center"/>
        </w:trPr>
        <w:tc>
          <w:tcPr>
            <w:tcW w:w="2160" w:type="dxa"/>
          </w:tcPr>
          <w:p w14:paraId="5C976097" w14:textId="77777777" w:rsidR="007A620F" w:rsidRDefault="00000000">
            <w:r>
              <w:rPr>
                <w:sz w:val="17"/>
              </w:rPr>
              <w:t>Baseline visual-field MD, dB</w:t>
            </w:r>
          </w:p>
        </w:tc>
        <w:tc>
          <w:tcPr>
            <w:tcW w:w="2160" w:type="dxa"/>
          </w:tcPr>
          <w:p w14:paraId="36616735" w14:textId="77777777" w:rsidR="007A620F" w:rsidRDefault="00000000">
            <w:r>
              <w:rPr>
                <w:sz w:val="17"/>
              </w:rPr>
              <w:t>-4.9 ± 3.0</w:t>
            </w:r>
          </w:p>
        </w:tc>
        <w:tc>
          <w:tcPr>
            <w:tcW w:w="2160" w:type="dxa"/>
          </w:tcPr>
          <w:p w14:paraId="51C13ABD" w14:textId="77777777" w:rsidR="007A620F" w:rsidRDefault="00000000">
            <w:r>
              <w:rPr>
                <w:sz w:val="17"/>
              </w:rPr>
              <w:t>-7.2 ± 3.1</w:t>
            </w:r>
          </w:p>
        </w:tc>
        <w:tc>
          <w:tcPr>
            <w:tcW w:w="2160" w:type="dxa"/>
          </w:tcPr>
          <w:p w14:paraId="7CF7405E" w14:textId="77777777" w:rsidR="007A620F" w:rsidRDefault="00000000">
            <w:r>
              <w:rPr>
                <w:sz w:val="17"/>
              </w:rPr>
              <w:t>0.002</w:t>
            </w:r>
          </w:p>
        </w:tc>
      </w:tr>
      <w:tr w:rsidR="007A620F" w14:paraId="46E7BDFA" w14:textId="77777777">
        <w:trPr>
          <w:jc w:val="center"/>
        </w:trPr>
        <w:tc>
          <w:tcPr>
            <w:tcW w:w="2160" w:type="dxa"/>
          </w:tcPr>
          <w:p w14:paraId="637976B7" w14:textId="77777777" w:rsidR="007A620F" w:rsidRDefault="00000000">
            <w:r>
              <w:rPr>
                <w:sz w:val="17"/>
              </w:rPr>
              <w:t>VFODI</w:t>
            </w:r>
          </w:p>
        </w:tc>
        <w:tc>
          <w:tcPr>
            <w:tcW w:w="2160" w:type="dxa"/>
          </w:tcPr>
          <w:p w14:paraId="45CC290A" w14:textId="77777777" w:rsidR="007A620F" w:rsidRDefault="00000000">
            <w:r>
              <w:rPr>
                <w:sz w:val="17"/>
              </w:rPr>
              <w:t>-0.3 ± 0.8</w:t>
            </w:r>
          </w:p>
        </w:tc>
        <w:tc>
          <w:tcPr>
            <w:tcW w:w="2160" w:type="dxa"/>
          </w:tcPr>
          <w:p w14:paraId="444F4750" w14:textId="77777777" w:rsidR="007A620F" w:rsidRDefault="00000000">
            <w:r>
              <w:rPr>
                <w:sz w:val="17"/>
              </w:rPr>
              <w:t>0.3 ± 1.1</w:t>
            </w:r>
          </w:p>
        </w:tc>
        <w:tc>
          <w:tcPr>
            <w:tcW w:w="2160" w:type="dxa"/>
          </w:tcPr>
          <w:p w14:paraId="306FAA5F" w14:textId="77777777" w:rsidR="007A620F" w:rsidRDefault="00000000">
            <w:r>
              <w:rPr>
                <w:sz w:val="17"/>
              </w:rPr>
              <w:t>0.025</w:t>
            </w:r>
          </w:p>
        </w:tc>
      </w:tr>
    </w:tbl>
    <w:p w14:paraId="436FF3E4" w14:textId="77777777" w:rsidR="007A620F" w:rsidRDefault="00000000">
      <w:pPr>
        <w:spacing w:after="240"/>
      </w:pPr>
      <w:r>
        <w:rPr>
          <w:i/>
          <w:sz w:val="16"/>
        </w:rPr>
        <w:t>Data are presented as mean ± standard deviation or number (%). GCIPL, ganglion cell–inner plexiform layer; MD, mean deviation; RNFL, retinal nerve fiber layer; TSA, transsphenoidal surgery; VFODI, visual field–OCT discordance index.</w:t>
      </w:r>
    </w:p>
    <w:p w14:paraId="38EC4406" w14:textId="77777777" w:rsidR="007A620F" w:rsidRDefault="007A620F"/>
    <w:p w14:paraId="5AFA7DFC" w14:textId="77777777" w:rsidR="007A620F" w:rsidRDefault="007A620F"/>
    <w:p w14:paraId="56C00449" w14:textId="77777777" w:rsidR="007A620F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5A7A12AA" wp14:editId="182AEDDC">
            <wp:extent cx="5029200" cy="371409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3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714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15943" w14:textId="77777777" w:rsidR="007A620F" w:rsidRDefault="00000000">
      <w:pPr>
        <w:jc w:val="center"/>
      </w:pPr>
      <w:r>
        <w:rPr>
          <w:b/>
          <w:sz w:val="18"/>
        </w:rPr>
        <w:t>Supplementary Fig. S1</w:t>
      </w:r>
      <w:r>
        <w:rPr>
          <w:sz w:val="18"/>
        </w:rPr>
        <w:t xml:space="preserve"> Standardized coefficients from the exploratory multivariable linear regression model for 3-month change in visual-field MD. Error bars represent 95% confidence intervals.</w:t>
      </w:r>
    </w:p>
    <w:sectPr w:rsidR="007A620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0572642">
    <w:abstractNumId w:val="8"/>
  </w:num>
  <w:num w:numId="2" w16cid:durableId="849684937">
    <w:abstractNumId w:val="6"/>
  </w:num>
  <w:num w:numId="3" w16cid:durableId="1224952944">
    <w:abstractNumId w:val="5"/>
  </w:num>
  <w:num w:numId="4" w16cid:durableId="348067023">
    <w:abstractNumId w:val="4"/>
  </w:num>
  <w:num w:numId="5" w16cid:durableId="754472187">
    <w:abstractNumId w:val="7"/>
  </w:num>
  <w:num w:numId="6" w16cid:durableId="965811979">
    <w:abstractNumId w:val="3"/>
  </w:num>
  <w:num w:numId="7" w16cid:durableId="466355812">
    <w:abstractNumId w:val="2"/>
  </w:num>
  <w:num w:numId="8" w16cid:durableId="1072654171">
    <w:abstractNumId w:val="1"/>
  </w:num>
  <w:num w:numId="9" w16cid:durableId="1275475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3BBB"/>
    <w:rsid w:val="0015074B"/>
    <w:rsid w:val="0029639D"/>
    <w:rsid w:val="00326F90"/>
    <w:rsid w:val="007A620F"/>
    <w:rsid w:val="00AA1D8D"/>
    <w:rsid w:val="00B47730"/>
    <w:rsid w:val="00CB0664"/>
    <w:rsid w:val="00E26E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22DDB4"/>
  <w14:defaultImageDpi w14:val="300"/>
  <w15:docId w15:val="{378AB172-C0AC-434F-8992-C3C8D1D0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360" w:lineRule="auto"/>
    </w:pPr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2"/>
    <w:uiPriority w:val="99"/>
    <w:unhideWhenUsed/>
    <w:rsid w:val="00E26E8C"/>
    <w:rPr>
      <w:color w:val="0000FF" w:themeColor="hyperlink"/>
      <w:u w:val="single"/>
    </w:rPr>
  </w:style>
  <w:style w:type="character" w:styleId="aff2">
    <w:name w:val="Unresolved Mention"/>
    <w:basedOn w:val="a2"/>
    <w:uiPriority w:val="99"/>
    <w:semiHidden/>
    <w:unhideWhenUsed/>
    <w:rsid w:val="00E26E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ukgyu.h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1224</Characters>
  <Application>Microsoft Office Word</Application>
  <DocSecurity>0</DocSecurity>
  <Lines>68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석규 하</cp:lastModifiedBy>
  <cp:revision>2</cp:revision>
  <dcterms:created xsi:type="dcterms:W3CDTF">2013-12-23T23:15:00Z</dcterms:created>
  <dcterms:modified xsi:type="dcterms:W3CDTF">2026-09-13T08:34:00Z</dcterms:modified>
  <cp:category/>
</cp:coreProperties>
</file>