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07C75" w14:textId="77777777" w:rsidR="002B066F" w:rsidRDefault="002B066F" w:rsidP="002B066F">
      <w:pPr>
        <w:keepNext/>
        <w:spacing w:after="160"/>
        <w:jc w:val="left"/>
        <w:rPr>
          <w:rFonts w:asciiTheme="majorBidi" w:hAnsiTheme="majorBidi" w:cstheme="majorBidi"/>
          <w:b/>
          <w:bCs/>
          <w:sz w:val="24"/>
          <w:szCs w:val="24"/>
          <w:lang w:val="en-US"/>
        </w:rPr>
      </w:pPr>
      <w:r>
        <w:rPr>
          <w:rFonts w:ascii="Arial" w:hAnsi="Arial"/>
          <w:b/>
          <w:color w:val="1F4E78"/>
          <w:sz w:val="28"/>
        </w:rPr>
        <w:t>Additional file 1: Search strategies and synthesis tables</w:t>
      </w:r>
    </w:p>
    <w:p>
      <w:pPr>
        <w:spacing w:after="160" w:line="264" w:lineRule="auto"/>
      </w:pPr>
      <w:r>
        <w:rPr>
          <w:rFonts w:ascii="Arial" w:hAnsi="Arial"/>
          <w:sz w:val="18"/>
        </w:rPr>
        <w:t>Search coverage and limits. All searches were completed on 21 August 2026. The nursing evidence search covered 21 August 2011 to 21 August 2026 and was limited to English-language sources. No population, age, sex, care-setting or study-design filters were applied. The Epicurean/philosophical search was not restricted by publication date or language; sources were included when their conceptual content could be reliably interpreted. Database searches yielded 1,520 records in aggregate. Google Scholar and reference-list searching yielded 80 supplementary records in aggregate; all were screened.</w:t>
      </w:r>
    </w:p>
    <w:p w14:paraId="556E68FA" w14:textId="75B0C19C" w:rsidR="006D58DF" w:rsidRPr="00BC4537" w:rsidRDefault="006D58DF" w:rsidP="00BC4537">
      <w:pPr>
        <w:pStyle w:val="Heading1"/>
        <w:keepNext/>
        <w:jc w:val="left"/>
        <w:rPr>
          <w:rFonts w:asciiTheme="majorBidi" w:hAnsiTheme="majorBidi" w:cstheme="majorBidi"/>
          <w:b/>
          <w:bCs/>
          <w:sz w:val="24"/>
          <w:szCs w:val="24"/>
        </w:rPr>
      </w:pPr>
      <w:r>
        <w:rPr>
          <w:rFonts w:ascii="Arial" w:hAnsi="Arial"/>
          <w:sz w:val="20"/>
        </w:rPr>
        <w:t>Table S1. Database-specific search strategies</w:t>
      </w:r>
    </w:p>
    <w:tbl>
      <w:tblPr>
        <w:tblStyle w:val="TableGrid"/>
        <w:tblW w:w="0" w:type="auto"/>
        <w:tblLayout w:type="fixed"/>
        <w:tblLook w:val="04A0" w:firstRow="1" w:lastRow="0" w:firstColumn="1" w:lastColumn="0" w:noHBand="0" w:noVBand="1"/>
      </w:tblPr>
      <w:tblGrid>
        <w:gridCol w:w="2653"/>
        <w:gridCol w:w="11295"/>
      </w:tblGrid>
      <w:tr w:rsidR="003B06B7" w:rsidRPr="00352549" w14:paraId="0131BF47" w14:textId="77777777" w:rsidTr="00352549">
        <w:trPr>
          <w:cantSplit/>
          <w:tblHeader/>
        </w:trPr>
        <w:tc>
          <w:tcPr>
            <w:tcW w:w="2268" w:type="dxa"/>
            <w:vAlign w:val="center"/>
            <w:hideMark/>
            <w:shd w:fill="D9EAF7"/>
            <w:tcMar>
              <w:top w:w="70" w:type="dxa"/>
              <w:start w:w="80" w:type="dxa"/>
              <w:bottom w:w="70" w:type="dxa"/>
              <w:end w:w="80" w:type="dxa"/>
            </w:tcMar>
          </w:tcPr>
          <w:p w14:paraId="39620B1D" w14:textId="77777777" w:rsidR="003B06B7" w:rsidRPr="00352549" w:rsidRDefault="003B06B7" w:rsidP="00352549">
            <w:pPr>
              <w:spacing w:after="0" w:line="240" w:lineRule="auto"/>
              <w:jc w:val="center"/>
              <w:rPr>
                <w:rFonts w:asciiTheme="majorBidi" w:hAnsiTheme="majorBidi" w:cstheme="majorBidi"/>
                <w:b/>
                <w:bCs/>
                <w:sz w:val="24"/>
                <w:szCs w:val="24"/>
              </w:rPr>
            </w:pPr>
            <w:r w:rsidRPr="00352549">
              <w:rPr>
                <w:rFonts w:asciiTheme="majorBidi" w:hAnsiTheme="majorBidi" w:cstheme="majorBidi" w:ascii="Arial" w:hAnsi="Arial"/>
                <w:b/>
                <w:bCs/>
                <w:sz w:val="16"/>
                <w:szCs w:val="24"/>
              </w:rPr>
              <w:t>Database</w:t>
            </w:r>
          </w:p>
        </w:tc>
        <w:tc>
          <w:tcPr>
            <w:tcW w:w="13039" w:type="dxa"/>
            <w:vAlign w:val="center"/>
            <w:hideMark/>
            <w:shd w:fill="D9EAF7"/>
            <w:tcMar>
              <w:top w:w="70" w:type="dxa"/>
              <w:start w:w="80" w:type="dxa"/>
              <w:bottom w:w="70" w:type="dxa"/>
              <w:end w:w="80" w:type="dxa"/>
            </w:tcMar>
          </w:tcPr>
          <w:p w14:paraId="01511F8C" w14:textId="77777777" w:rsidR="003B06B7" w:rsidRPr="00352549" w:rsidRDefault="003B06B7" w:rsidP="00352549">
            <w:pPr>
              <w:spacing w:after="0" w:line="240" w:lineRule="auto"/>
              <w:jc w:val="center"/>
              <w:rPr>
                <w:rFonts w:asciiTheme="majorBidi" w:hAnsiTheme="majorBidi" w:cstheme="majorBidi"/>
                <w:b/>
                <w:bCs/>
                <w:sz w:val="24"/>
                <w:szCs w:val="24"/>
              </w:rPr>
            </w:pPr>
            <w:r w:rsidRPr="00352549">
              <w:rPr>
                <w:rFonts w:asciiTheme="majorBidi" w:hAnsiTheme="majorBidi" w:cstheme="majorBidi" w:ascii="Arial" w:hAnsi="Arial"/>
                <w:b/>
                <w:bCs/>
                <w:sz w:val="16"/>
                <w:szCs w:val="24"/>
              </w:rPr>
              <w:t>Search strategy</w:t>
            </w:r>
          </w:p>
        </w:tc>
      </w:tr>
      <w:tr w:rsidR="003B06B7" w:rsidRPr="00352549" w14:paraId="3A6F8922" w14:textId="77777777" w:rsidTr="00352549">
        <w:trPr>
          <w:cantSplit/>
        </w:trPr>
        <w:tc>
          <w:tcPr>
            <w:tcW w:w="2268" w:type="dxa"/>
            <w:vAlign w:val="center"/>
            <w:hideMark/>
            <w:tcMar>
              <w:top w:w="70" w:type="dxa"/>
              <w:start w:w="80" w:type="dxa"/>
              <w:bottom w:w="70" w:type="dxa"/>
              <w:end w:w="80" w:type="dxa"/>
            </w:tcMar>
          </w:tcPr>
          <w:p w14:paraId="3587D4F7" w14:textId="77777777" w:rsidR="003B06B7" w:rsidRDefault="003B06B7" w:rsidP="00352549">
            <w:pPr>
              <w:spacing w:after="0" w:line="240" w:lineRule="auto"/>
              <w:jc w:val="center"/>
              <w:rPr>
                <w:rFonts w:asciiTheme="majorBidi" w:hAnsiTheme="majorBidi" w:cstheme="majorBidi"/>
                <w:b/>
                <w:bCs/>
                <w:sz w:val="24"/>
                <w:szCs w:val="24"/>
              </w:rPr>
            </w:pPr>
          </w:p>
          <w:p w14:paraId="59FBC077" w14:textId="77777777" w:rsidR="003B06B7" w:rsidRDefault="003B06B7" w:rsidP="00352549">
            <w:pPr>
              <w:spacing w:after="0" w:line="240" w:lineRule="auto"/>
              <w:jc w:val="center"/>
              <w:rPr>
                <w:rFonts w:asciiTheme="majorBidi" w:hAnsiTheme="majorBidi" w:cstheme="majorBidi"/>
                <w:b/>
                <w:bCs/>
                <w:sz w:val="24"/>
                <w:szCs w:val="24"/>
              </w:rPr>
            </w:pPr>
          </w:p>
          <w:p w14:paraId="6C83ADB7" w14:textId="3701C553" w:rsidR="003B06B7" w:rsidRPr="00352549" w:rsidRDefault="003B06B7" w:rsidP="00352549">
            <w:pPr>
              <w:spacing w:after="0" w:line="240" w:lineRule="auto"/>
              <w:jc w:val="center"/>
              <w:rPr>
                <w:rFonts w:asciiTheme="majorBidi" w:hAnsiTheme="majorBidi" w:cstheme="majorBidi"/>
                <w:sz w:val="24"/>
                <w:szCs w:val="24"/>
              </w:rPr>
            </w:pPr>
            <w:r w:rsidRPr="00352549">
              <w:rPr>
                <w:rFonts w:asciiTheme="majorBidi" w:hAnsiTheme="majorBidi" w:cstheme="majorBidi" w:ascii="Arial" w:hAnsi="Arial"/>
                <w:b/>
                <w:bCs/>
                <w:sz w:val="16"/>
                <w:szCs w:val="24"/>
              </w:rPr>
              <w:t>PubMed/MEDLINE</w:t>
            </w:r>
          </w:p>
        </w:tc>
        <w:tc>
          <w:tcPr>
            <w:tcW w:w="13039" w:type="dxa"/>
            <w:vAlign w:val="center"/>
            <w:hideMark/>
            <w:tcMar>
              <w:top w:w="70" w:type="dxa"/>
              <w:start w:w="80" w:type="dxa"/>
              <w:bottom w:w="70" w:type="dxa"/>
              <w:end w:w="80" w:type="dxa"/>
            </w:tcMar>
          </w:tcPr>
          <w:p w14:paraId="12AC4068" w14:textId="77777777" w:rsidR="003B06B7" w:rsidRPr="00D83CF2" w:rsidRDefault="003B06B7" w:rsidP="001D294D">
            <w:pPr>
              <w:spacing w:after="0" w:line="240" w:lineRule="auto"/>
              <w:jc w:val="both"/>
              <w:rPr>
                <w:rFonts w:asciiTheme="majorBidi" w:hAnsiTheme="majorBidi" w:cstheme="majorBidi"/>
                <w:sz w:val="24"/>
                <w:szCs w:val="24"/>
              </w:rPr>
            </w:pPr>
            <w:r w:rsidRPr="00D83CF2">
              <w:rPr>
                <w:rFonts w:asciiTheme="majorBidi" w:hAnsiTheme="majorBidi" w:cstheme="majorBidi" w:ascii="Arial" w:hAnsi="Arial"/>
                <w:sz w:val="16"/>
                <w:szCs w:val="24"/>
              </w:rPr>
              <w:t>Nursing/Well-being: ("Patient-</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Care"[Mesh] OR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"person centred care"[</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nursing"[</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"person centred nursing"[</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"individualized care"[</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"individualised care"[</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AND ("Quality of Life"[Mesh] OR "well-being"[</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wellbeing[</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wellness[</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w:t>
            </w:r>
            <w:proofErr w:type="spellStart"/>
            <w:r w:rsidRPr="00D83CF2">
              <w:rPr>
                <w:rFonts w:asciiTheme="majorBidi" w:hAnsiTheme="majorBidi" w:cstheme="majorBidi" w:ascii="Arial" w:hAnsi="Arial"/>
                <w:sz w:val="16"/>
                <w:szCs w:val="24"/>
              </w:rPr>
              <w:t>well being</w:t>
            </w:r>
            <w:proofErr w:type="spellEnd"/>
            <w:r w:rsidRPr="00D83CF2">
              <w:rPr>
                <w:rFonts w:asciiTheme="majorBidi" w:hAnsiTheme="majorBidi" w:cstheme="majorBidi" w:ascii="Arial" w:hAnsi="Arial"/>
                <w:sz w:val="16"/>
                <w:szCs w:val="24"/>
              </w:rPr>
              <w:t>"[tiab]) Epicurean: ("Epicurus"[</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"Epicureanism"[</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Epicurean*[</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AND (ataraxia[</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aponia[</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"good life"[</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pleasure[</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pain[</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xml:space="preserve">] OR </w:t>
            </w:r>
            <w:proofErr w:type="spellStart"/>
            <w:r w:rsidRPr="00D83CF2">
              <w:rPr>
                <w:rFonts w:asciiTheme="majorBidi" w:hAnsiTheme="majorBidi" w:cstheme="majorBidi" w:ascii="Arial" w:hAnsi="Arial"/>
                <w:sz w:val="16"/>
                <w:szCs w:val="24"/>
              </w:rPr>
              <w:t>tranquility</w:t>
            </w:r>
            <w:proofErr w:type="spellEnd"/>
            <w:r w:rsidRPr="00D83CF2">
              <w:rPr>
                <w:rFonts w:asciiTheme="majorBidi" w:hAnsiTheme="majorBidi" w:cstheme="majorBidi" w:ascii="Arial" w:hAnsi="Arial"/>
                <w:sz w:val="16"/>
                <w:szCs w:val="24"/>
              </w:rPr>
              <w:t>[</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 OR tranquillity[</w:t>
            </w:r>
            <w:proofErr w:type="spellStart"/>
            <w:r w:rsidRPr="00D83CF2">
              <w:rPr>
                <w:rFonts w:asciiTheme="majorBidi" w:hAnsiTheme="majorBidi" w:cstheme="majorBidi" w:ascii="Arial" w:hAnsi="Arial"/>
                <w:sz w:val="16"/>
                <w:szCs w:val="24"/>
              </w:rPr>
              <w:t>tiab</w:t>
            </w:r>
            <w:proofErr w:type="spellEnd"/>
            <w:r w:rsidRPr="00D83CF2">
              <w:rPr>
                <w:rFonts w:asciiTheme="majorBidi" w:hAnsiTheme="majorBidi" w:cstheme="majorBidi" w:ascii="Arial" w:hAnsi="Arial"/>
                <w:sz w:val="16"/>
                <w:szCs w:val="24"/>
              </w:rPr>
              <w:t>])</w:t>
            </w:r>
          </w:p>
        </w:tc>
      </w:tr>
      <w:tr w:rsidR="003B06B7" w:rsidRPr="00352549" w14:paraId="29E1D9FE" w14:textId="77777777" w:rsidTr="00352549">
        <w:trPr>
          <w:cantSplit/>
        </w:trPr>
        <w:tc>
          <w:tcPr>
            <w:tcW w:w="2268" w:type="dxa"/>
            <w:vAlign w:val="center"/>
            <w:hideMark/>
            <w:tcMar>
              <w:top w:w="70" w:type="dxa"/>
              <w:start w:w="80" w:type="dxa"/>
              <w:bottom w:w="70" w:type="dxa"/>
              <w:end w:w="80" w:type="dxa"/>
            </w:tcMar>
          </w:tcPr>
          <w:p w14:paraId="6C09A967" w14:textId="77777777" w:rsidR="003B06B7" w:rsidRDefault="003B06B7" w:rsidP="00352549">
            <w:pPr>
              <w:spacing w:after="0" w:line="240" w:lineRule="auto"/>
              <w:jc w:val="center"/>
              <w:rPr>
                <w:rFonts w:asciiTheme="majorBidi" w:hAnsiTheme="majorBidi" w:cstheme="majorBidi"/>
                <w:b/>
                <w:bCs/>
                <w:sz w:val="24"/>
                <w:szCs w:val="24"/>
              </w:rPr>
            </w:pPr>
          </w:p>
          <w:p w14:paraId="49649702" w14:textId="77777777" w:rsidR="003B06B7" w:rsidRDefault="003B06B7" w:rsidP="00352549">
            <w:pPr>
              <w:spacing w:after="0" w:line="240" w:lineRule="auto"/>
              <w:jc w:val="center"/>
              <w:rPr>
                <w:rFonts w:asciiTheme="majorBidi" w:hAnsiTheme="majorBidi" w:cstheme="majorBidi"/>
                <w:b/>
                <w:bCs/>
                <w:sz w:val="24"/>
                <w:szCs w:val="24"/>
              </w:rPr>
            </w:pPr>
          </w:p>
          <w:p w14:paraId="70647970" w14:textId="77777777" w:rsidR="003B06B7" w:rsidRDefault="003B06B7" w:rsidP="00352549">
            <w:pPr>
              <w:spacing w:after="0" w:line="240" w:lineRule="auto"/>
              <w:jc w:val="center"/>
              <w:rPr>
                <w:rFonts w:asciiTheme="majorBidi" w:hAnsiTheme="majorBidi" w:cstheme="majorBidi"/>
                <w:b/>
                <w:bCs/>
                <w:sz w:val="24"/>
                <w:szCs w:val="24"/>
              </w:rPr>
            </w:pPr>
          </w:p>
          <w:p w14:paraId="63ECB816" w14:textId="33020AC8" w:rsidR="003B06B7" w:rsidRPr="00352549" w:rsidRDefault="003B06B7" w:rsidP="00352549">
            <w:pPr>
              <w:spacing w:after="0" w:line="240" w:lineRule="auto"/>
              <w:jc w:val="center"/>
              <w:rPr>
                <w:rFonts w:asciiTheme="majorBidi" w:hAnsiTheme="majorBidi" w:cstheme="majorBidi"/>
                <w:sz w:val="24"/>
                <w:szCs w:val="24"/>
              </w:rPr>
            </w:pPr>
            <w:r w:rsidRPr="00352549">
              <w:rPr>
                <w:rFonts w:asciiTheme="majorBidi" w:hAnsiTheme="majorBidi" w:cstheme="majorBidi" w:ascii="Arial" w:hAnsi="Arial"/>
                <w:b/>
                <w:bCs/>
                <w:sz w:val="16"/>
                <w:szCs w:val="24"/>
              </w:rPr>
              <w:t>CINAHL</w:t>
            </w:r>
          </w:p>
        </w:tc>
        <w:tc>
          <w:tcPr>
            <w:tcW w:w="13039" w:type="dxa"/>
            <w:vAlign w:val="center"/>
            <w:hideMark/>
            <w:tcMar>
              <w:top w:w="70" w:type="dxa"/>
              <w:start w:w="80" w:type="dxa"/>
              <w:bottom w:w="70" w:type="dxa"/>
              <w:end w:w="80" w:type="dxa"/>
            </w:tcMar>
          </w:tcPr>
          <w:p w14:paraId="0B5F22ED" w14:textId="77777777" w:rsidR="003B06B7" w:rsidRPr="00D83CF2" w:rsidRDefault="003B06B7" w:rsidP="001D294D">
            <w:pPr>
              <w:spacing w:after="0" w:line="240" w:lineRule="auto"/>
              <w:jc w:val="both"/>
              <w:rPr>
                <w:rFonts w:asciiTheme="majorBidi" w:hAnsiTheme="majorBidi" w:cstheme="majorBidi"/>
                <w:sz w:val="24"/>
                <w:szCs w:val="24"/>
              </w:rPr>
            </w:pPr>
            <w:r w:rsidRPr="00D83CF2">
              <w:rPr>
                <w:rFonts w:asciiTheme="majorBidi" w:hAnsiTheme="majorBidi" w:cstheme="majorBidi" w:ascii="Arial" w:hAnsi="Arial"/>
                <w:sz w:val="16"/>
                <w:szCs w:val="24"/>
              </w:rPr>
              <w:t>Nursing/Well-being: (MH "Patient-</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 OR TI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 OR AB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 OR TI "person centred care" OR AB "person centred care" OR TI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nursing" OR AB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nursing" OR TI "individualized care" OR AB "individualized care") AND (MH "Wellness+" OR MH "Quality of Life+" OR TI "well-being" OR AB "well-being" OR TI wellbeing OR AB wellbeing OR TI wellness OR AB wellness) Epicurean: (TI Epicurus OR AB Epicurus OR TI Epicurean* OR AB Epicurean*) AND (TI ataraxia OR AB ataraxia OR TI aponia OR AB aponia OR TI "good life" OR AB "good life" OR TI pleasure OR AB pleasure OR TI pain OR AB pain OR TI </w:t>
            </w:r>
            <w:proofErr w:type="spellStart"/>
            <w:r w:rsidRPr="00D83CF2">
              <w:rPr>
                <w:rFonts w:asciiTheme="majorBidi" w:hAnsiTheme="majorBidi" w:cstheme="majorBidi" w:ascii="Arial" w:hAnsi="Arial"/>
                <w:sz w:val="16"/>
                <w:szCs w:val="24"/>
              </w:rPr>
              <w:t>tranquility</w:t>
            </w:r>
            <w:proofErr w:type="spellEnd"/>
            <w:r w:rsidRPr="00D83CF2">
              <w:rPr>
                <w:rFonts w:asciiTheme="majorBidi" w:hAnsiTheme="majorBidi" w:cstheme="majorBidi" w:ascii="Arial" w:hAnsi="Arial"/>
                <w:sz w:val="16"/>
                <w:szCs w:val="24"/>
              </w:rPr>
              <w:t xml:space="preserve"> OR AB </w:t>
            </w:r>
            <w:proofErr w:type="spellStart"/>
            <w:r w:rsidRPr="00D83CF2">
              <w:rPr>
                <w:rFonts w:asciiTheme="majorBidi" w:hAnsiTheme="majorBidi" w:cstheme="majorBidi" w:ascii="Arial" w:hAnsi="Arial"/>
                <w:sz w:val="16"/>
                <w:szCs w:val="24"/>
              </w:rPr>
              <w:t>tranquility</w:t>
            </w:r>
            <w:proofErr w:type="spellEnd"/>
            <w:r w:rsidRPr="00D83CF2">
              <w:rPr>
                <w:rFonts w:asciiTheme="majorBidi" w:hAnsiTheme="majorBidi" w:cstheme="majorBidi" w:ascii="Arial" w:hAnsi="Arial"/>
                <w:sz w:val="16"/>
                <w:szCs w:val="24"/>
              </w:rPr>
              <w:t xml:space="preserve"> OR TI tranquillity OR AB tranquillity)</w:t>
            </w:r>
          </w:p>
        </w:tc>
      </w:tr>
      <w:tr w:rsidR="003B06B7" w:rsidRPr="00352549" w14:paraId="0F1F6E82" w14:textId="77777777" w:rsidTr="00352549">
        <w:trPr>
          <w:cantSplit/>
        </w:trPr>
        <w:tc>
          <w:tcPr>
            <w:tcW w:w="2268" w:type="dxa"/>
            <w:vAlign w:val="center"/>
            <w:hideMark/>
            <w:tcMar>
              <w:top w:w="70" w:type="dxa"/>
              <w:start w:w="80" w:type="dxa"/>
              <w:bottom w:w="70" w:type="dxa"/>
              <w:end w:w="80" w:type="dxa"/>
            </w:tcMar>
          </w:tcPr>
          <w:p w14:paraId="129E1460" w14:textId="77777777" w:rsidR="003B06B7" w:rsidRDefault="003B06B7" w:rsidP="00352549">
            <w:pPr>
              <w:spacing w:after="0" w:line="240" w:lineRule="auto"/>
              <w:jc w:val="center"/>
              <w:rPr>
                <w:rFonts w:asciiTheme="majorBidi" w:hAnsiTheme="majorBidi" w:cstheme="majorBidi"/>
                <w:b/>
                <w:bCs/>
                <w:sz w:val="24"/>
                <w:szCs w:val="24"/>
              </w:rPr>
            </w:pPr>
          </w:p>
          <w:p w14:paraId="5874AD21" w14:textId="5993B546" w:rsidR="003B06B7" w:rsidRPr="00352549" w:rsidRDefault="003B06B7" w:rsidP="00352549">
            <w:pPr>
              <w:spacing w:after="0" w:line="240" w:lineRule="auto"/>
              <w:jc w:val="center"/>
              <w:rPr>
                <w:rFonts w:asciiTheme="majorBidi" w:hAnsiTheme="majorBidi" w:cstheme="majorBidi"/>
                <w:sz w:val="24"/>
                <w:szCs w:val="24"/>
              </w:rPr>
            </w:pPr>
            <w:r w:rsidRPr="00352549">
              <w:rPr>
                <w:rFonts w:asciiTheme="majorBidi" w:hAnsiTheme="majorBidi" w:cstheme="majorBidi" w:ascii="Arial" w:hAnsi="Arial"/>
                <w:b/>
                <w:bCs/>
                <w:sz w:val="16"/>
                <w:szCs w:val="24"/>
              </w:rPr>
              <w:t>Scopus</w:t>
            </w:r>
          </w:p>
        </w:tc>
        <w:tc>
          <w:tcPr>
            <w:tcW w:w="13039" w:type="dxa"/>
            <w:vAlign w:val="center"/>
            <w:hideMark/>
            <w:tcMar>
              <w:top w:w="70" w:type="dxa"/>
              <w:start w:w="80" w:type="dxa"/>
              <w:bottom w:w="70" w:type="dxa"/>
              <w:end w:w="80" w:type="dxa"/>
            </w:tcMar>
          </w:tcPr>
          <w:p w14:paraId="0F22AC40" w14:textId="77777777" w:rsidR="003B06B7" w:rsidRPr="00D83CF2" w:rsidRDefault="003B06B7" w:rsidP="001D294D">
            <w:pPr>
              <w:spacing w:after="0" w:line="240" w:lineRule="auto"/>
              <w:jc w:val="both"/>
              <w:rPr>
                <w:rFonts w:asciiTheme="majorBidi" w:hAnsiTheme="majorBidi" w:cstheme="majorBidi"/>
                <w:sz w:val="24"/>
                <w:szCs w:val="24"/>
              </w:rPr>
            </w:pPr>
            <w:r w:rsidRPr="00D83CF2">
              <w:rPr>
                <w:rFonts w:asciiTheme="majorBidi" w:hAnsiTheme="majorBidi" w:cstheme="majorBidi" w:ascii="Arial" w:hAnsi="Arial"/>
                <w:sz w:val="16"/>
                <w:szCs w:val="24"/>
              </w:rPr>
              <w:t>Nursing/Well-being: TITLE-ABS-</w:t>
            </w:r>
            <w:proofErr w:type="gramStart"/>
            <w:r w:rsidRPr="00D83CF2">
              <w:rPr>
                <w:rFonts w:asciiTheme="majorBidi" w:hAnsiTheme="majorBidi" w:cstheme="majorBidi" w:ascii="Arial" w:hAnsi="Arial"/>
                <w:sz w:val="16"/>
                <w:szCs w:val="24"/>
              </w:rPr>
              <w:t>KEY(</w:t>
            </w:r>
            <w:proofErr w:type="gramEnd"/>
            <w:r w:rsidRPr="00D83CF2">
              <w:rPr>
                <w:rFonts w:asciiTheme="majorBidi" w:hAnsiTheme="majorBidi" w:cstheme="majorBidi" w:ascii="Arial" w:hAnsi="Arial"/>
                <w:sz w:val="16"/>
                <w:szCs w:val="24"/>
              </w:rPr>
              <w:t>("person-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 OR "person centred care" OR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nursing" OR "person centred nursing" OR "individualized care" OR "individualised care") AND ("well-being" OR wellbeing OR "</w:t>
            </w:r>
            <w:proofErr w:type="spellStart"/>
            <w:r w:rsidRPr="00D83CF2">
              <w:rPr>
                <w:rFonts w:asciiTheme="majorBidi" w:hAnsiTheme="majorBidi" w:cstheme="majorBidi" w:ascii="Arial" w:hAnsi="Arial"/>
                <w:sz w:val="16"/>
                <w:szCs w:val="24"/>
              </w:rPr>
              <w:t>well being</w:t>
            </w:r>
            <w:proofErr w:type="spellEnd"/>
            <w:r w:rsidRPr="00D83CF2">
              <w:rPr>
                <w:rFonts w:asciiTheme="majorBidi" w:hAnsiTheme="majorBidi" w:cstheme="majorBidi" w:ascii="Arial" w:hAnsi="Arial"/>
                <w:sz w:val="16"/>
                <w:szCs w:val="24"/>
              </w:rPr>
              <w:t>" OR wellness)) Epicurean: TITLE-ABS-</w:t>
            </w:r>
            <w:proofErr w:type="gramStart"/>
            <w:r w:rsidRPr="00D83CF2">
              <w:rPr>
                <w:rFonts w:asciiTheme="majorBidi" w:hAnsiTheme="majorBidi" w:cstheme="majorBidi" w:ascii="Arial" w:hAnsi="Arial"/>
                <w:sz w:val="16"/>
                <w:szCs w:val="24"/>
              </w:rPr>
              <w:t>KEY(</w:t>
            </w:r>
            <w:proofErr w:type="gramEnd"/>
            <w:r w:rsidRPr="00D83CF2">
              <w:rPr>
                <w:rFonts w:asciiTheme="majorBidi" w:hAnsiTheme="majorBidi" w:cstheme="majorBidi" w:ascii="Arial" w:hAnsi="Arial"/>
                <w:sz w:val="16"/>
                <w:szCs w:val="24"/>
              </w:rPr>
              <w:t xml:space="preserve">(Epicurus OR Epicurean*) AND (ataraxia OR aponia OR "good life" OR pleasure OR pain OR </w:t>
            </w:r>
            <w:proofErr w:type="spellStart"/>
            <w:r w:rsidRPr="00D83CF2">
              <w:rPr>
                <w:rFonts w:asciiTheme="majorBidi" w:hAnsiTheme="majorBidi" w:cstheme="majorBidi" w:ascii="Arial" w:hAnsi="Arial"/>
                <w:sz w:val="16"/>
                <w:szCs w:val="24"/>
              </w:rPr>
              <w:t>tranquility</w:t>
            </w:r>
            <w:proofErr w:type="spellEnd"/>
            <w:r w:rsidRPr="00D83CF2">
              <w:rPr>
                <w:rFonts w:asciiTheme="majorBidi" w:hAnsiTheme="majorBidi" w:cstheme="majorBidi" w:ascii="Arial" w:hAnsi="Arial"/>
                <w:sz w:val="16"/>
                <w:szCs w:val="24"/>
              </w:rPr>
              <w:t xml:space="preserve"> OR tranquillity))</w:t>
            </w:r>
          </w:p>
        </w:tc>
      </w:tr>
      <w:tr w:rsidR="003B06B7" w:rsidRPr="00352549" w14:paraId="774BB03D" w14:textId="77777777" w:rsidTr="00352549">
        <w:trPr>
          <w:cantSplit/>
        </w:trPr>
        <w:tc>
          <w:tcPr>
            <w:tcW w:w="2268" w:type="dxa"/>
            <w:vAlign w:val="center"/>
            <w:hideMark/>
            <w:tcMar>
              <w:top w:w="70" w:type="dxa"/>
              <w:start w:w="80" w:type="dxa"/>
              <w:bottom w:w="70" w:type="dxa"/>
              <w:end w:w="80" w:type="dxa"/>
            </w:tcMar>
          </w:tcPr>
          <w:p w14:paraId="3A0E09BC" w14:textId="77777777" w:rsidR="003B06B7" w:rsidRDefault="003B06B7" w:rsidP="00352549">
            <w:pPr>
              <w:spacing w:after="0" w:line="240" w:lineRule="auto"/>
              <w:jc w:val="center"/>
              <w:rPr>
                <w:rFonts w:asciiTheme="majorBidi" w:hAnsiTheme="majorBidi" w:cstheme="majorBidi"/>
                <w:b/>
                <w:bCs/>
                <w:sz w:val="24"/>
                <w:szCs w:val="24"/>
              </w:rPr>
            </w:pPr>
          </w:p>
          <w:p w14:paraId="43DF17D1" w14:textId="55806776" w:rsidR="003B06B7" w:rsidRPr="00352549" w:rsidRDefault="003B06B7" w:rsidP="00352549">
            <w:pPr>
              <w:spacing w:after="0" w:line="240" w:lineRule="auto"/>
              <w:jc w:val="center"/>
              <w:rPr>
                <w:rFonts w:asciiTheme="majorBidi" w:hAnsiTheme="majorBidi" w:cstheme="majorBidi"/>
                <w:sz w:val="24"/>
                <w:szCs w:val="24"/>
              </w:rPr>
            </w:pPr>
            <w:r w:rsidRPr="00352549">
              <w:rPr>
                <w:rFonts w:asciiTheme="majorBidi" w:hAnsiTheme="majorBidi" w:cstheme="majorBidi" w:ascii="Arial" w:hAnsi="Arial"/>
                <w:b/>
                <w:bCs/>
                <w:sz w:val="16"/>
                <w:szCs w:val="24"/>
              </w:rPr>
              <w:t>Web of Science Core Collection</w:t>
            </w:r>
          </w:p>
        </w:tc>
        <w:tc>
          <w:tcPr>
            <w:tcW w:w="13039" w:type="dxa"/>
            <w:vAlign w:val="center"/>
            <w:hideMark/>
            <w:tcMar>
              <w:top w:w="70" w:type="dxa"/>
              <w:start w:w="80" w:type="dxa"/>
              <w:bottom w:w="70" w:type="dxa"/>
              <w:end w:w="80" w:type="dxa"/>
            </w:tcMar>
          </w:tcPr>
          <w:p w14:paraId="60A1754E" w14:textId="54D4D7AF" w:rsidR="003B06B7" w:rsidRPr="00D83CF2" w:rsidRDefault="003B06B7" w:rsidP="001D294D">
            <w:pPr>
              <w:spacing w:after="0" w:line="240" w:lineRule="auto"/>
              <w:jc w:val="both"/>
              <w:rPr>
                <w:rFonts w:asciiTheme="majorBidi" w:hAnsiTheme="majorBidi" w:cstheme="majorBidi"/>
                <w:sz w:val="24"/>
                <w:szCs w:val="24"/>
              </w:rPr>
            </w:pPr>
            <w:r w:rsidRPr="00D83CF2">
              <w:rPr>
                <w:rFonts w:asciiTheme="majorBidi" w:hAnsiTheme="majorBidi" w:cstheme="majorBidi" w:ascii="Arial" w:hAnsi="Arial"/>
                <w:sz w:val="16"/>
                <w:szCs w:val="24"/>
              </w:rPr>
              <w:t>Nursing/Well-being: TS</w:t>
            </w:r>
            <w:proofErr w:type="gramStart"/>
            <w:r w:rsidRPr="00D83CF2">
              <w:rPr>
                <w:rFonts w:asciiTheme="majorBidi" w:hAnsiTheme="majorBidi" w:cstheme="majorBidi" w:ascii="Arial" w:hAnsi="Arial"/>
                <w:sz w:val="16"/>
                <w:szCs w:val="24"/>
              </w:rPr>
              <w:t>=(</w:t>
            </w:r>
            <w:proofErr w:type="gramEnd"/>
            <w:r w:rsidRPr="00D83CF2">
              <w:rPr>
                <w:rFonts w:asciiTheme="majorBidi" w:hAnsiTheme="majorBidi" w:cstheme="majorBidi" w:ascii="Arial" w:hAnsi="Arial"/>
                <w:sz w:val="16"/>
                <w:szCs w:val="24"/>
              </w:rPr>
              <w:t>("person-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 OR "person centred care" OR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nursing" OR "person centred nursing" OR "individualized care" OR "individualised care") AND ("well-being" OR wellbeing OR "wellbeing" OR wellness)) Epicurean: TS</w:t>
            </w:r>
            <w:proofErr w:type="gramStart"/>
            <w:r w:rsidRPr="00D83CF2">
              <w:rPr>
                <w:rFonts w:asciiTheme="majorBidi" w:hAnsiTheme="majorBidi" w:cstheme="majorBidi" w:ascii="Arial" w:hAnsi="Arial"/>
                <w:sz w:val="16"/>
                <w:szCs w:val="24"/>
              </w:rPr>
              <w:t>=(</w:t>
            </w:r>
            <w:proofErr w:type="gramEnd"/>
            <w:r w:rsidRPr="00D83CF2">
              <w:rPr>
                <w:rFonts w:asciiTheme="majorBidi" w:hAnsiTheme="majorBidi" w:cstheme="majorBidi" w:ascii="Arial" w:hAnsi="Arial"/>
                <w:sz w:val="16"/>
                <w:szCs w:val="24"/>
              </w:rPr>
              <w:t xml:space="preserve">(Epicurus OR Epicurean*) AND (ataraxia OR aponia OR "good life" OR pleasure OR pain OR </w:t>
            </w:r>
            <w:proofErr w:type="spellStart"/>
            <w:r w:rsidRPr="00D83CF2">
              <w:rPr>
                <w:rFonts w:asciiTheme="majorBidi" w:hAnsiTheme="majorBidi" w:cstheme="majorBidi" w:ascii="Arial" w:hAnsi="Arial"/>
                <w:sz w:val="16"/>
                <w:szCs w:val="24"/>
              </w:rPr>
              <w:t>tranquility</w:t>
            </w:r>
            <w:proofErr w:type="spellEnd"/>
            <w:r w:rsidRPr="00D83CF2">
              <w:rPr>
                <w:rFonts w:asciiTheme="majorBidi" w:hAnsiTheme="majorBidi" w:cstheme="majorBidi" w:ascii="Arial" w:hAnsi="Arial"/>
                <w:sz w:val="16"/>
                <w:szCs w:val="24"/>
              </w:rPr>
              <w:t xml:space="preserve"> OR tranquillity))</w:t>
            </w:r>
          </w:p>
        </w:tc>
      </w:tr>
      <w:tr w:rsidR="003B06B7" w:rsidRPr="00352549" w14:paraId="754FF749" w14:textId="77777777" w:rsidTr="00352549">
        <w:trPr>
          <w:cantSplit/>
        </w:trPr>
        <w:tc>
          <w:tcPr>
            <w:tcW w:w="2268" w:type="dxa"/>
            <w:vAlign w:val="center"/>
            <w:hideMark/>
            <w:tcMar>
              <w:top w:w="70" w:type="dxa"/>
              <w:start w:w="80" w:type="dxa"/>
              <w:bottom w:w="70" w:type="dxa"/>
              <w:end w:w="80" w:type="dxa"/>
            </w:tcMar>
          </w:tcPr>
          <w:p w14:paraId="399E22D8" w14:textId="77777777" w:rsidR="003B06B7" w:rsidRDefault="003B06B7" w:rsidP="00352549">
            <w:pPr>
              <w:spacing w:after="0" w:line="240" w:lineRule="auto"/>
              <w:jc w:val="center"/>
              <w:rPr>
                <w:rFonts w:asciiTheme="majorBidi" w:hAnsiTheme="majorBidi" w:cstheme="majorBidi"/>
                <w:b/>
                <w:bCs/>
                <w:sz w:val="24"/>
                <w:szCs w:val="24"/>
              </w:rPr>
            </w:pPr>
          </w:p>
          <w:p w14:paraId="2DB4FE2F" w14:textId="47985267" w:rsidR="003B06B7" w:rsidRPr="00352549" w:rsidRDefault="003B06B7" w:rsidP="00352549">
            <w:pPr>
              <w:spacing w:after="0" w:line="240" w:lineRule="auto"/>
              <w:jc w:val="center"/>
              <w:rPr>
                <w:rFonts w:asciiTheme="majorBidi" w:hAnsiTheme="majorBidi" w:cstheme="majorBidi"/>
                <w:sz w:val="24"/>
                <w:szCs w:val="24"/>
              </w:rPr>
            </w:pPr>
            <w:r w:rsidRPr="00352549">
              <w:rPr>
                <w:rFonts w:asciiTheme="majorBidi" w:hAnsiTheme="majorBidi" w:cstheme="majorBidi" w:ascii="Arial" w:hAnsi="Arial"/>
                <w:b/>
                <w:bCs/>
                <w:sz w:val="16"/>
                <w:szCs w:val="24"/>
              </w:rPr>
              <w:t>Google Scholar</w:t>
            </w:r>
          </w:p>
        </w:tc>
        <w:tc>
          <w:tcPr>
            <w:tcW w:w="13039" w:type="dxa"/>
            <w:vAlign w:val="center"/>
            <w:hideMark/>
            <w:tcMar>
              <w:top w:w="70" w:type="dxa"/>
              <w:start w:w="80" w:type="dxa"/>
              <w:bottom w:w="70" w:type="dxa"/>
              <w:end w:w="80" w:type="dxa"/>
            </w:tcMar>
          </w:tcPr>
          <w:p w14:paraId="13882BD1" w14:textId="77777777" w:rsidR="003B06B7" w:rsidRPr="00D83CF2" w:rsidRDefault="003B06B7" w:rsidP="001D294D">
            <w:pPr>
              <w:spacing w:after="0" w:line="240" w:lineRule="auto"/>
              <w:jc w:val="both"/>
              <w:rPr>
                <w:rFonts w:asciiTheme="majorBidi" w:hAnsiTheme="majorBidi" w:cstheme="majorBidi"/>
                <w:sz w:val="24"/>
                <w:szCs w:val="24"/>
              </w:rPr>
            </w:pPr>
            <w:r w:rsidRPr="00D83CF2">
              <w:rPr>
                <w:rFonts w:asciiTheme="majorBidi" w:hAnsiTheme="majorBidi" w:cstheme="majorBidi" w:ascii="Arial" w:hAnsi="Arial"/>
                <w:sz w:val="16"/>
                <w:szCs w:val="24"/>
              </w:rPr>
              <w:t>Search 1: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nursing" OR "person-</w:t>
            </w:r>
            <w:proofErr w:type="spellStart"/>
            <w:r w:rsidRPr="00D83CF2">
              <w:rPr>
                <w:rFonts w:asciiTheme="majorBidi" w:hAnsiTheme="majorBidi" w:cstheme="majorBidi" w:ascii="Arial" w:hAnsi="Arial"/>
                <w:sz w:val="16"/>
                <w:szCs w:val="24"/>
              </w:rPr>
              <w:t>centered</w:t>
            </w:r>
            <w:proofErr w:type="spellEnd"/>
            <w:r w:rsidRPr="00D83CF2">
              <w:rPr>
                <w:rFonts w:asciiTheme="majorBidi" w:hAnsiTheme="majorBidi" w:cstheme="majorBidi" w:ascii="Arial" w:hAnsi="Arial"/>
                <w:sz w:val="16"/>
                <w:szCs w:val="24"/>
              </w:rPr>
              <w:t xml:space="preserve"> care" "well-being" Search 2: "person centred nursing" OR "person centred care" wellbeing Search 3: "well-being" "individualized care" nursing Search 4: Epicurus ataraxia aponia well-being Search 5: Epicureanism "good life" pain pleasure </w:t>
            </w:r>
            <w:proofErr w:type="spellStart"/>
            <w:r w:rsidRPr="00D83CF2">
              <w:rPr>
                <w:rFonts w:asciiTheme="majorBidi" w:hAnsiTheme="majorBidi" w:cstheme="majorBidi" w:ascii="Arial" w:hAnsi="Arial"/>
                <w:sz w:val="16"/>
                <w:szCs w:val="24"/>
              </w:rPr>
              <w:t>tranquility</w:t>
            </w:r>
            <w:proofErr w:type="spellEnd"/>
          </w:p>
        </w:tc>
      </w:tr>
    </w:tbl>
    <w:p w14:paraId="0CD3441D" w14:textId="77777777" w:rsidR="00AD6EDB" w:rsidRDefault="00AD6EDB" w:rsidP="005F594F">
      <w:pPr>
        <w:jc w:val="center"/>
        <w:rPr>
          <w:rFonts w:asciiTheme="majorBidi" w:hAnsiTheme="majorBidi" w:cstheme="majorBidi"/>
          <w:b/>
          <w:bCs/>
          <w:sz w:val="24"/>
          <w:szCs w:val="24"/>
          <w:lang w:val="en-US"/>
        </w:rPr>
      </w:pPr>
    </w:p>
    <w:p w14:paraId="4A953AC6" w14:textId="6C943572" w:rsidR="00D80DF8" w:rsidRPr="00BC4537" w:rsidRDefault="00AB3C02" w:rsidP="005F594F">
      <w:pPr>
        <w:pStyle w:val="Heading1"/>
        <w:keepNext/>
        <w:jc w:val="left"/>
        <w:rPr>
          <w:rFonts w:asciiTheme="majorBidi" w:hAnsiTheme="majorBidi" w:cstheme="majorBidi"/>
          <w:b/>
          <w:bCs/>
          <w:sz w:val="24"/>
          <w:szCs w:val="24"/>
          <w:lang w:val="en-US"/>
        </w:rPr>
      </w:pPr>
      <w:r>
        <w:rPr>
          <w:rFonts w:ascii="Arial" w:hAnsi="Arial"/>
          <w:sz w:val="20"/>
        </w:rPr>
        <w:t>Table S2. Characteristics and key findings of the 26 included sources</w:t>
      </w:r>
    </w:p>
    <w:tbl>
      <w:tblPr>
        <w:tblStyle w:val="TableGrid"/>
        <w:tblW w:w="0" w:type="auto"/>
        <w:jc w:val="center"/>
        <w:tblLayout w:type="fixed"/>
        <w:tblLook w:val="04A0" w:firstRow="1" w:lastRow="0" w:firstColumn="1" w:lastColumn="0" w:noHBand="0" w:noVBand="1"/>
      </w:tblPr>
      <w:tblGrid>
        <w:gridCol w:w="527"/>
        <w:gridCol w:w="1920"/>
        <w:gridCol w:w="2507"/>
        <w:gridCol w:w="2531"/>
        <w:gridCol w:w="2331"/>
        <w:gridCol w:w="1743"/>
        <w:gridCol w:w="2389"/>
      </w:tblGrid>
      <w:tr w:rsidR="005F594F" w:rsidRPr="005F594F" w14:paraId="197E013D" w14:textId="77777777" w:rsidTr="005F594F">
        <w:trPr>
          <w:jc w:val="center"/>
          <w:cantSplit/>
          <w:tblHeader/>
        </w:trPr>
        <w:tc>
          <w:tcPr>
            <w:tcW w:w="567" w:type="dxa"/>
            <w:vAlign w:val="center"/>
            <w:hideMark/>
            <w:shd w:fill="D9EAF7"/>
          </w:tcPr>
          <w:p w14:paraId="5B91AE36"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No.</w:t>
            </w:r>
          </w:p>
        </w:tc>
        <w:tc>
          <w:tcPr>
            <w:tcW w:w="3402" w:type="dxa"/>
            <w:vAlign w:val="center"/>
            <w:hideMark/>
            <w:shd w:fill="D9EAF7"/>
          </w:tcPr>
          <w:p w14:paraId="7ED5232F"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Study</w:t>
            </w:r>
          </w:p>
        </w:tc>
        <w:tc>
          <w:tcPr>
            <w:tcW w:w="1191" w:type="dxa"/>
            <w:vAlign w:val="center"/>
            <w:hideMark/>
            <w:shd w:fill="D9EAF7"/>
          </w:tcPr>
          <w:p w14:paraId="51B3AC8C"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Country</w:t>
            </w:r>
          </w:p>
        </w:tc>
        <w:tc>
          <w:tcPr>
            <w:tcW w:w="850" w:type="dxa"/>
            <w:vAlign w:val="center"/>
            <w:hideMark/>
            <w:shd w:fill="D9EAF7"/>
          </w:tcPr>
          <w:p w14:paraId="74EF550B"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Year</w:t>
            </w:r>
          </w:p>
        </w:tc>
        <w:tc>
          <w:tcPr>
            <w:tcW w:w="2381" w:type="dxa"/>
            <w:vAlign w:val="center"/>
            <w:hideMark/>
            <w:shd w:fill="D9EAF7"/>
          </w:tcPr>
          <w:p w14:paraId="1C9E6D33"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Study design / Data collection</w:t>
            </w:r>
          </w:p>
        </w:tc>
        <w:tc>
          <w:tcPr>
            <w:tcW w:w="2381" w:type="dxa"/>
            <w:vAlign w:val="center"/>
            <w:hideMark/>
            <w:shd w:fill="D9EAF7"/>
          </w:tcPr>
          <w:p w14:paraId="04D00E14"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Participants / Sample</w:t>
            </w:r>
          </w:p>
        </w:tc>
        <w:tc>
          <w:tcPr>
            <w:tcW w:w="4535" w:type="dxa"/>
            <w:vAlign w:val="center"/>
            <w:hideMark/>
            <w:shd w:fill="D9EAF7"/>
          </w:tcPr>
          <w:p w14:paraId="3CB8D2DB" w14:textId="77777777" w:rsidR="005F594F" w:rsidRPr="005F594F" w:rsidRDefault="005F594F" w:rsidP="005F594F">
            <w:pPr>
              <w:spacing w:after="0" w:line="240" w:lineRule="auto"/>
              <w:jc w:val="center"/>
              <w:rPr>
                <w:rFonts w:asciiTheme="majorBidi" w:hAnsiTheme="majorBidi" w:cstheme="majorBidi"/>
                <w:b/>
                <w:bCs/>
              </w:rPr>
            </w:pPr>
            <w:r w:rsidRPr="005F594F">
              <w:rPr>
                <w:rFonts w:asciiTheme="majorBidi" w:hAnsiTheme="majorBidi" w:cstheme="majorBidi" w:ascii="Arial" w:hAnsi="Arial"/>
                <w:b/>
                <w:bCs/>
                <w:sz w:val="15"/>
              </w:rPr>
              <w:t>Main findings relevant to the review question</w:t>
            </w:r>
          </w:p>
        </w:tc>
      </w:tr>
      <w:tr w:rsidR="005F594F" w:rsidRPr="005F594F" w14:paraId="7E5DAC5D" w14:textId="77777777" w:rsidTr="005F594F">
        <w:trPr>
          <w:jc w:val="center"/>
          <w:cantSplit/>
        </w:trPr>
        <w:tc>
          <w:tcPr>
            <w:tcW w:w="567" w:type="dxa"/>
            <w:vAlign w:val="center"/>
            <w:hideMark/>
          </w:tcPr>
          <w:p w14:paraId="1202474C"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w:t>
            </w:r>
          </w:p>
        </w:tc>
        <w:tc>
          <w:tcPr>
            <w:tcW w:w="3402" w:type="dxa"/>
            <w:vAlign w:val="center"/>
            <w:hideMark/>
          </w:tcPr>
          <w:p w14:paraId="7C75E2AE"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Baxter et al. – Promoting resident thriving in nursing homes: A qualitative study</w:t>
            </w:r>
          </w:p>
        </w:tc>
        <w:tc>
          <w:tcPr>
            <w:tcW w:w="1191" w:type="dxa"/>
            <w:vAlign w:val="center"/>
            <w:hideMark/>
          </w:tcPr>
          <w:p w14:paraId="518636A1"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Australia</w:t>
            </w:r>
          </w:p>
        </w:tc>
        <w:tc>
          <w:tcPr>
            <w:tcW w:w="850" w:type="dxa"/>
            <w:vAlign w:val="center"/>
            <w:hideMark/>
          </w:tcPr>
          <w:p w14:paraId="24EA9D6D"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2025</w:t>
            </w:r>
          </w:p>
        </w:tc>
        <w:tc>
          <w:tcPr>
            <w:tcW w:w="2381" w:type="dxa"/>
            <w:vAlign w:val="center"/>
            <w:hideMark/>
          </w:tcPr>
          <w:p w14:paraId="57A61764"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Qualitative; interviews; qualitative content analysis</w:t>
            </w:r>
          </w:p>
        </w:tc>
        <w:tc>
          <w:tcPr>
            <w:tcW w:w="2381" w:type="dxa"/>
            <w:vAlign w:val="center"/>
            <w:hideMark/>
          </w:tcPr>
          <w:p w14:paraId="19DC4B65"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14 nursing staff (2 RNs, 12 enrolled nurses)</w:t>
            </w:r>
          </w:p>
        </w:tc>
        <w:tc>
          <w:tcPr>
            <w:tcW w:w="4535" w:type="dxa"/>
            <w:vAlign w:val="center"/>
            <w:hideMark/>
          </w:tcPr>
          <w:p w14:paraId="33452308" w14:textId="1B29054F"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Four themes described how staff promoted thriving: personalized care, opportunities for autonomy, connection and meaning, and a curated environment. Personalized knowledge of residents' preferences, relationships, capabilities and pleasure were central to thriving. </w:t>
            </w:r>
          </w:p>
        </w:tc>
      </w:tr>
      <w:tr w:rsidR="005F594F" w:rsidRPr="005F594F" w14:paraId="778476EE" w14:textId="77777777" w:rsidTr="005F594F">
        <w:trPr>
          <w:jc w:val="center"/>
          <w:cantSplit/>
        </w:trPr>
        <w:tc>
          <w:tcPr>
            <w:tcW w:w="567" w:type="dxa"/>
            <w:vAlign w:val="center"/>
            <w:hideMark/>
          </w:tcPr>
          <w:p w14:paraId="6AAA7068"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w:t>
            </w:r>
          </w:p>
        </w:tc>
        <w:tc>
          <w:tcPr>
            <w:tcW w:w="3402" w:type="dxa"/>
            <w:vAlign w:val="center"/>
            <w:hideMark/>
          </w:tcPr>
          <w:p w14:paraId="27A7331A"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Engberg de Carvalho et al. – Person-Centred Nursing in Allogeneic Stem Cell Transplantation Using a Conversation </w:t>
            </w:r>
            <w:r w:rsidRPr="005F594F">
              <w:rPr>
                <w:rFonts w:asciiTheme="majorBidi" w:hAnsiTheme="majorBidi" w:cstheme="majorBidi" w:ascii="Arial" w:hAnsi="Arial"/>
                <w:b/>
                <w:bCs/>
                <w:sz w:val="15"/>
              </w:rPr>
              <w:lastRenderedPageBreak/>
              <w:t>Tool: A Qualitative Study</w:t>
            </w:r>
          </w:p>
        </w:tc>
        <w:tc>
          <w:tcPr>
            <w:tcW w:w="1191" w:type="dxa"/>
            <w:vAlign w:val="center"/>
            <w:hideMark/>
          </w:tcPr>
          <w:p w14:paraId="546046CF"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Sweden</w:t>
            </w:r>
          </w:p>
        </w:tc>
        <w:tc>
          <w:tcPr>
            <w:tcW w:w="850" w:type="dxa"/>
            <w:vAlign w:val="center"/>
            <w:hideMark/>
          </w:tcPr>
          <w:p w14:paraId="0C894F4A"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2025</w:t>
            </w:r>
          </w:p>
        </w:tc>
        <w:tc>
          <w:tcPr>
            <w:tcW w:w="2381" w:type="dxa"/>
            <w:vAlign w:val="center"/>
            <w:hideMark/>
          </w:tcPr>
          <w:p w14:paraId="0AB3866E"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Qualitative; person-centred nursing using a conversation tool</w:t>
            </w:r>
          </w:p>
        </w:tc>
        <w:tc>
          <w:tcPr>
            <w:tcW w:w="2381" w:type="dxa"/>
            <w:vAlign w:val="center"/>
            <w:hideMark/>
          </w:tcPr>
          <w:p w14:paraId="2438D473"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Patients undergoing allogeneic HCT and nursing staff</w:t>
            </w:r>
          </w:p>
        </w:tc>
        <w:tc>
          <w:tcPr>
            <w:tcW w:w="4535" w:type="dxa"/>
            <w:vAlign w:val="center"/>
            <w:hideMark/>
          </w:tcPr>
          <w:p w14:paraId="333AF2E1" w14:textId="2853351B"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The study examined how a structured conversation tool supported person-centred conversations, recognition of individual needs and rehabilitation needs, thereby strengthening </w:t>
            </w:r>
            <w:r w:rsidRPr="005F594F">
              <w:rPr>
                <w:rFonts w:asciiTheme="majorBidi" w:hAnsiTheme="majorBidi" w:cstheme="majorBidi" w:ascii="Arial" w:hAnsi="Arial"/>
                <w:sz w:val="15"/>
              </w:rPr>
              <w:lastRenderedPageBreak/>
              <w:t>individualized nursing encounters.</w:t>
            </w:r>
          </w:p>
        </w:tc>
      </w:tr>
      <w:tr w:rsidR="005F594F" w:rsidRPr="005F594F" w14:paraId="60082D55" w14:textId="77777777" w:rsidTr="005F594F">
        <w:trPr>
          <w:jc w:val="center"/>
          <w:cantSplit/>
        </w:trPr>
        <w:tc>
          <w:tcPr>
            <w:tcW w:w="567" w:type="dxa"/>
            <w:vAlign w:val="center"/>
            <w:hideMark/>
          </w:tcPr>
          <w:p w14:paraId="2FD37675"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3</w:t>
            </w:r>
          </w:p>
        </w:tc>
        <w:tc>
          <w:tcPr>
            <w:tcW w:w="3402" w:type="dxa"/>
            <w:vAlign w:val="center"/>
            <w:hideMark/>
          </w:tcPr>
          <w:p w14:paraId="5E7432DB"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Mousazadeh et al. – The spectrum of person-</w:t>
            </w:r>
            <w:proofErr w:type="spellStart"/>
            <w:r w:rsidRPr="005F594F">
              <w:rPr>
                <w:rFonts w:asciiTheme="majorBidi" w:hAnsiTheme="majorBidi" w:cstheme="majorBidi" w:ascii="Arial" w:hAnsi="Arial"/>
                <w:b/>
                <w:bCs/>
                <w:sz w:val="15"/>
              </w:rPr>
              <w:t>centered</w:t>
            </w:r>
            <w:proofErr w:type="spellEnd"/>
            <w:r w:rsidRPr="005F594F">
              <w:rPr>
                <w:rFonts w:asciiTheme="majorBidi" w:hAnsiTheme="majorBidi" w:cstheme="majorBidi" w:ascii="Arial" w:hAnsi="Arial"/>
                <w:b/>
                <w:bCs/>
                <w:sz w:val="15"/>
              </w:rPr>
              <w:t xml:space="preserve"> care: from luxury to necessity: a descriptive qualitative study</w:t>
            </w:r>
          </w:p>
        </w:tc>
        <w:tc>
          <w:tcPr>
            <w:tcW w:w="1191" w:type="dxa"/>
            <w:vAlign w:val="center"/>
            <w:hideMark/>
          </w:tcPr>
          <w:p w14:paraId="2ACFD8EC"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Iran</w:t>
            </w:r>
          </w:p>
        </w:tc>
        <w:tc>
          <w:tcPr>
            <w:tcW w:w="850" w:type="dxa"/>
            <w:vAlign w:val="center"/>
            <w:hideMark/>
          </w:tcPr>
          <w:p w14:paraId="02C195A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2025</w:t>
            </w:r>
          </w:p>
        </w:tc>
        <w:tc>
          <w:tcPr>
            <w:tcW w:w="2381" w:type="dxa"/>
            <w:vAlign w:val="center"/>
            <w:hideMark/>
          </w:tcPr>
          <w:p w14:paraId="5796D8D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Qualitative descriptive study</w:t>
            </w:r>
          </w:p>
        </w:tc>
        <w:tc>
          <w:tcPr>
            <w:tcW w:w="2381" w:type="dxa"/>
            <w:vAlign w:val="center"/>
            <w:hideMark/>
          </w:tcPr>
          <w:p w14:paraId="5108D020"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Nursing participants; qualitative data</w:t>
            </w:r>
          </w:p>
        </w:tc>
        <w:tc>
          <w:tcPr>
            <w:tcW w:w="4535" w:type="dxa"/>
            <w:vAlign w:val="center"/>
            <w:hideMark/>
          </w:tcPr>
          <w:p w14:paraId="5A253251" w14:textId="132BA7F3"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PCC was conceptualized as moving beyond task-oriented care toward patient engagement, holistic understanding, respect and individualized care. The study is particularly useful for identifying the relational and ethical foundations of person-centred nursing. </w:t>
            </w:r>
          </w:p>
        </w:tc>
      </w:tr>
      <w:tr w:rsidR="005F594F" w:rsidRPr="005F594F" w14:paraId="4C558BD0" w14:textId="77777777" w:rsidTr="005F594F">
        <w:trPr>
          <w:jc w:val="center"/>
          <w:cantSplit/>
        </w:trPr>
        <w:tc>
          <w:tcPr>
            <w:tcW w:w="567" w:type="dxa"/>
            <w:vAlign w:val="center"/>
            <w:hideMark/>
          </w:tcPr>
          <w:p w14:paraId="34C002E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4</w:t>
            </w:r>
          </w:p>
        </w:tc>
        <w:tc>
          <w:tcPr>
            <w:tcW w:w="3402" w:type="dxa"/>
            <w:vAlign w:val="center"/>
            <w:hideMark/>
          </w:tcPr>
          <w:p w14:paraId="453C1668" w14:textId="77777777" w:rsidR="005F594F" w:rsidRPr="005F594F" w:rsidRDefault="005F594F" w:rsidP="005F594F">
            <w:pPr>
              <w:spacing w:after="0" w:line="240" w:lineRule="auto"/>
              <w:jc w:val="center"/>
              <w:rPr>
                <w:rFonts w:asciiTheme="majorBidi" w:hAnsiTheme="majorBidi" w:cstheme="majorBidi"/>
              </w:rPr>
            </w:pPr>
            <w:proofErr w:type="spellStart"/>
            <w:r w:rsidRPr="005F594F">
              <w:rPr>
                <w:rFonts w:asciiTheme="majorBidi" w:hAnsiTheme="majorBidi" w:cstheme="majorBidi" w:ascii="Arial" w:hAnsi="Arial"/>
                <w:b/>
                <w:bCs/>
                <w:sz w:val="15"/>
              </w:rPr>
              <w:t>Ehk</w:t>
            </w:r>
            <w:proofErr w:type="spellEnd"/>
            <w:r w:rsidRPr="005F594F">
              <w:rPr>
                <w:rFonts w:asciiTheme="majorBidi" w:hAnsiTheme="majorBidi" w:cstheme="majorBidi" w:ascii="Arial" w:hAnsi="Arial"/>
                <w:b/>
                <w:bCs/>
                <w:sz w:val="15"/>
              </w:rPr>
              <w:t xml:space="preserve"> et al. – Nurses’ experiences of integrating the </w:t>
            </w:r>
            <w:proofErr w:type="spellStart"/>
            <w:r w:rsidRPr="005F594F">
              <w:rPr>
                <w:rFonts w:asciiTheme="majorBidi" w:hAnsiTheme="majorBidi" w:cstheme="majorBidi" w:ascii="Arial" w:hAnsi="Arial"/>
                <w:b/>
                <w:bCs/>
                <w:sz w:val="15"/>
              </w:rPr>
              <w:t>salutogenic</w:t>
            </w:r>
            <w:proofErr w:type="spellEnd"/>
            <w:r w:rsidRPr="005F594F">
              <w:rPr>
                <w:rFonts w:asciiTheme="majorBidi" w:hAnsiTheme="majorBidi" w:cstheme="majorBidi" w:ascii="Arial" w:hAnsi="Arial"/>
                <w:b/>
                <w:bCs/>
                <w:sz w:val="15"/>
              </w:rPr>
              <w:t xml:space="preserve"> perspective with person-</w:t>
            </w:r>
            <w:proofErr w:type="spellStart"/>
            <w:r w:rsidRPr="005F594F">
              <w:rPr>
                <w:rFonts w:asciiTheme="majorBidi" w:hAnsiTheme="majorBidi" w:cstheme="majorBidi" w:ascii="Arial" w:hAnsi="Arial"/>
                <w:b/>
                <w:bCs/>
                <w:sz w:val="15"/>
              </w:rPr>
              <w:t>centered</w:t>
            </w:r>
            <w:proofErr w:type="spellEnd"/>
            <w:r w:rsidRPr="005F594F">
              <w:rPr>
                <w:rFonts w:asciiTheme="majorBidi" w:hAnsiTheme="majorBidi" w:cstheme="majorBidi" w:ascii="Arial" w:hAnsi="Arial"/>
                <w:b/>
                <w:bCs/>
                <w:sz w:val="15"/>
              </w:rPr>
              <w:t xml:space="preserve"> care for older people in Swedish nursing home care</w:t>
            </w:r>
          </w:p>
        </w:tc>
        <w:tc>
          <w:tcPr>
            <w:tcW w:w="1191" w:type="dxa"/>
            <w:vAlign w:val="center"/>
            <w:hideMark/>
          </w:tcPr>
          <w:p w14:paraId="2D34805B"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Sweden</w:t>
            </w:r>
          </w:p>
        </w:tc>
        <w:tc>
          <w:tcPr>
            <w:tcW w:w="850" w:type="dxa"/>
            <w:vAlign w:val="center"/>
            <w:hideMark/>
          </w:tcPr>
          <w:p w14:paraId="522CDE1A"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2024</w:t>
            </w:r>
          </w:p>
        </w:tc>
        <w:tc>
          <w:tcPr>
            <w:tcW w:w="2381" w:type="dxa"/>
            <w:vAlign w:val="center"/>
            <w:hideMark/>
          </w:tcPr>
          <w:p w14:paraId="1E516A6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Qualitative; semi-structured individual interviews; qualitative content analysis</w:t>
            </w:r>
          </w:p>
        </w:tc>
        <w:tc>
          <w:tcPr>
            <w:tcW w:w="2381" w:type="dxa"/>
            <w:vAlign w:val="center"/>
            <w:hideMark/>
          </w:tcPr>
          <w:p w14:paraId="346AEA66"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9 nurses</w:t>
            </w:r>
          </w:p>
        </w:tc>
        <w:tc>
          <w:tcPr>
            <w:tcW w:w="4535" w:type="dxa"/>
            <w:vAlign w:val="center"/>
            <w:hideMark/>
          </w:tcPr>
          <w:p w14:paraId="04AF18C2" w14:textId="25218D04"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Combining </w:t>
            </w:r>
            <w:proofErr w:type="spellStart"/>
            <w:r w:rsidRPr="005F594F">
              <w:rPr>
                <w:rFonts w:asciiTheme="majorBidi" w:hAnsiTheme="majorBidi" w:cstheme="majorBidi" w:ascii="Arial" w:hAnsi="Arial"/>
                <w:sz w:val="15"/>
              </w:rPr>
              <w:t>salutogenesis</w:t>
            </w:r>
            <w:proofErr w:type="spellEnd"/>
            <w:r w:rsidRPr="005F594F">
              <w:rPr>
                <w:rFonts w:asciiTheme="majorBidi" w:hAnsiTheme="majorBidi" w:cstheme="majorBidi" w:ascii="Arial" w:hAnsi="Arial"/>
                <w:sz w:val="15"/>
              </w:rPr>
              <w:t xml:space="preserve"> with PCC emphasized residents' resources, health, holistic care and meaningful everyday life. Nurses described how recognizing individual needs and overcoming barriers could make everyday activities more meaningful and support well-being. </w:t>
            </w:r>
          </w:p>
        </w:tc>
      </w:tr>
      <w:tr w:rsidR="005F594F" w:rsidRPr="005F594F" w14:paraId="030AEB7B" w14:textId="77777777" w:rsidTr="005F594F">
        <w:trPr>
          <w:jc w:val="center"/>
          <w:cantSplit/>
        </w:trPr>
        <w:tc>
          <w:tcPr>
            <w:tcW w:w="567" w:type="dxa"/>
            <w:vAlign w:val="center"/>
            <w:hideMark/>
          </w:tcPr>
          <w:p w14:paraId="08E19364"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5</w:t>
            </w:r>
          </w:p>
        </w:tc>
        <w:tc>
          <w:tcPr>
            <w:tcW w:w="3402" w:type="dxa"/>
            <w:vAlign w:val="center"/>
            <w:hideMark/>
          </w:tcPr>
          <w:p w14:paraId="50E01B39"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Salje – Depression, Ataraxia, and the Pig</w:t>
            </w:r>
          </w:p>
        </w:tc>
        <w:tc>
          <w:tcPr>
            <w:tcW w:w="1191" w:type="dxa"/>
            <w:vAlign w:val="center"/>
            <w:hideMark/>
          </w:tcPr>
          <w:p w14:paraId="408146E1"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UK</w:t>
            </w:r>
          </w:p>
        </w:tc>
        <w:tc>
          <w:tcPr>
            <w:tcW w:w="850" w:type="dxa"/>
            <w:vAlign w:val="center"/>
            <w:hideMark/>
          </w:tcPr>
          <w:p w14:paraId="3A88F22A"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2023</w:t>
            </w:r>
          </w:p>
        </w:tc>
        <w:tc>
          <w:tcPr>
            <w:tcW w:w="2381" w:type="dxa"/>
            <w:vAlign w:val="center"/>
            <w:hideMark/>
          </w:tcPr>
          <w:p w14:paraId="32BF199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Philosophical analysis</w:t>
            </w:r>
          </w:p>
        </w:tc>
        <w:tc>
          <w:tcPr>
            <w:tcW w:w="2381" w:type="dxa"/>
            <w:vAlign w:val="center"/>
            <w:hideMark/>
          </w:tcPr>
          <w:p w14:paraId="684571A5"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Philosophical texts/arguments</w:t>
            </w:r>
          </w:p>
        </w:tc>
        <w:tc>
          <w:tcPr>
            <w:tcW w:w="4535" w:type="dxa"/>
            <w:vAlign w:val="center"/>
            <w:hideMark/>
          </w:tcPr>
          <w:p w14:paraId="4B25C532" w14:textId="176552AE"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Directly examines ataraxia as the idealized tranquil condition in Epicurean ethics and contrasts it with emotional flattening in depression. Particularly important for avoiding the erroneous interpretation of </w:t>
            </w:r>
            <w:r w:rsidRPr="005F594F">
              <w:rPr>
                <w:rFonts w:asciiTheme="majorBidi" w:hAnsiTheme="majorBidi" w:cstheme="majorBidi" w:ascii="Arial" w:hAnsi="Arial"/>
                <w:i/>
                <w:iCs/>
                <w:sz w:val="15"/>
              </w:rPr>
              <w:t>ataraxia</w:t>
            </w:r>
            <w:r w:rsidRPr="005F594F">
              <w:rPr>
                <w:rFonts w:asciiTheme="majorBidi" w:hAnsiTheme="majorBidi" w:cstheme="majorBidi" w:ascii="Arial" w:hAnsi="Arial"/>
                <w:sz w:val="15"/>
              </w:rPr>
              <w:t xml:space="preserve"> as emotional absence or mere suppression of feeling.</w:t>
            </w:r>
          </w:p>
        </w:tc>
      </w:tr>
      <w:tr w:rsidR="005F594F" w:rsidRPr="005F594F" w14:paraId="26C151DD" w14:textId="77777777" w:rsidTr="005F594F">
        <w:trPr>
          <w:jc w:val="center"/>
          <w:cantSplit/>
        </w:trPr>
        <w:tc>
          <w:tcPr>
            <w:tcW w:w="567" w:type="dxa"/>
            <w:vAlign w:val="center"/>
            <w:hideMark/>
          </w:tcPr>
          <w:p w14:paraId="54F878C4"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6</w:t>
            </w:r>
          </w:p>
        </w:tc>
        <w:tc>
          <w:tcPr>
            <w:tcW w:w="3402" w:type="dxa"/>
            <w:vAlign w:val="center"/>
            <w:hideMark/>
          </w:tcPr>
          <w:p w14:paraId="5B3DE20D"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Xu et al. – Person-</w:t>
            </w:r>
            <w:proofErr w:type="spellStart"/>
            <w:r w:rsidRPr="005F594F">
              <w:rPr>
                <w:rFonts w:asciiTheme="majorBidi" w:hAnsiTheme="majorBidi" w:cstheme="majorBidi" w:ascii="Arial" w:hAnsi="Arial"/>
                <w:b/>
                <w:bCs/>
                <w:sz w:val="15"/>
              </w:rPr>
              <w:t>Centered</w:t>
            </w:r>
            <w:proofErr w:type="spellEnd"/>
            <w:r w:rsidRPr="005F594F">
              <w:rPr>
                <w:rFonts w:asciiTheme="majorBidi" w:hAnsiTheme="majorBidi" w:cstheme="majorBidi" w:ascii="Arial" w:hAnsi="Arial"/>
                <w:b/>
                <w:bCs/>
                <w:sz w:val="15"/>
              </w:rPr>
              <w:t xml:space="preserve"> Climate, Garden Greenery and Well-Being among Nursing Home Residents: A Cross-Sectional Study</w:t>
            </w:r>
          </w:p>
        </w:tc>
        <w:tc>
          <w:tcPr>
            <w:tcW w:w="1191" w:type="dxa"/>
            <w:vAlign w:val="center"/>
            <w:hideMark/>
          </w:tcPr>
          <w:p w14:paraId="7015FE50"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China</w:t>
            </w:r>
          </w:p>
        </w:tc>
        <w:tc>
          <w:tcPr>
            <w:tcW w:w="850" w:type="dxa"/>
            <w:vAlign w:val="center"/>
            <w:hideMark/>
          </w:tcPr>
          <w:p>
            <w:pPr>
              <w:spacing w:after="0" w:line="240" w:lineRule="auto"/>
            </w:pPr>
            <w:r>
              <w:rPr>
                <w:rFonts w:ascii="Arial" w:hAnsi="Arial"/>
                <w:sz w:val="15"/>
              </w:rPr>
              <w:t>2023</w:t>
            </w:r>
          </w:p>
        </w:tc>
        <w:tc>
          <w:tcPr>
            <w:tcW w:w="2381" w:type="dxa"/>
            <w:vAlign w:val="center"/>
            <w:hideMark/>
          </w:tcPr>
          <w:p w14:paraId="64E00359"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Quantitative; cross-sectional survey; multiple linear regression</w:t>
            </w:r>
          </w:p>
        </w:tc>
        <w:tc>
          <w:tcPr>
            <w:tcW w:w="2381" w:type="dxa"/>
            <w:vAlign w:val="center"/>
            <w:hideMark/>
          </w:tcPr>
          <w:p w14:paraId="00ED6C90"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470 nursing-home residents</w:t>
            </w:r>
          </w:p>
        </w:tc>
        <w:tc>
          <w:tcPr>
            <w:tcW w:w="4535" w:type="dxa"/>
            <w:vAlign w:val="center"/>
            <w:hideMark/>
          </w:tcPr>
          <w:p w14:paraId="2F6A9420" w14:textId="7ED10CD9"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Person-</w:t>
            </w:r>
            <w:proofErr w:type="spellStart"/>
            <w:r w:rsidRPr="005F594F">
              <w:rPr>
                <w:rFonts w:asciiTheme="majorBidi" w:hAnsiTheme="majorBidi" w:cstheme="majorBidi" w:ascii="Arial" w:hAnsi="Arial"/>
                <w:sz w:val="15"/>
              </w:rPr>
              <w:t>centered</w:t>
            </w:r>
            <w:proofErr w:type="spellEnd"/>
            <w:r w:rsidRPr="005F594F">
              <w:rPr>
                <w:rFonts w:asciiTheme="majorBidi" w:hAnsiTheme="majorBidi" w:cstheme="majorBidi" w:ascii="Arial" w:hAnsi="Arial"/>
                <w:sz w:val="15"/>
              </w:rPr>
              <w:t xml:space="preserve"> climate was positively associated with general health and life satisfaction and negatively associated with depression. After adjustment, models explained 36% of variance in general health, 35% in life satisfaction and 21% in depression. </w:t>
            </w:r>
          </w:p>
        </w:tc>
      </w:tr>
      <w:tr w:rsidR="005F594F" w:rsidRPr="005F594F" w14:paraId="356DCC58" w14:textId="77777777" w:rsidTr="005F594F">
        <w:trPr>
          <w:jc w:val="center"/>
          <w:cantSplit/>
        </w:trPr>
        <w:tc>
          <w:tcPr>
            <w:tcW w:w="567" w:type="dxa"/>
            <w:vAlign w:val="center"/>
            <w:hideMark/>
          </w:tcPr>
          <w:p w14:paraId="616E6024"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7</w:t>
            </w:r>
          </w:p>
        </w:tc>
        <w:tc>
          <w:tcPr>
            <w:tcW w:w="3402" w:type="dxa"/>
            <w:vAlign w:val="center"/>
            <w:hideMark/>
          </w:tcPr>
          <w:p w14:paraId="626B26E5"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Palmer – Epicureanism</w:t>
            </w:r>
          </w:p>
        </w:tc>
        <w:tc>
          <w:tcPr>
            <w:tcW w:w="1191" w:type="dxa"/>
            <w:vAlign w:val="center"/>
            <w:hideMark/>
          </w:tcPr>
          <w:p w14:paraId="43C0113B"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International/Philosophical</w:t>
            </w:r>
          </w:p>
        </w:tc>
        <w:tc>
          <w:tcPr>
            <w:tcW w:w="850" w:type="dxa"/>
            <w:vAlign w:val="center"/>
            <w:hideMark/>
          </w:tcPr>
          <w:p w14:paraId="3A61EFCE"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2022</w:t>
            </w:r>
          </w:p>
        </w:tc>
        <w:tc>
          <w:tcPr>
            <w:tcW w:w="2381" w:type="dxa"/>
            <w:vAlign w:val="center"/>
            <w:hideMark/>
          </w:tcPr>
          <w:p w14:paraId="5A3996D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Philosophical reference entry</w:t>
            </w:r>
          </w:p>
        </w:tc>
        <w:tc>
          <w:tcPr>
            <w:tcW w:w="2381" w:type="dxa"/>
            <w:vAlign w:val="center"/>
            <w:hideMark/>
          </w:tcPr>
          <w:p w14:paraId="6E5C8A3F"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w:t>
            </w:r>
          </w:p>
        </w:tc>
        <w:tc>
          <w:tcPr>
            <w:tcW w:w="4535" w:type="dxa"/>
            <w:vAlign w:val="center"/>
            <w:hideMark/>
          </w:tcPr>
          <w:p w14:paraId="6F30926A" w14:textId="3BB3E125"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Provides a contemporary scholarly overview of Epicureanism and its ethical orientation </w:t>
            </w:r>
            <w:r w:rsidRPr="005F594F">
              <w:rPr>
                <w:rFonts w:asciiTheme="majorBidi" w:hAnsiTheme="majorBidi" w:cstheme="majorBidi" w:ascii="Arial" w:hAnsi="Arial"/>
                <w:sz w:val="15"/>
              </w:rPr>
              <w:lastRenderedPageBreak/>
              <w:t xml:space="preserve">toward happiness, pleasure, pain and the good life. Useful primarily as a secondary philosophical source rather than an empirical study. </w:t>
            </w:r>
          </w:p>
        </w:tc>
      </w:tr>
      <w:tr w:rsidR="005F594F" w:rsidRPr="005F594F" w14:paraId="4B782E26" w14:textId="77777777" w:rsidTr="005F594F">
        <w:trPr>
          <w:jc w:val="center"/>
          <w:cantSplit/>
        </w:trPr>
        <w:tc>
          <w:tcPr>
            <w:tcW w:w="567" w:type="dxa"/>
            <w:vAlign w:val="center"/>
            <w:hideMark/>
          </w:tcPr>
          <w:p w14:paraId="50450BBB"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8</w:t>
            </w:r>
          </w:p>
        </w:tc>
        <w:tc>
          <w:tcPr>
            <w:tcW w:w="3402" w:type="dxa"/>
            <w:vAlign w:val="center"/>
            <w:hideMark/>
          </w:tcPr>
          <w:p w14:paraId="03DFF4E1" w14:textId="77777777" w:rsidR="005F594F" w:rsidRPr="005F594F" w:rsidRDefault="005F594F" w:rsidP="005F594F">
            <w:pPr>
              <w:spacing w:after="0" w:line="240" w:lineRule="auto"/>
              <w:jc w:val="center"/>
              <w:rPr>
                <w:rFonts w:asciiTheme="majorBidi" w:hAnsiTheme="majorBidi" w:cstheme="majorBidi"/>
              </w:rPr>
            </w:pPr>
            <w:proofErr w:type="spellStart"/>
            <w:r w:rsidRPr="005F594F">
              <w:rPr>
                <w:rFonts w:asciiTheme="majorBidi" w:hAnsiTheme="majorBidi" w:cstheme="majorBidi" w:ascii="Arial" w:hAnsi="Arial"/>
                <w:b/>
                <w:bCs/>
                <w:sz w:val="15"/>
              </w:rPr>
              <w:t>Voorhoeve</w:t>
            </w:r>
            <w:proofErr w:type="spellEnd"/>
            <w:r w:rsidRPr="005F594F">
              <w:rPr>
                <w:rFonts w:asciiTheme="majorBidi" w:hAnsiTheme="majorBidi" w:cstheme="majorBidi" w:ascii="Arial" w:hAnsi="Arial"/>
                <w:b/>
                <w:bCs/>
                <w:sz w:val="15"/>
              </w:rPr>
              <w:t xml:space="preserve"> – The Pleasures of Tranquillity</w:t>
            </w:r>
          </w:p>
        </w:tc>
        <w:tc>
          <w:tcPr>
            <w:tcW w:w="1191" w:type="dxa"/>
            <w:vAlign w:val="center"/>
            <w:hideMark/>
          </w:tcPr>
          <w:p w14:paraId="41C21D73"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UK</w:t>
            </w:r>
          </w:p>
        </w:tc>
        <w:tc>
          <w:tcPr>
            <w:tcW w:w="850" w:type="dxa"/>
            <w:vAlign w:val="center"/>
            <w:hideMark/>
          </w:tcPr>
          <w:p w14:paraId="4EF0AA14"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2022</w:t>
            </w:r>
          </w:p>
        </w:tc>
        <w:tc>
          <w:tcPr>
            <w:tcW w:w="2381" w:type="dxa"/>
            <w:vAlign w:val="center"/>
            <w:hideMark/>
          </w:tcPr>
          <w:p w14:paraId="01B9B14A"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Philosophical analysis</w:t>
            </w:r>
          </w:p>
        </w:tc>
        <w:tc>
          <w:tcPr>
            <w:tcW w:w="2381" w:type="dxa"/>
            <w:vAlign w:val="center"/>
            <w:hideMark/>
          </w:tcPr>
          <w:p w14:paraId="4BD30633"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Epicurean texts and philosophical arguments</w:t>
            </w:r>
          </w:p>
        </w:tc>
        <w:tc>
          <w:tcPr>
            <w:tcW w:w="4535" w:type="dxa"/>
            <w:vAlign w:val="center"/>
            <w:hideMark/>
          </w:tcPr>
          <w:p w14:paraId="79A1B3B5" w14:textId="56B6BE6B"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Argues that the Epicurean good life involves attaining and maintaining tranquillity. It explicitly addresses the relationship between pleasure, pain and </w:t>
            </w:r>
            <w:proofErr w:type="spellStart"/>
            <w:r w:rsidRPr="005F594F">
              <w:rPr>
                <w:rFonts w:asciiTheme="majorBidi" w:hAnsiTheme="majorBidi" w:cstheme="majorBidi" w:ascii="Arial" w:hAnsi="Arial"/>
                <w:sz w:val="15"/>
              </w:rPr>
              <w:t>tranquility</w:t>
            </w:r>
            <w:proofErr w:type="spellEnd"/>
            <w:r w:rsidRPr="005F594F">
              <w:rPr>
                <w:rFonts w:asciiTheme="majorBidi" w:hAnsiTheme="majorBidi" w:cstheme="majorBidi" w:ascii="Arial" w:hAnsi="Arial"/>
                <w:sz w:val="15"/>
              </w:rPr>
              <w:t xml:space="preserve"> and therefore provides a strong conceptual bridge to the proposed reconstruction of well-being. </w:t>
            </w:r>
          </w:p>
        </w:tc>
      </w:tr>
      <w:tr w:rsidR="005F594F" w:rsidRPr="005F594F" w14:paraId="62C8FCF3" w14:textId="77777777" w:rsidTr="005F594F">
        <w:trPr>
          <w:jc w:val="center"/>
          <w:cantSplit/>
        </w:trPr>
        <w:tc>
          <w:tcPr>
            <w:tcW w:w="567" w:type="dxa"/>
            <w:vAlign w:val="center"/>
            <w:hideMark/>
          </w:tcPr>
          <w:p>
            <w:pPr>
              <w:spacing w:after="0" w:line="240" w:lineRule="auto"/>
            </w:pPr>
            <w:r>
              <w:rPr>
                <w:rFonts w:ascii="Arial" w:hAnsi="Arial"/>
                <w:sz w:val="15"/>
              </w:rPr>
              <w:t>9</w:t>
            </w:r>
          </w:p>
        </w:tc>
        <w:tc>
          <w:tcPr>
            <w:tcW w:w="3402" w:type="dxa"/>
            <w:vAlign w:val="center"/>
            <w:hideMark/>
          </w:tcPr>
          <w:p>
            <w:pPr>
              <w:spacing w:after="0" w:line="240" w:lineRule="auto"/>
            </w:pPr>
            <w:r>
              <w:rPr>
                <w:rFonts w:ascii="Arial" w:hAnsi="Arial"/>
                <w:sz w:val="15"/>
              </w:rPr>
              <w:t>Nilsson et al. – Nurses’ descriptions of person-centred care for older people in an acute medical ward: on the individual, team and organisational levels</w:t>
            </w:r>
          </w:p>
        </w:tc>
        <w:tc>
          <w:tcPr>
            <w:tcW w:w="1191" w:type="dxa"/>
            <w:vAlign w:val="center"/>
            <w:hideMark/>
          </w:tcPr>
          <w:p>
            <w:pPr>
              <w:spacing w:after="0" w:line="240" w:lineRule="auto"/>
            </w:pPr>
            <w:r>
              <w:rPr>
                <w:rFonts w:ascii="Arial" w:hAnsi="Arial"/>
                <w:sz w:val="15"/>
              </w:rPr>
              <w:t>Sweden</w:t>
            </w:r>
          </w:p>
        </w:tc>
        <w:tc>
          <w:tcPr>
            <w:tcW w:w="850" w:type="dxa"/>
            <w:vAlign w:val="center"/>
            <w:hideMark/>
          </w:tcPr>
          <w:p>
            <w:pPr>
              <w:spacing w:after="0" w:line="240" w:lineRule="auto"/>
            </w:pPr>
            <w:r>
              <w:rPr>
                <w:rFonts w:ascii="Arial" w:hAnsi="Arial"/>
                <w:sz w:val="15"/>
              </w:rPr>
              <w:t>2019</w:t>
            </w:r>
          </w:p>
        </w:tc>
        <w:tc>
          <w:tcPr>
            <w:tcW w:w="2381" w:type="dxa"/>
            <w:vAlign w:val="center"/>
            <w:hideMark/>
          </w:tcPr>
          <w:p>
            <w:pPr>
              <w:spacing w:after="0" w:line="240" w:lineRule="auto"/>
            </w:pPr>
            <w:r>
              <w:rPr>
                <w:rFonts w:ascii="Arial" w:hAnsi="Arial"/>
                <w:sz w:val="15"/>
              </w:rPr>
              <w:t>Qualitative interview study; qualitative content analysis</w:t>
            </w:r>
          </w:p>
        </w:tc>
        <w:tc>
          <w:tcPr>
            <w:tcW w:w="2381" w:type="dxa"/>
            <w:vAlign w:val="center"/>
            <w:hideMark/>
          </w:tcPr>
          <w:p>
            <w:pPr>
              <w:spacing w:after="0" w:line="240" w:lineRule="auto"/>
            </w:pPr>
            <w:r>
              <w:rPr>
                <w:rFonts w:ascii="Arial" w:hAnsi="Arial"/>
                <w:sz w:val="15"/>
              </w:rPr>
              <w:t>14 registered and enrolled nurses from an acute medical ward</w:t>
            </w:r>
          </w:p>
        </w:tc>
        <w:tc>
          <w:tcPr>
            <w:tcW w:w="4535" w:type="dxa"/>
            <w:vAlign w:val="center"/>
            <w:hideMark/>
          </w:tcPr>
          <w:p>
            <w:pPr>
              <w:spacing w:after="0" w:line="240" w:lineRule="auto"/>
            </w:pPr>
            <w:r>
              <w:rPr>
                <w:rFonts w:ascii="Arial" w:hAnsi="Arial"/>
                <w:sz w:val="15"/>
              </w:rPr>
              <w:t>Person-centred care was described at individual, team and organisational levels, including personalised assessment and relationships, shared goals, supportive teamwork, appropriate workloads and routines that keep the person at the centre of care.</w:t>
            </w:r>
          </w:p>
        </w:tc>
      </w:tr>
      <w:tr w:rsidR="005F594F" w:rsidRPr="005F594F" w14:paraId="624B30B8" w14:textId="77777777" w:rsidTr="005F594F">
        <w:trPr>
          <w:jc w:val="center"/>
          <w:cantSplit/>
        </w:trPr>
        <w:tc>
          <w:tcPr>
            <w:tcW w:w="567" w:type="dxa"/>
            <w:vAlign w:val="center"/>
            <w:hideMark/>
          </w:tcPr>
          <w:p w14:paraId="539CEC9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10</w:t>
            </w:r>
          </w:p>
        </w:tc>
        <w:tc>
          <w:tcPr>
            <w:tcW w:w="3402" w:type="dxa"/>
            <w:vAlign w:val="center"/>
            <w:hideMark/>
          </w:tcPr>
          <w:p w14:paraId="462D2F6D" w14:textId="77777777" w:rsidR="005F594F" w:rsidRPr="005F594F" w:rsidRDefault="005F594F" w:rsidP="005F594F">
            <w:pPr>
              <w:spacing w:after="0" w:line="240" w:lineRule="auto"/>
              <w:jc w:val="center"/>
              <w:rPr>
                <w:rFonts w:asciiTheme="majorBidi" w:hAnsiTheme="majorBidi" w:cstheme="majorBidi"/>
              </w:rPr>
            </w:pPr>
            <w:proofErr w:type="spellStart"/>
            <w:r w:rsidRPr="005F594F">
              <w:rPr>
                <w:rFonts w:asciiTheme="majorBidi" w:hAnsiTheme="majorBidi" w:cstheme="majorBidi" w:ascii="Arial" w:hAnsi="Arial"/>
                <w:b/>
                <w:bCs/>
                <w:sz w:val="15"/>
              </w:rPr>
              <w:t>Yapijakis</w:t>
            </w:r>
            <w:proofErr w:type="spellEnd"/>
            <w:r w:rsidRPr="005F594F">
              <w:rPr>
                <w:rFonts w:asciiTheme="majorBidi" w:hAnsiTheme="majorBidi" w:cstheme="majorBidi" w:ascii="Arial" w:hAnsi="Arial"/>
                <w:b/>
                <w:bCs/>
                <w:sz w:val="15"/>
              </w:rPr>
              <w:t xml:space="preserve"> &amp; </w:t>
            </w:r>
            <w:proofErr w:type="spellStart"/>
            <w:r w:rsidRPr="005F594F">
              <w:rPr>
                <w:rFonts w:asciiTheme="majorBidi" w:hAnsiTheme="majorBidi" w:cstheme="majorBidi" w:ascii="Arial" w:hAnsi="Arial"/>
                <w:b/>
                <w:bCs/>
                <w:sz w:val="15"/>
              </w:rPr>
              <w:t>Chrousos</w:t>
            </w:r>
            <w:proofErr w:type="spellEnd"/>
            <w:r w:rsidRPr="005F594F">
              <w:rPr>
                <w:rFonts w:asciiTheme="majorBidi" w:hAnsiTheme="majorBidi" w:cstheme="majorBidi" w:ascii="Arial" w:hAnsi="Arial"/>
                <w:b/>
                <w:bCs/>
                <w:sz w:val="15"/>
              </w:rPr>
              <w:t xml:space="preserve"> – Epicurean Stability (</w:t>
            </w:r>
            <w:proofErr w:type="spellStart"/>
            <w:r w:rsidRPr="005F594F">
              <w:rPr>
                <w:rFonts w:asciiTheme="majorBidi" w:hAnsiTheme="majorBidi" w:cstheme="majorBidi" w:ascii="Arial" w:hAnsi="Arial"/>
                <w:b/>
                <w:bCs/>
                <w:sz w:val="15"/>
              </w:rPr>
              <w:t>eustatheia</w:t>
            </w:r>
            <w:proofErr w:type="spellEnd"/>
            <w:r w:rsidRPr="005F594F">
              <w:rPr>
                <w:rFonts w:asciiTheme="majorBidi" w:hAnsiTheme="majorBidi" w:cstheme="majorBidi" w:ascii="Arial" w:hAnsi="Arial"/>
                <w:b/>
                <w:bCs/>
                <w:sz w:val="15"/>
              </w:rPr>
              <w:t>): A Philosophical Approach of Stress Management</w:t>
            </w:r>
          </w:p>
        </w:tc>
        <w:tc>
          <w:tcPr>
            <w:tcW w:w="1191" w:type="dxa"/>
            <w:vAlign w:val="center"/>
            <w:hideMark/>
          </w:tcPr>
          <w:p w14:paraId="4E8148E1"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Greece</w:t>
            </w:r>
          </w:p>
        </w:tc>
        <w:tc>
          <w:tcPr>
            <w:tcW w:w="850" w:type="dxa"/>
            <w:vAlign w:val="center"/>
            <w:hideMark/>
          </w:tcPr>
          <w:p w14:paraId="50D5C93D"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2022</w:t>
            </w:r>
          </w:p>
        </w:tc>
        <w:tc>
          <w:tcPr>
            <w:tcW w:w="2381" w:type="dxa"/>
            <w:vAlign w:val="center"/>
            <w:hideMark/>
          </w:tcPr>
          <w:p w14:paraId="3495F969"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Philosophical/theoretical analysis</w:t>
            </w:r>
          </w:p>
        </w:tc>
        <w:tc>
          <w:tcPr>
            <w:tcW w:w="2381" w:type="dxa"/>
            <w:vAlign w:val="center"/>
            <w:hideMark/>
          </w:tcPr>
          <w:p w14:paraId="788DF939"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Epicurean texts and contemporary scientific literature</w:t>
            </w:r>
          </w:p>
        </w:tc>
        <w:tc>
          <w:tcPr>
            <w:tcW w:w="4535" w:type="dxa"/>
            <w:vAlign w:val="center"/>
            <w:hideMark/>
          </w:tcPr>
          <w:p w14:paraId="799EF5DE" w14:textId="2AB365A4"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Presents Epicurean </w:t>
            </w:r>
            <w:proofErr w:type="spellStart"/>
            <w:r w:rsidRPr="005F594F">
              <w:rPr>
                <w:rFonts w:asciiTheme="majorBidi" w:hAnsiTheme="majorBidi" w:cstheme="majorBidi" w:ascii="Arial" w:hAnsi="Arial"/>
                <w:sz w:val="15"/>
              </w:rPr>
              <w:t>eustatheia</w:t>
            </w:r>
            <w:proofErr w:type="spellEnd"/>
            <w:r w:rsidRPr="005F594F">
              <w:rPr>
                <w:rFonts w:asciiTheme="majorBidi" w:hAnsiTheme="majorBidi" w:cstheme="majorBidi" w:ascii="Arial" w:hAnsi="Arial"/>
                <w:sz w:val="15"/>
              </w:rPr>
              <w:t xml:space="preserve"> as psychosomatic stability and relates Epicurean ethics to stress, anxiety, depression and mental well-being. It strengthens the interpretation of Epicureanism as a therapeutic/psychological framework rather than simple pursuit of sensory pleasure. </w:t>
            </w:r>
          </w:p>
        </w:tc>
      </w:tr>
      <w:tr w:rsidR="005F594F" w:rsidRPr="005F594F" w14:paraId="4903D79D" w14:textId="77777777" w:rsidTr="005F594F">
        <w:trPr>
          <w:jc w:val="center"/>
          <w:cantSplit/>
        </w:trPr>
        <w:tc>
          <w:tcPr>
            <w:tcW w:w="567" w:type="dxa"/>
            <w:vAlign w:val="center"/>
            <w:hideMark/>
          </w:tcPr>
          <w:p w14:paraId="7998F269"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11</w:t>
            </w:r>
          </w:p>
        </w:tc>
        <w:tc>
          <w:tcPr>
            <w:tcW w:w="3402" w:type="dxa"/>
            <w:vAlign w:val="center"/>
            <w:hideMark/>
          </w:tcPr>
          <w:p w14:paraId="7B9891BD"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Haugland &amp; Giske – Nursing Students Explore Meaningful Activities for Nursing Home Residents: Enlivening the Residents by Cultivating Their Spark of Life</w:t>
            </w:r>
          </w:p>
        </w:tc>
        <w:tc>
          <w:tcPr>
            <w:tcW w:w="1191" w:type="dxa"/>
            <w:vAlign w:val="center"/>
            <w:hideMark/>
          </w:tcPr>
          <w:p w14:paraId="271BF99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Norway</w:t>
            </w:r>
          </w:p>
        </w:tc>
        <w:tc>
          <w:tcPr>
            <w:tcW w:w="850" w:type="dxa"/>
            <w:vAlign w:val="center"/>
            <w:hideMark/>
          </w:tcPr>
          <w:p w14:paraId="77421DE4"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2021</w:t>
            </w:r>
          </w:p>
        </w:tc>
        <w:tc>
          <w:tcPr>
            <w:tcW w:w="2381" w:type="dxa"/>
            <w:vAlign w:val="center"/>
            <w:hideMark/>
          </w:tcPr>
          <w:p w14:paraId="3E81BB73"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Qualitative exploratory study</w:t>
            </w:r>
          </w:p>
        </w:tc>
        <w:tc>
          <w:tcPr>
            <w:tcW w:w="2381" w:type="dxa"/>
            <w:vAlign w:val="center"/>
            <w:hideMark/>
          </w:tcPr>
          <w:p w14:paraId="1200FBEE"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Nursing students / nursing-home residents</w:t>
            </w:r>
          </w:p>
        </w:tc>
        <w:tc>
          <w:tcPr>
            <w:tcW w:w="4535" w:type="dxa"/>
            <w:vAlign w:val="center"/>
            <w:hideMark/>
          </w:tcPr>
          <w:p w14:paraId="4ACD8212" w14:textId="5543F24D"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Meaningful activities were used to stimulate residents' engagement, vitality, relationships and quality of life. The study supports meaning and personally meaningful activity as components of person-centred well-being. </w:t>
            </w:r>
          </w:p>
        </w:tc>
      </w:tr>
      <w:tr w:rsidR="005F594F" w:rsidRPr="005F594F" w14:paraId="303D83AB" w14:textId="77777777" w:rsidTr="005F594F">
        <w:trPr>
          <w:jc w:val="center"/>
          <w:cantSplit/>
        </w:trPr>
        <w:tc>
          <w:tcPr>
            <w:tcW w:w="567" w:type="dxa"/>
            <w:vAlign w:val="center"/>
            <w:hideMark/>
          </w:tcPr>
          <w:p w14:paraId="33736B2B"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12</w:t>
            </w:r>
          </w:p>
        </w:tc>
        <w:tc>
          <w:tcPr>
            <w:tcW w:w="3402" w:type="dxa"/>
            <w:vAlign w:val="center"/>
            <w:hideMark/>
          </w:tcPr>
          <w:p w14:paraId="6DE30EE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Ho et al. – Person-Centred Care Transformation </w:t>
            </w:r>
            <w:r w:rsidRPr="005F594F">
              <w:rPr>
                <w:rFonts w:asciiTheme="majorBidi" w:hAnsiTheme="majorBidi" w:cstheme="majorBidi" w:ascii="Arial" w:hAnsi="Arial"/>
                <w:b/>
                <w:bCs/>
                <w:sz w:val="15"/>
              </w:rPr>
              <w:lastRenderedPageBreak/>
              <w:t>in a Nursing Home for Residents with Dementia</w:t>
            </w:r>
          </w:p>
        </w:tc>
        <w:tc>
          <w:tcPr>
            <w:tcW w:w="1191" w:type="dxa"/>
            <w:vAlign w:val="center"/>
            <w:hideMark/>
          </w:tcPr>
          <w:p w14:paraId="3ABEF22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Singapore</w:t>
            </w:r>
          </w:p>
        </w:tc>
        <w:tc>
          <w:tcPr>
            <w:tcW w:w="850" w:type="dxa"/>
            <w:vAlign w:val="center"/>
            <w:hideMark/>
          </w:tcPr>
          <w:p w14:paraId="4A5BC9E8"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2021</w:t>
            </w:r>
          </w:p>
        </w:tc>
        <w:tc>
          <w:tcPr>
            <w:tcW w:w="2381" w:type="dxa"/>
            <w:vAlign w:val="center"/>
            <w:hideMark/>
          </w:tcPr>
          <w:p w14:paraId="3E5DB50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Quantitative pre/post evaluation</w:t>
            </w:r>
          </w:p>
        </w:tc>
        <w:tc>
          <w:tcPr>
            <w:tcW w:w="2381" w:type="dxa"/>
            <w:vAlign w:val="center"/>
            <w:hideMark/>
          </w:tcPr>
          <w:p w14:paraId="2BF6AF0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Residents with dementia in a 30-bed facility</w:t>
            </w:r>
          </w:p>
        </w:tc>
        <w:tc>
          <w:tcPr>
            <w:tcW w:w="4535" w:type="dxa"/>
            <w:vAlign w:val="center"/>
            <w:hideMark/>
          </w:tcPr>
          <w:p w14:paraId="31A55F15" w14:textId="2F83258A"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Following PCC implementation, resident well-being improved significantly </w:t>
            </w:r>
            <w:r w:rsidRPr="005F594F">
              <w:rPr>
                <w:rFonts w:asciiTheme="majorBidi" w:hAnsiTheme="majorBidi" w:cstheme="majorBidi" w:ascii="Arial" w:hAnsi="Arial"/>
                <w:sz w:val="15"/>
              </w:rPr>
              <w:lastRenderedPageBreak/>
              <w:t xml:space="preserve">(Δ=0.44, p=0.029), as did positive engagement and occupational diversity; staff attrition decreased by 55%. </w:t>
            </w:r>
          </w:p>
        </w:tc>
      </w:tr>
      <w:tr w:rsidR="005F594F" w:rsidRPr="005F594F" w14:paraId="70E24296" w14:textId="77777777" w:rsidTr="005F594F">
        <w:trPr>
          <w:jc w:val="center"/>
          <w:cantSplit/>
        </w:trPr>
        <w:tc>
          <w:tcPr>
            <w:tcW w:w="567" w:type="dxa"/>
            <w:vAlign w:val="center"/>
            <w:hideMark/>
          </w:tcPr>
          <w:p w14:paraId="42F1053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13</w:t>
            </w:r>
          </w:p>
        </w:tc>
        <w:tc>
          <w:tcPr>
            <w:tcW w:w="3402" w:type="dxa"/>
            <w:vAlign w:val="center"/>
            <w:hideMark/>
          </w:tcPr>
          <w:p w14:paraId="33613358"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Boström et al. – Registered nurses’ experiences of communication with patients when practising person-centred care over the phone</w:t>
            </w:r>
          </w:p>
        </w:tc>
        <w:tc>
          <w:tcPr>
            <w:tcW w:w="1191" w:type="dxa"/>
            <w:vAlign w:val="center"/>
            <w:hideMark/>
          </w:tcPr>
          <w:p w14:paraId="32FB8B30"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Sweden</w:t>
            </w:r>
          </w:p>
        </w:tc>
        <w:tc>
          <w:tcPr>
            <w:tcW w:w="850" w:type="dxa"/>
            <w:vAlign w:val="center"/>
            <w:hideMark/>
          </w:tcPr>
          <w:p w14:paraId="77179091"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2020</w:t>
            </w:r>
          </w:p>
        </w:tc>
        <w:tc>
          <w:tcPr>
            <w:tcW w:w="2381" w:type="dxa"/>
            <w:vAlign w:val="center"/>
            <w:hideMark/>
          </w:tcPr>
          <w:p w14:paraId="5E120C9A"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Qualitative interview study</w:t>
            </w:r>
          </w:p>
        </w:tc>
        <w:tc>
          <w:tcPr>
            <w:tcW w:w="2381" w:type="dxa"/>
            <w:vAlign w:val="center"/>
            <w:hideMark/>
          </w:tcPr>
          <w:p w14:paraId="757A4895"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4 registered nurses</w:t>
            </w:r>
          </w:p>
        </w:tc>
        <w:tc>
          <w:tcPr>
            <w:tcW w:w="4535" w:type="dxa"/>
            <w:vAlign w:val="center"/>
            <w:hideMark/>
          </w:tcPr>
          <w:p w14:paraId="6F3F77C2" w14:textId="0529CBFC"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Nurses described PCC communication as complex but emphasized understanding the person, developing the professional role, and applying PCC theory and ethics. The findings support communication and relationship as mechanisms through which person-centredness is enacted. </w:t>
            </w:r>
          </w:p>
        </w:tc>
      </w:tr>
      <w:tr w:rsidR="005F594F" w:rsidRPr="005F594F" w14:paraId="21D601DB" w14:textId="77777777" w:rsidTr="005F594F">
        <w:trPr>
          <w:jc w:val="center"/>
          <w:cantSplit/>
        </w:trPr>
        <w:tc>
          <w:tcPr>
            <w:tcW w:w="567" w:type="dxa"/>
            <w:vAlign w:val="center"/>
            <w:hideMark/>
          </w:tcPr>
          <w:p w14:paraId="33217119"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14</w:t>
            </w:r>
          </w:p>
        </w:tc>
        <w:tc>
          <w:tcPr>
            <w:tcW w:w="3402" w:type="dxa"/>
            <w:vAlign w:val="center"/>
            <w:hideMark/>
          </w:tcPr>
          <w:p w14:paraId="24FCA89F"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Kloos et al. – Exploring facilitators and barriers to using a person </w:t>
            </w:r>
            <w:proofErr w:type="spellStart"/>
            <w:r w:rsidRPr="005F594F">
              <w:rPr>
                <w:rFonts w:asciiTheme="majorBidi" w:hAnsiTheme="majorBidi" w:cstheme="majorBidi" w:ascii="Arial" w:hAnsi="Arial"/>
                <w:b/>
                <w:bCs/>
                <w:sz w:val="15"/>
              </w:rPr>
              <w:t>centered</w:t>
            </w:r>
            <w:proofErr w:type="spellEnd"/>
            <w:r w:rsidRPr="005F594F">
              <w:rPr>
                <w:rFonts w:asciiTheme="majorBidi" w:hAnsiTheme="majorBidi" w:cstheme="majorBidi" w:ascii="Arial" w:hAnsi="Arial"/>
                <w:b/>
                <w:bCs/>
                <w:sz w:val="15"/>
              </w:rPr>
              <w:t xml:space="preserve"> care intervention in a nursing home setting</w:t>
            </w:r>
          </w:p>
        </w:tc>
        <w:tc>
          <w:tcPr>
            <w:tcW w:w="1191" w:type="dxa"/>
            <w:vAlign w:val="center"/>
            <w:hideMark/>
          </w:tcPr>
          <w:p w14:paraId="0BDD9BC1"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Netherlands</w:t>
            </w:r>
          </w:p>
        </w:tc>
        <w:tc>
          <w:tcPr>
            <w:tcW w:w="850" w:type="dxa"/>
            <w:vAlign w:val="center"/>
            <w:hideMark/>
          </w:tcPr>
          <w:p w14:paraId="4FACF33C"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2020</w:t>
            </w:r>
          </w:p>
        </w:tc>
        <w:tc>
          <w:tcPr>
            <w:tcW w:w="2381" w:type="dxa"/>
            <w:vAlign w:val="center"/>
            <w:hideMark/>
          </w:tcPr>
          <w:p w14:paraId="38FC2083"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Explorative mixed-method; interviews + longitudinal survey</w:t>
            </w:r>
          </w:p>
        </w:tc>
        <w:tc>
          <w:tcPr>
            <w:tcW w:w="2381" w:type="dxa"/>
            <w:vAlign w:val="center"/>
            <w:hideMark/>
          </w:tcPr>
          <w:p w14:paraId="3B7801A7"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Interviews n=11; survey n=132; implementation follow-up n=63</w:t>
            </w:r>
          </w:p>
        </w:tc>
        <w:tc>
          <w:tcPr>
            <w:tcW w:w="4535" w:type="dxa"/>
            <w:vAlign w:val="center"/>
            <w:hideMark/>
          </w:tcPr>
          <w:p w14:paraId="05E44920" w14:textId="493158D5"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 xml:space="preserve">PCC intervention included assessment of resident well-being, planning well-being support and behavioural changes in care. Assessment required contextual stability; planning was limited by knowledge; behavioural change required </w:t>
            </w:r>
            <w:r w:rsidRPr="005F594F">
              <w:rPr>
                <w:rFonts w:asciiTheme="majorBidi" w:hAnsiTheme="majorBidi" w:cstheme="majorBidi" w:ascii="Arial" w:hAnsi="Arial"/>
                <w:sz w:val="15"/>
              </w:rPr>
              <w:lastRenderedPageBreak/>
              <w:t>integration into daily care and social support.</w:t>
            </w:r>
          </w:p>
        </w:tc>
      </w:tr>
      <w:tr w:rsidR="005F594F" w:rsidRPr="005F594F" w14:paraId="01405AD8" w14:textId="77777777" w:rsidTr="005F594F">
        <w:trPr>
          <w:jc w:val="center"/>
          <w:cantSplit/>
        </w:trPr>
        <w:tc>
          <w:tcPr>
            <w:tcW w:w="567" w:type="dxa"/>
            <w:vAlign w:val="center"/>
            <w:hideMark/>
          </w:tcPr>
          <w:p w14:paraId="2A11EF00"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15</w:t>
            </w:r>
          </w:p>
        </w:tc>
        <w:tc>
          <w:tcPr>
            <w:tcW w:w="3402" w:type="dxa"/>
            <w:vAlign w:val="center"/>
            <w:hideMark/>
          </w:tcPr>
          <w:p w14:paraId="0D0A8E92"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Haugan et al. – Nurse-patient interaction and self-transcendence: assets for a meaningful life in nursing home residents?</w:t>
            </w:r>
          </w:p>
        </w:tc>
        <w:tc>
          <w:tcPr>
            <w:tcW w:w="1191" w:type="dxa"/>
            <w:vAlign w:val="center"/>
            <w:hideMark/>
          </w:tcPr>
          <w:p w14:paraId="690C3A06" w14:textId="77777777" w:rsidR="005F594F" w:rsidRPr="005F594F" w:rsidRDefault="005F594F" w:rsidP="005F594F">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Norway</w:t>
            </w:r>
          </w:p>
        </w:tc>
        <w:tc>
          <w:tcPr>
            <w:tcW w:w="850" w:type="dxa"/>
            <w:vAlign w:val="center"/>
            <w:hideMark/>
          </w:tcPr>
          <w:p>
            <w:pPr>
              <w:spacing w:after="0" w:line="240" w:lineRule="auto"/>
            </w:pPr>
            <w:r>
              <w:rPr>
                <w:rFonts w:ascii="Arial" w:hAnsi="Arial"/>
                <w:sz w:val="15"/>
              </w:rPr>
              <w:t>2020</w:t>
            </w:r>
          </w:p>
        </w:tc>
        <w:tc>
          <w:tcPr>
            <w:tcW w:w="2381" w:type="dxa"/>
            <w:vAlign w:val="center"/>
            <w:hideMark/>
          </w:tcPr>
          <w:p>
            <w:pPr>
              <w:spacing w:after="0" w:line="240" w:lineRule="auto"/>
            </w:pPr>
            <w:r>
              <w:rPr>
                <w:rFonts w:ascii="Arial" w:hAnsi="Arial"/>
                <w:sz w:val="15"/>
              </w:rPr>
              <w:t>Quantitative</w:t>
            </w:r>
          </w:p>
        </w:tc>
        <w:tc>
          <w:tcPr>
            <w:tcW w:w="2381" w:type="dxa"/>
            <w:vAlign w:val="center"/>
            <w:hideMark/>
          </w:tcPr>
          <w:p>
            <w:pPr>
              <w:spacing w:after="0" w:line="240" w:lineRule="auto"/>
            </w:pPr>
            <w:r>
              <w:rPr>
                <w:rFonts w:ascii="Arial" w:hAnsi="Arial"/>
                <w:sz w:val="15"/>
              </w:rPr>
              <w:t>Nursing-home residents</w:t>
            </w:r>
          </w:p>
        </w:tc>
        <w:tc>
          <w:tcPr>
            <w:tcW w:w="4535" w:type="dxa"/>
            <w:vAlign w:val="center"/>
            <w:hideMark/>
          </w:tcPr>
          <w:p>
            <w:pPr>
              <w:spacing w:after="0" w:line="240" w:lineRule="auto"/>
            </w:pPr>
            <w:r>
              <w:rPr>
                <w:rFonts w:ascii="Arial" w:hAnsi="Arial"/>
                <w:sz w:val="15"/>
              </w:rPr>
              <w:t xml:space="preserve">Nurse–patient interaction and self-transcendence were examined in relation to meaning in life and well-being. The study supports the relational dimension of well-being and the importance of meaningful nurse–patient interaction. </w:t>
            </w:r>
          </w:p>
        </w:tc>
      </w:tr>
      <w:tr w:rsidR="009C4E11" w:rsidRPr="005F594F" w14:paraId="2DBB05FF" w14:textId="77777777" w:rsidTr="005F594F">
        <w:trPr>
          <w:jc w:val="center"/>
          <w:cantSplit/>
        </w:trPr>
        <w:tc>
          <w:tcPr>
            <w:tcW w:w="567" w:type="dxa"/>
            <w:vAlign w:val="center"/>
            <w:hideMark/>
          </w:tcPr>
          <w:p w14:paraId="1CE9CF1C"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16</w:t>
            </w:r>
          </w:p>
        </w:tc>
        <w:tc>
          <w:tcPr>
            <w:tcW w:w="3402" w:type="dxa"/>
            <w:vAlign w:val="center"/>
            <w:hideMark/>
          </w:tcPr>
          <w:p>
            <w:pPr>
              <w:spacing w:after="0" w:line="240" w:lineRule="auto"/>
            </w:pPr>
            <w:r>
              <w:rPr>
                <w:rFonts w:ascii="Arial" w:hAnsi="Arial"/>
                <w:sz w:val="15"/>
              </w:rPr>
              <w:t>Sion et al. – How to assess experienced quality of care in nursing homes from the client's perspective: results of a qualitative study</w:t>
            </w:r>
          </w:p>
        </w:tc>
        <w:tc>
          <w:tcPr>
            <w:tcW w:w="1191" w:type="dxa"/>
            <w:vAlign w:val="center"/>
            <w:hideMark/>
          </w:tcPr>
          <w:p w14:paraId="3992BD18"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Netherlands</w:t>
            </w:r>
          </w:p>
        </w:tc>
        <w:tc>
          <w:tcPr>
            <w:tcW w:w="850" w:type="dxa"/>
            <w:vAlign w:val="center"/>
            <w:hideMark/>
          </w:tcPr>
          <w:p>
            <w:pPr>
              <w:spacing w:after="0" w:line="240" w:lineRule="auto"/>
            </w:pPr>
            <w:r>
              <w:rPr>
                <w:rFonts w:ascii="Arial" w:hAnsi="Arial"/>
                <w:sz w:val="15"/>
              </w:rPr>
              <w:t>2020</w:t>
            </w:r>
          </w:p>
        </w:tc>
        <w:tc>
          <w:tcPr>
            <w:tcW w:w="2381" w:type="dxa"/>
            <w:vAlign w:val="center"/>
            <w:hideMark/>
          </w:tcPr>
          <w:p>
            <w:pPr>
              <w:spacing w:after="0" w:line="240" w:lineRule="auto"/>
            </w:pPr>
            <w:r>
              <w:rPr>
                <w:rFonts w:ascii="Arial" w:hAnsi="Arial"/>
                <w:sz w:val="15"/>
              </w:rPr>
              <w:t>Qualitative study; narrative interviews and thematic analysis</w:t>
            </w:r>
          </w:p>
        </w:tc>
        <w:tc>
          <w:tcPr>
            <w:tcW w:w="2381" w:type="dxa"/>
            <w:vAlign w:val="center"/>
            <w:hideMark/>
          </w:tcPr>
          <w:p>
            <w:pPr>
              <w:spacing w:after="0" w:line="240" w:lineRule="auto"/>
            </w:pPr>
            <w:r>
              <w:rPr>
                <w:rFonts w:ascii="Arial" w:hAnsi="Arial"/>
                <w:sz w:val="15"/>
              </w:rPr>
              <w:t>Nursing-home residents and other stakeholders involved in developing a resident-perspective assessment approach</w:t>
            </w:r>
          </w:p>
        </w:tc>
        <w:tc>
          <w:tcPr>
            <w:tcW w:w="4535" w:type="dxa"/>
            <w:vAlign w:val="center"/>
            <w:hideMark/>
          </w:tcPr>
          <w:p>
            <w:pPr>
              <w:spacing w:after="0" w:line="240" w:lineRule="auto"/>
            </w:pPr>
            <w:r>
              <w:rPr>
                <w:rFonts w:ascii="Arial" w:hAnsi="Arial"/>
                <w:sz w:val="15"/>
              </w:rPr>
              <w:t>The study identified themes and narrative approaches for capturing experienced quality of care from the resident's perspective, reinforcing the importance of lived experience in evaluating person-centred care.</w:t>
            </w:r>
          </w:p>
        </w:tc>
      </w:tr>
      <w:tr w:rsidR="009C4E11" w:rsidRPr="005F594F" w14:paraId="6AC1021D" w14:textId="77777777" w:rsidTr="005F594F">
        <w:trPr>
          <w:jc w:val="center"/>
          <w:cantSplit/>
        </w:trPr>
        <w:tc>
          <w:tcPr>
            <w:tcW w:w="567" w:type="dxa"/>
            <w:vAlign w:val="center"/>
            <w:hideMark/>
          </w:tcPr>
          <w:p w14:paraId="7AE1D9AE"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17</w:t>
            </w:r>
          </w:p>
        </w:tc>
        <w:tc>
          <w:tcPr>
            <w:tcW w:w="3402" w:type="dxa"/>
            <w:vAlign w:val="center"/>
            <w:hideMark/>
          </w:tcPr>
          <w:p w14:paraId="4568E471"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Swall et al. – Like a bridge over troubled water: a qualitative study of professional caregiver singing and music as a way to enable person-centred care for persons with dementia</w:t>
            </w:r>
          </w:p>
        </w:tc>
        <w:tc>
          <w:tcPr>
            <w:tcW w:w="1191" w:type="dxa"/>
            <w:vAlign w:val="center"/>
            <w:hideMark/>
          </w:tcPr>
          <w:p w14:paraId="6410A32F"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Sweden</w:t>
            </w:r>
          </w:p>
        </w:tc>
        <w:tc>
          <w:tcPr>
            <w:tcW w:w="850" w:type="dxa"/>
            <w:vAlign w:val="center"/>
            <w:hideMark/>
          </w:tcPr>
          <w:p>
            <w:pPr>
              <w:spacing w:after="0" w:line="240" w:lineRule="auto"/>
            </w:pPr>
            <w:r>
              <w:rPr>
                <w:rFonts w:ascii="Arial" w:hAnsi="Arial"/>
                <w:sz w:val="15"/>
              </w:rPr>
              <w:t>2020</w:t>
            </w:r>
          </w:p>
        </w:tc>
        <w:tc>
          <w:tcPr>
            <w:tcW w:w="2381" w:type="dxa"/>
            <w:vAlign w:val="center"/>
            <w:hideMark/>
          </w:tcPr>
          <w:p>
            <w:pPr>
              <w:spacing w:after="0" w:line="240" w:lineRule="auto"/>
            </w:pPr>
            <w:r>
              <w:rPr>
                <w:rFonts w:ascii="Arial" w:hAnsi="Arial"/>
                <w:sz w:val="15"/>
              </w:rPr>
              <w:t>Qualitative; group discussions</w:t>
            </w:r>
          </w:p>
        </w:tc>
        <w:tc>
          <w:tcPr>
            <w:tcW w:w="2381" w:type="dxa"/>
            <w:vAlign w:val="center"/>
            <w:hideMark/>
          </w:tcPr>
          <w:p>
            <w:pPr>
              <w:spacing w:after="0" w:line="240" w:lineRule="auto"/>
            </w:pPr>
            <w:r>
              <w:rPr>
                <w:rFonts w:ascii="Arial" w:hAnsi="Arial"/>
                <w:sz w:val="15"/>
              </w:rPr>
              <w:t>Professional caregivers in 3 nursing homes</w:t>
            </w:r>
          </w:p>
        </w:tc>
        <w:tc>
          <w:tcPr>
            <w:tcW w:w="4535" w:type="dxa"/>
            <w:vAlign w:val="center"/>
            <w:hideMark/>
          </w:tcPr>
          <w:p>
            <w:pPr>
              <w:spacing w:after="0" w:line="240" w:lineRule="auto"/>
            </w:pPr>
            <w:r>
              <w:rPr>
                <w:rFonts w:ascii="Arial" w:hAnsi="Arial"/>
                <w:sz w:val="15"/>
              </w:rPr>
              <w:t xml:space="preserve">Caregiver singing and music facilitated communication, socialization, connection and interaction with persons with dementia. The overarching category was that singing and music could build bridges toward person-centredness. </w:t>
            </w:r>
          </w:p>
        </w:tc>
      </w:tr>
      <w:tr w:rsidR="009C4E11" w:rsidRPr="005F594F" w14:paraId="6639108A" w14:textId="77777777" w:rsidTr="005F594F">
        <w:trPr>
          <w:jc w:val="center"/>
          <w:cantSplit/>
        </w:trPr>
        <w:tc>
          <w:tcPr>
            <w:tcW w:w="567" w:type="dxa"/>
            <w:vAlign w:val="center"/>
            <w:hideMark/>
          </w:tcPr>
          <w:p w14:paraId="097AF7B1"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18</w:t>
            </w:r>
          </w:p>
        </w:tc>
        <w:tc>
          <w:tcPr>
            <w:tcW w:w="3402" w:type="dxa"/>
            <w:vAlign w:val="center"/>
            <w:hideMark/>
          </w:tcPr>
          <w:p w14:paraId="4D7CFD05"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Kloos et al. – How well do nursing staff assess the wellbeing of nursing home residents?</w:t>
            </w:r>
          </w:p>
        </w:tc>
        <w:tc>
          <w:tcPr>
            <w:tcW w:w="1191" w:type="dxa"/>
            <w:vAlign w:val="center"/>
            <w:hideMark/>
          </w:tcPr>
          <w:p w14:paraId="4F0379BD"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Netherlands</w:t>
            </w:r>
          </w:p>
        </w:tc>
        <w:tc>
          <w:tcPr>
            <w:tcW w:w="850" w:type="dxa"/>
            <w:vAlign w:val="center"/>
            <w:hideMark/>
          </w:tcPr>
          <w:p>
            <w:pPr>
              <w:spacing w:after="0" w:line="240" w:lineRule="auto"/>
            </w:pPr>
            <w:r>
              <w:rPr>
                <w:rFonts w:ascii="Arial" w:hAnsi="Arial"/>
                <w:sz w:val="15"/>
              </w:rPr>
              <w:t>2022</w:t>
            </w:r>
          </w:p>
        </w:tc>
        <w:tc>
          <w:tcPr>
            <w:tcW w:w="2381" w:type="dxa"/>
            <w:vAlign w:val="center"/>
            <w:hideMark/>
          </w:tcPr>
          <w:p>
            <w:pPr>
              <w:spacing w:after="0" w:line="240" w:lineRule="auto"/>
            </w:pPr>
            <w:r>
              <w:rPr>
                <w:rFonts w:ascii="Arial" w:hAnsi="Arial"/>
                <w:sz w:val="15"/>
              </w:rPr>
              <w:t>Explorative quantitative/observational</w:t>
            </w:r>
          </w:p>
        </w:tc>
        <w:tc>
          <w:tcPr>
            <w:tcW w:w="2381" w:type="dxa"/>
            <w:vAlign w:val="center"/>
            <w:hideMark/>
          </w:tcPr>
          <w:p>
            <w:pPr>
              <w:spacing w:after="0" w:line="240" w:lineRule="auto"/>
            </w:pPr>
            <w:r>
              <w:rPr>
                <w:rFonts w:ascii="Arial" w:hAnsi="Arial"/>
                <w:sz w:val="15"/>
              </w:rPr>
              <w:t>Nursing-home staff and residents</w:t>
            </w:r>
          </w:p>
        </w:tc>
        <w:tc>
          <w:tcPr>
            <w:tcW w:w="4535" w:type="dxa"/>
            <w:vAlign w:val="center"/>
            <w:hideMark/>
          </w:tcPr>
          <w:p>
            <w:pPr>
              <w:spacing w:after="0" w:line="240" w:lineRule="auto"/>
            </w:pPr>
            <w:r>
              <w:rPr>
                <w:rFonts w:ascii="Arial" w:hAnsi="Arial"/>
                <w:sz w:val="15"/>
              </w:rPr>
              <w:t xml:space="preserve">Examined the accuracy of nursing staff proxy assessment of resident well-being using single-question assessments. The study is particularly relevant to the operationalization and assessment of well-being in nursing practice. </w:t>
            </w:r>
          </w:p>
        </w:tc>
      </w:tr>
      <w:tr w:rsidR="009C4E11" w:rsidRPr="005F594F" w14:paraId="18238344" w14:textId="77777777" w:rsidTr="005F594F">
        <w:trPr>
          <w:jc w:val="center"/>
          <w:cantSplit/>
        </w:trPr>
        <w:tc>
          <w:tcPr>
            <w:tcW w:w="567" w:type="dxa"/>
            <w:vAlign w:val="center"/>
            <w:hideMark/>
          </w:tcPr>
          <w:p w14:paraId="363C622A"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19</w:t>
            </w:r>
          </w:p>
        </w:tc>
        <w:tc>
          <w:tcPr>
            <w:tcW w:w="3402" w:type="dxa"/>
            <w:vAlign w:val="center"/>
            <w:hideMark/>
          </w:tcPr>
          <w:p w14:paraId="458EAB8A"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Kolanowski et al. – Living Well </w:t>
            </w:r>
            <w:proofErr w:type="gramStart"/>
            <w:r w:rsidRPr="005F594F">
              <w:rPr>
                <w:rFonts w:asciiTheme="majorBidi" w:hAnsiTheme="majorBidi" w:cstheme="majorBidi" w:ascii="Arial" w:hAnsi="Arial"/>
                <w:b/>
                <w:bCs/>
                <w:sz w:val="15"/>
              </w:rPr>
              <w:t>With</w:t>
            </w:r>
            <w:proofErr w:type="gramEnd"/>
            <w:r w:rsidRPr="005F594F">
              <w:rPr>
                <w:rFonts w:asciiTheme="majorBidi" w:hAnsiTheme="majorBidi" w:cstheme="majorBidi" w:ascii="Arial" w:hAnsi="Arial"/>
                <w:b/>
                <w:bCs/>
                <w:sz w:val="15"/>
              </w:rPr>
              <w:t xml:space="preserve"> Dementia: Factors Associated </w:t>
            </w:r>
            <w:proofErr w:type="gramStart"/>
            <w:r w:rsidRPr="005F594F">
              <w:rPr>
                <w:rFonts w:asciiTheme="majorBidi" w:hAnsiTheme="majorBidi" w:cstheme="majorBidi" w:ascii="Arial" w:hAnsi="Arial"/>
                <w:b/>
                <w:bCs/>
                <w:sz w:val="15"/>
              </w:rPr>
              <w:t>With</w:t>
            </w:r>
            <w:proofErr w:type="gramEnd"/>
            <w:r w:rsidRPr="005F594F">
              <w:rPr>
                <w:rFonts w:asciiTheme="majorBidi" w:hAnsiTheme="majorBidi" w:cstheme="majorBidi" w:ascii="Arial" w:hAnsi="Arial"/>
                <w:b/>
                <w:bCs/>
                <w:sz w:val="15"/>
              </w:rPr>
              <w:t xml:space="preserve"> Nursing Home Residents’ Affect Balance</w:t>
            </w:r>
          </w:p>
        </w:tc>
        <w:tc>
          <w:tcPr>
            <w:tcW w:w="1191" w:type="dxa"/>
            <w:vAlign w:val="center"/>
            <w:hideMark/>
          </w:tcPr>
          <w:p w14:paraId="0D57B583"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USA</w:t>
            </w:r>
          </w:p>
        </w:tc>
        <w:tc>
          <w:tcPr>
            <w:tcW w:w="850" w:type="dxa"/>
            <w:vAlign w:val="center"/>
            <w:hideMark/>
          </w:tcPr>
          <w:p>
            <w:pPr>
              <w:spacing w:after="0" w:line="240" w:lineRule="auto"/>
            </w:pPr>
            <w:r>
              <w:rPr>
                <w:rFonts w:ascii="Arial" w:hAnsi="Arial"/>
                <w:sz w:val="15"/>
              </w:rPr>
              <w:t>2020</w:t>
            </w:r>
          </w:p>
        </w:tc>
        <w:tc>
          <w:tcPr>
            <w:tcW w:w="2381" w:type="dxa"/>
            <w:vAlign w:val="center"/>
            <w:hideMark/>
          </w:tcPr>
          <w:p>
            <w:pPr>
              <w:spacing w:after="0" w:line="240" w:lineRule="auto"/>
            </w:pPr>
            <w:r>
              <w:rPr>
                <w:rFonts w:ascii="Arial" w:hAnsi="Arial"/>
                <w:sz w:val="15"/>
              </w:rPr>
              <w:t>Quantitative; secondary analysis</w:t>
            </w:r>
          </w:p>
        </w:tc>
        <w:tc>
          <w:tcPr>
            <w:tcW w:w="2381" w:type="dxa"/>
            <w:vAlign w:val="center"/>
            <w:hideMark/>
          </w:tcPr>
          <w:p>
            <w:pPr>
              <w:spacing w:after="0" w:line="240" w:lineRule="auto"/>
            </w:pPr>
            <w:r>
              <w:rPr>
                <w:rFonts w:ascii="Arial" w:hAnsi="Arial"/>
                <w:sz w:val="15"/>
              </w:rPr>
              <w:t>325 nursing-home residents with dementia</w:t>
            </w:r>
          </w:p>
        </w:tc>
        <w:tc>
          <w:tcPr>
            <w:tcW w:w="4535" w:type="dxa"/>
            <w:vAlign w:val="center"/>
            <w:hideMark/>
          </w:tcPr>
          <w:p>
            <w:pPr>
              <w:spacing w:after="0" w:line="240" w:lineRule="auto"/>
            </w:pPr>
            <w:r>
              <w:rPr>
                <w:rFonts w:ascii="Arial" w:hAnsi="Arial"/>
                <w:sz w:val="15"/>
              </w:rPr>
              <w:t xml:space="preserve">Well-being was operationalized as affect balance. Positive staff interaction and higher resident function were significantly associated with higher affect balance, supporting interpersonal interaction and functional capability as determinants of well-being. </w:t>
            </w:r>
          </w:p>
        </w:tc>
      </w:tr>
      <w:tr w:rsidR="009C4E11" w:rsidRPr="005F594F" w14:paraId="4C22AA44" w14:textId="77777777" w:rsidTr="005F594F">
        <w:trPr>
          <w:jc w:val="center"/>
          <w:cantSplit/>
        </w:trPr>
        <w:tc>
          <w:tcPr>
            <w:tcW w:w="567" w:type="dxa"/>
            <w:vAlign w:val="center"/>
            <w:hideMark/>
          </w:tcPr>
          <w:p w14:paraId="256F94BC"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20</w:t>
            </w:r>
          </w:p>
        </w:tc>
        <w:tc>
          <w:tcPr>
            <w:tcW w:w="3402" w:type="dxa"/>
            <w:vAlign w:val="center"/>
            <w:hideMark/>
          </w:tcPr>
          <w:p w14:paraId="44A9B049"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Kloos et al. – Longitudinal Associations of Autonomy, Relatedness, and Competence </w:t>
            </w:r>
            <w:proofErr w:type="gramStart"/>
            <w:r w:rsidRPr="005F594F">
              <w:rPr>
                <w:rFonts w:asciiTheme="majorBidi" w:hAnsiTheme="majorBidi" w:cstheme="majorBidi" w:ascii="Arial" w:hAnsi="Arial"/>
                <w:b/>
                <w:bCs/>
                <w:sz w:val="15"/>
              </w:rPr>
              <w:t>With</w:t>
            </w:r>
            <w:proofErr w:type="gramEnd"/>
            <w:r w:rsidRPr="005F594F">
              <w:rPr>
                <w:rFonts w:asciiTheme="majorBidi" w:hAnsiTheme="majorBidi" w:cstheme="majorBidi" w:ascii="Arial" w:hAnsi="Arial"/>
                <w:b/>
                <w:bCs/>
                <w:sz w:val="15"/>
              </w:rPr>
              <w:t xml:space="preserve"> the Well-being of Nursing Home Residents</w:t>
            </w:r>
          </w:p>
        </w:tc>
        <w:tc>
          <w:tcPr>
            <w:tcW w:w="1191" w:type="dxa"/>
            <w:vAlign w:val="center"/>
            <w:hideMark/>
          </w:tcPr>
          <w:p w14:paraId="3CDCBF01"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Netherlands</w:t>
            </w:r>
          </w:p>
        </w:tc>
        <w:tc>
          <w:tcPr>
            <w:tcW w:w="850" w:type="dxa"/>
            <w:vAlign w:val="center"/>
            <w:hideMark/>
          </w:tcPr>
          <w:p>
            <w:pPr>
              <w:spacing w:after="0" w:line="240" w:lineRule="auto"/>
            </w:pPr>
            <w:r>
              <w:rPr>
                <w:rFonts w:ascii="Arial" w:hAnsi="Arial"/>
                <w:sz w:val="15"/>
              </w:rPr>
              <w:t>2019</w:t>
            </w:r>
          </w:p>
        </w:tc>
        <w:tc>
          <w:tcPr>
            <w:tcW w:w="2381" w:type="dxa"/>
            <w:vAlign w:val="center"/>
            <w:hideMark/>
          </w:tcPr>
          <w:p>
            <w:pPr>
              <w:spacing w:after="0" w:line="240" w:lineRule="auto"/>
            </w:pPr>
            <w:r>
              <w:rPr>
                <w:rFonts w:ascii="Arial" w:hAnsi="Arial"/>
                <w:sz w:val="15"/>
              </w:rPr>
              <w:t>Longitudinal quantitative</w:t>
            </w:r>
          </w:p>
        </w:tc>
        <w:tc>
          <w:tcPr>
            <w:tcW w:w="2381" w:type="dxa"/>
            <w:vAlign w:val="center"/>
            <w:hideMark/>
          </w:tcPr>
          <w:p>
            <w:pPr>
              <w:spacing w:after="0" w:line="240" w:lineRule="auto"/>
            </w:pPr>
            <w:r>
              <w:rPr>
                <w:rFonts w:ascii="Arial" w:hAnsi="Arial"/>
                <w:sz w:val="15"/>
              </w:rPr>
              <w:t>Nursing-home residents</w:t>
            </w:r>
          </w:p>
        </w:tc>
        <w:tc>
          <w:tcPr>
            <w:tcW w:w="4535" w:type="dxa"/>
            <w:vAlign w:val="center"/>
            <w:hideMark/>
          </w:tcPr>
          <w:p>
            <w:pPr>
              <w:spacing w:after="0" w:line="240" w:lineRule="auto"/>
            </w:pPr>
            <w:r>
              <w:rPr>
                <w:rFonts w:ascii="Arial" w:hAnsi="Arial"/>
                <w:sz w:val="15"/>
              </w:rPr>
              <w:t xml:space="preserve">Examined autonomy, relatedness and competence as longitudinal correlates of resident well-being. This study is particularly important for defining well-being beyond symptom reduction and incorporating autonomy and relational needs. </w:t>
            </w:r>
          </w:p>
        </w:tc>
      </w:tr>
      <w:tr w:rsidR="009C4E11" w:rsidRPr="005F594F" w14:paraId="14BD2E1F" w14:textId="77777777" w:rsidTr="005F594F">
        <w:trPr>
          <w:jc w:val="center"/>
          <w:cantSplit/>
        </w:trPr>
        <w:tc>
          <w:tcPr>
            <w:tcW w:w="567" w:type="dxa"/>
            <w:vAlign w:val="center"/>
            <w:hideMark/>
          </w:tcPr>
          <w:p w14:paraId="68EAD502"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21</w:t>
            </w:r>
          </w:p>
        </w:tc>
        <w:tc>
          <w:tcPr>
            <w:tcW w:w="3402" w:type="dxa"/>
            <w:vAlign w:val="center"/>
            <w:hideMark/>
          </w:tcPr>
          <w:p w14:paraId="13FA938F" w14:textId="77777777" w:rsidR="009C4E11" w:rsidRPr="005F594F" w:rsidRDefault="009C4E11" w:rsidP="009C4E11">
            <w:pPr>
              <w:spacing w:after="0" w:line="240" w:lineRule="auto"/>
              <w:jc w:val="center"/>
              <w:rPr>
                <w:rFonts w:asciiTheme="majorBidi" w:hAnsiTheme="majorBidi" w:cstheme="majorBidi"/>
              </w:rPr>
            </w:pPr>
            <w:proofErr w:type="spellStart"/>
            <w:r w:rsidRPr="005F594F">
              <w:rPr>
                <w:rFonts w:asciiTheme="majorBidi" w:hAnsiTheme="majorBidi" w:cstheme="majorBidi" w:ascii="Arial" w:hAnsi="Arial"/>
                <w:b/>
                <w:bCs/>
                <w:sz w:val="15"/>
              </w:rPr>
              <w:t>Vassbø</w:t>
            </w:r>
            <w:proofErr w:type="spellEnd"/>
            <w:r w:rsidRPr="005F594F">
              <w:rPr>
                <w:rFonts w:asciiTheme="majorBidi" w:hAnsiTheme="majorBidi" w:cstheme="majorBidi" w:ascii="Arial" w:hAnsi="Arial"/>
                <w:b/>
                <w:bCs/>
                <w:sz w:val="15"/>
              </w:rPr>
              <w:t xml:space="preserve"> et al. – The meaning of working in a person-centred way in nursing homes: a phenomenological-hermeneutical study</w:t>
            </w:r>
          </w:p>
        </w:tc>
        <w:tc>
          <w:tcPr>
            <w:tcW w:w="1191" w:type="dxa"/>
            <w:vAlign w:val="center"/>
            <w:hideMark/>
          </w:tcPr>
          <w:p w14:paraId="0EFB82A9"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Australia, Norway, Sweden</w:t>
            </w:r>
          </w:p>
        </w:tc>
        <w:tc>
          <w:tcPr>
            <w:tcW w:w="850" w:type="dxa"/>
            <w:vAlign w:val="center"/>
            <w:hideMark/>
          </w:tcPr>
          <w:p>
            <w:pPr>
              <w:spacing w:after="0" w:line="240" w:lineRule="auto"/>
            </w:pPr>
            <w:r>
              <w:rPr>
                <w:rFonts w:ascii="Arial" w:hAnsi="Arial"/>
                <w:sz w:val="15"/>
              </w:rPr>
              <w:t>2019</w:t>
            </w:r>
          </w:p>
        </w:tc>
        <w:tc>
          <w:tcPr>
            <w:tcW w:w="2381" w:type="dxa"/>
            <w:vAlign w:val="center"/>
            <w:hideMark/>
          </w:tcPr>
          <w:p>
            <w:pPr>
              <w:spacing w:after="0" w:line="240" w:lineRule="auto"/>
            </w:pPr>
            <w:r>
              <w:rPr>
                <w:rFonts w:ascii="Arial" w:hAnsi="Arial"/>
                <w:sz w:val="15"/>
              </w:rPr>
              <w:t>Qualitative; phenomenological-hermeneutical; individual interviews</w:t>
            </w:r>
          </w:p>
        </w:tc>
        <w:tc>
          <w:tcPr>
            <w:tcW w:w="2381" w:type="dxa"/>
            <w:vAlign w:val="center"/>
            <w:hideMark/>
          </w:tcPr>
          <w:p>
            <w:pPr>
              <w:spacing w:after="0" w:line="240" w:lineRule="auto"/>
            </w:pPr>
            <w:r>
              <w:rPr>
                <w:rFonts w:ascii="Arial" w:hAnsi="Arial"/>
                <w:sz w:val="15"/>
              </w:rPr>
              <w:t>29 health-care personnel in 3 nursing homes</w:t>
            </w:r>
          </w:p>
        </w:tc>
        <w:tc>
          <w:tcPr>
            <w:tcW w:w="4535" w:type="dxa"/>
            <w:vAlign w:val="center"/>
            <w:hideMark/>
          </w:tcPr>
          <w:p>
            <w:pPr>
              <w:spacing w:after="0" w:line="240" w:lineRule="auto"/>
            </w:pPr>
            <w:r>
              <w:rPr>
                <w:rFonts w:ascii="Arial" w:hAnsi="Arial"/>
                <w:sz w:val="15"/>
              </w:rPr>
              <w:t xml:space="preserve">Person-centred work meant meeting individual needs and expressed preferences, understanding residents' rhythms, developing close relationships, doing “the little extra,” and pursuing shared goals. The study interpreted person-centred work as supporting thriving. </w:t>
            </w:r>
          </w:p>
        </w:tc>
      </w:tr>
      <w:tr w:rsidR="009C4E11" w:rsidRPr="005F594F" w14:paraId="5BC4C298" w14:textId="77777777" w:rsidTr="005F594F">
        <w:trPr>
          <w:jc w:val="center"/>
          <w:cantSplit/>
        </w:trPr>
        <w:tc>
          <w:tcPr>
            <w:tcW w:w="567" w:type="dxa"/>
            <w:vAlign w:val="center"/>
            <w:hideMark/>
          </w:tcPr>
          <w:p w14:paraId="389F1EFF"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22</w:t>
            </w:r>
          </w:p>
        </w:tc>
        <w:tc>
          <w:tcPr>
            <w:tcW w:w="3402" w:type="dxa"/>
            <w:vAlign w:val="center"/>
            <w:hideMark/>
          </w:tcPr>
          <w:p w14:paraId="4B74FE45"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Yang et al. – Resident and staff perspectives of </w:t>
            </w:r>
            <w:r w:rsidRPr="005F594F">
              <w:rPr>
                <w:rFonts w:asciiTheme="majorBidi" w:hAnsiTheme="majorBidi" w:cstheme="majorBidi" w:ascii="Arial" w:hAnsi="Arial"/>
                <w:b/>
                <w:bCs/>
                <w:sz w:val="15"/>
              </w:rPr>
              <w:lastRenderedPageBreak/>
              <w:t>person-</w:t>
            </w:r>
            <w:proofErr w:type="spellStart"/>
            <w:r w:rsidRPr="005F594F">
              <w:rPr>
                <w:rFonts w:asciiTheme="majorBidi" w:hAnsiTheme="majorBidi" w:cstheme="majorBidi" w:ascii="Arial" w:hAnsi="Arial"/>
                <w:b/>
                <w:bCs/>
                <w:sz w:val="15"/>
              </w:rPr>
              <w:t>centered</w:t>
            </w:r>
            <w:proofErr w:type="spellEnd"/>
            <w:r w:rsidRPr="005F594F">
              <w:rPr>
                <w:rFonts w:asciiTheme="majorBidi" w:hAnsiTheme="majorBidi" w:cstheme="majorBidi" w:ascii="Arial" w:hAnsi="Arial"/>
                <w:b/>
                <w:bCs/>
                <w:sz w:val="15"/>
              </w:rPr>
              <w:t xml:space="preserve"> climate in nursing homes: a cross-sectional study</w:t>
            </w:r>
          </w:p>
        </w:tc>
        <w:tc>
          <w:tcPr>
            <w:tcW w:w="1191" w:type="dxa"/>
            <w:vAlign w:val="center"/>
            <w:hideMark/>
          </w:tcPr>
          <w:p w14:paraId="624B6A8A"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lastRenderedPageBreak/>
              <w:t>China</w:t>
            </w:r>
          </w:p>
        </w:tc>
        <w:tc>
          <w:tcPr>
            <w:tcW w:w="850" w:type="dxa"/>
            <w:vAlign w:val="center"/>
            <w:hideMark/>
          </w:tcPr>
          <w:p>
            <w:pPr>
              <w:spacing w:after="0" w:line="240" w:lineRule="auto"/>
            </w:pPr>
            <w:r>
              <w:rPr>
                <w:rFonts w:ascii="Arial" w:hAnsi="Arial"/>
                <w:sz w:val="15"/>
              </w:rPr>
              <w:t>2019</w:t>
            </w:r>
          </w:p>
        </w:tc>
        <w:tc>
          <w:tcPr>
            <w:tcW w:w="2381" w:type="dxa"/>
            <w:vAlign w:val="center"/>
            <w:hideMark/>
          </w:tcPr>
          <w:p>
            <w:pPr>
              <w:spacing w:after="0" w:line="240" w:lineRule="auto"/>
            </w:pPr>
            <w:r>
              <w:rPr>
                <w:rFonts w:ascii="Arial" w:hAnsi="Arial"/>
                <w:sz w:val="15"/>
              </w:rPr>
              <w:t>Quantitative; cross-sectional; cluster random sampling</w:t>
            </w:r>
          </w:p>
        </w:tc>
        <w:tc>
          <w:tcPr>
            <w:tcW w:w="2381" w:type="dxa"/>
            <w:vAlign w:val="center"/>
            <w:hideMark/>
          </w:tcPr>
          <w:p>
            <w:pPr>
              <w:spacing w:after="0" w:line="240" w:lineRule="auto"/>
            </w:pPr>
            <w:r>
              <w:rPr>
                <w:rFonts w:ascii="Arial" w:hAnsi="Arial"/>
                <w:sz w:val="15"/>
              </w:rPr>
              <w:t>251 residents and 249 nursing staff from 23 nursing homes</w:t>
            </w:r>
          </w:p>
        </w:tc>
        <w:tc>
          <w:tcPr>
            <w:tcW w:w="4535" w:type="dxa"/>
            <w:vAlign w:val="center"/>
            <w:hideMark/>
          </w:tcPr>
          <w:p>
            <w:pPr>
              <w:spacing w:after="0" w:line="240" w:lineRule="auto"/>
            </w:pPr>
            <w:r>
              <w:rPr>
                <w:rFonts w:ascii="Arial" w:hAnsi="Arial"/>
                <w:sz w:val="15"/>
              </w:rPr>
              <w:t xml:space="preserve">Residents rated safety and everydayness significantly lower than staff; hospitality was particularly low among residents. The findings demonstrate that person-centredness must be understood from the resident's perspective, not only the caregiver's. </w:t>
            </w:r>
          </w:p>
        </w:tc>
      </w:tr>
      <w:tr w:rsidR="009C4E11" w:rsidRPr="005F594F" w14:paraId="3AD72EA4" w14:textId="77777777" w:rsidTr="005F594F">
        <w:trPr>
          <w:jc w:val="center"/>
          <w:cantSplit/>
        </w:trPr>
        <w:tc>
          <w:tcPr>
            <w:tcW w:w="567" w:type="dxa"/>
            <w:vAlign w:val="center"/>
            <w:hideMark/>
          </w:tcPr>
          <w:p w14:paraId="266A27B9"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23</w:t>
            </w:r>
          </w:p>
        </w:tc>
        <w:tc>
          <w:tcPr>
            <w:tcW w:w="3402" w:type="dxa"/>
            <w:vAlign w:val="center"/>
            <w:hideMark/>
          </w:tcPr>
          <w:p w14:paraId="5182AA44"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Boersma et al. – Testing the Implementation of the </w:t>
            </w:r>
            <w:proofErr w:type="spellStart"/>
            <w:r w:rsidRPr="005F594F">
              <w:rPr>
                <w:rFonts w:asciiTheme="majorBidi" w:hAnsiTheme="majorBidi" w:cstheme="majorBidi" w:ascii="Arial" w:hAnsi="Arial"/>
                <w:b/>
                <w:bCs/>
                <w:sz w:val="15"/>
              </w:rPr>
              <w:t>Veder</w:t>
            </w:r>
            <w:proofErr w:type="spellEnd"/>
            <w:r w:rsidRPr="005F594F">
              <w:rPr>
                <w:rFonts w:asciiTheme="majorBidi" w:hAnsiTheme="majorBidi" w:cstheme="majorBidi" w:ascii="Arial" w:hAnsi="Arial"/>
                <w:b/>
                <w:bCs/>
                <w:sz w:val="15"/>
              </w:rPr>
              <w:t xml:space="preserve"> Contact Method: A Theatre-Based Communication Method in Dementia Care</w:t>
            </w:r>
          </w:p>
        </w:tc>
        <w:tc>
          <w:tcPr>
            <w:tcW w:w="1191" w:type="dxa"/>
            <w:vAlign w:val="center"/>
            <w:hideMark/>
          </w:tcPr>
          <w:p w14:paraId="1CCAC62D"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Netherlands</w:t>
            </w:r>
          </w:p>
        </w:tc>
        <w:tc>
          <w:tcPr>
            <w:tcW w:w="850" w:type="dxa"/>
            <w:vAlign w:val="center"/>
            <w:hideMark/>
          </w:tcPr>
          <w:p>
            <w:pPr>
              <w:spacing w:after="0" w:line="240" w:lineRule="auto"/>
            </w:pPr>
            <w:r>
              <w:rPr>
                <w:rFonts w:ascii="Arial" w:hAnsi="Arial"/>
                <w:sz w:val="15"/>
              </w:rPr>
              <w:t>2019</w:t>
            </w:r>
          </w:p>
        </w:tc>
        <w:tc>
          <w:tcPr>
            <w:tcW w:w="2381" w:type="dxa"/>
            <w:vAlign w:val="center"/>
            <w:hideMark/>
          </w:tcPr>
          <w:p>
            <w:pPr>
              <w:spacing w:after="0" w:line="240" w:lineRule="auto"/>
            </w:pPr>
            <w:r>
              <w:rPr>
                <w:rFonts w:ascii="Arial" w:hAnsi="Arial"/>
                <w:sz w:val="15"/>
              </w:rPr>
              <w:t>Controlled intervention</w:t>
            </w:r>
          </w:p>
        </w:tc>
        <w:tc>
          <w:tcPr>
            <w:tcW w:w="2381" w:type="dxa"/>
            <w:vAlign w:val="center"/>
            <w:hideMark/>
          </w:tcPr>
          <w:p>
            <w:pPr>
              <w:spacing w:after="0" w:line="240" w:lineRule="auto"/>
            </w:pPr>
            <w:r>
              <w:rPr>
                <w:rFonts w:ascii="Arial" w:hAnsi="Arial"/>
                <w:sz w:val="15"/>
              </w:rPr>
              <w:t>Nursing-home residents with dementia</w:t>
            </w:r>
          </w:p>
        </w:tc>
        <w:tc>
          <w:tcPr>
            <w:tcW w:w="4535" w:type="dxa"/>
            <w:vAlign w:val="center"/>
            <w:hideMark/>
          </w:tcPr>
          <w:p>
            <w:pPr>
              <w:spacing w:after="0" w:line="240" w:lineRule="auto"/>
            </w:pPr>
            <w:r>
              <w:rPr>
                <w:rFonts w:ascii="Arial" w:hAnsi="Arial"/>
                <w:sz w:val="15"/>
              </w:rPr>
              <w:t>The intervention used theatre, music, reminiscence and validation to strengthen caregiver–resident communication. It is relevant to relationship, communication, mood and quality-of-life dimensions of person-centred care.</w:t>
            </w:r>
          </w:p>
        </w:tc>
      </w:tr>
      <w:tr w:rsidR="009C4E11" w:rsidRPr="005F594F" w14:paraId="33F0220E" w14:textId="77777777" w:rsidTr="005F594F">
        <w:trPr>
          <w:jc w:val="center"/>
          <w:cantSplit/>
        </w:trPr>
        <w:tc>
          <w:tcPr>
            <w:tcW w:w="567" w:type="dxa"/>
            <w:vAlign w:val="center"/>
            <w:hideMark/>
          </w:tcPr>
          <w:p w14:paraId="6C2524B0"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24</w:t>
            </w:r>
          </w:p>
        </w:tc>
        <w:tc>
          <w:tcPr>
            <w:tcW w:w="3402" w:type="dxa"/>
            <w:vAlign w:val="center"/>
            <w:hideMark/>
          </w:tcPr>
          <w:p w14:paraId="67FD6F58"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b/>
                <w:bCs/>
                <w:sz w:val="15"/>
              </w:rPr>
              <w:t xml:space="preserve">Chenoweth et al. – </w:t>
            </w:r>
            <w:proofErr w:type="spellStart"/>
            <w:r w:rsidRPr="005F594F">
              <w:rPr>
                <w:rFonts w:asciiTheme="majorBidi" w:hAnsiTheme="majorBidi" w:cstheme="majorBidi" w:ascii="Arial" w:hAnsi="Arial"/>
                <w:b/>
                <w:bCs/>
                <w:sz w:val="15"/>
              </w:rPr>
              <w:t>PerCEN</w:t>
            </w:r>
            <w:proofErr w:type="spellEnd"/>
            <w:r w:rsidRPr="005F594F">
              <w:rPr>
                <w:rFonts w:asciiTheme="majorBidi" w:hAnsiTheme="majorBidi" w:cstheme="majorBidi" w:ascii="Arial" w:hAnsi="Arial"/>
                <w:b/>
                <w:bCs/>
                <w:sz w:val="15"/>
              </w:rPr>
              <w:t xml:space="preserve"> trial participant perspectives on the implementation and outcomes of person-</w:t>
            </w:r>
            <w:proofErr w:type="spellStart"/>
            <w:r w:rsidRPr="005F594F">
              <w:rPr>
                <w:rFonts w:asciiTheme="majorBidi" w:hAnsiTheme="majorBidi" w:cstheme="majorBidi" w:ascii="Arial" w:hAnsi="Arial"/>
                <w:b/>
                <w:bCs/>
                <w:sz w:val="15"/>
              </w:rPr>
              <w:t>centered</w:t>
            </w:r>
            <w:proofErr w:type="spellEnd"/>
            <w:r w:rsidRPr="005F594F">
              <w:rPr>
                <w:rFonts w:asciiTheme="majorBidi" w:hAnsiTheme="majorBidi" w:cstheme="majorBidi" w:ascii="Arial" w:hAnsi="Arial"/>
                <w:b/>
                <w:bCs/>
                <w:sz w:val="15"/>
              </w:rPr>
              <w:t xml:space="preserve"> dementia care and environments</w:t>
            </w:r>
          </w:p>
        </w:tc>
        <w:tc>
          <w:tcPr>
            <w:tcW w:w="1191" w:type="dxa"/>
            <w:vAlign w:val="center"/>
            <w:hideMark/>
          </w:tcPr>
          <w:p w14:paraId="00A5631B"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Australia</w:t>
            </w:r>
          </w:p>
        </w:tc>
        <w:tc>
          <w:tcPr>
            <w:tcW w:w="850" w:type="dxa"/>
            <w:vAlign w:val="center"/>
            <w:hideMark/>
          </w:tcPr>
          <w:p>
            <w:pPr>
              <w:spacing w:after="0" w:line="240" w:lineRule="auto"/>
            </w:pPr>
            <w:r>
              <w:rPr>
                <w:rFonts w:ascii="Arial" w:hAnsi="Arial"/>
                <w:sz w:val="15"/>
              </w:rPr>
              <w:t>2015</w:t>
            </w:r>
          </w:p>
        </w:tc>
        <w:tc>
          <w:tcPr>
            <w:tcW w:w="2381" w:type="dxa"/>
            <w:vAlign w:val="center"/>
            <w:hideMark/>
          </w:tcPr>
          <w:p>
            <w:pPr>
              <w:spacing w:after="0" w:line="240" w:lineRule="auto"/>
            </w:pPr>
            <w:r>
              <w:rPr>
                <w:rFonts w:ascii="Arial" w:hAnsi="Arial"/>
                <w:sz w:val="15"/>
              </w:rPr>
              <w:t>Mixed/qualitative component of cluster RCT</w:t>
            </w:r>
          </w:p>
        </w:tc>
        <w:tc>
          <w:tcPr>
            <w:tcW w:w="2381" w:type="dxa"/>
            <w:vAlign w:val="center"/>
            <w:hideMark/>
          </w:tcPr>
          <w:p>
            <w:pPr>
              <w:spacing w:after="0" w:line="240" w:lineRule="auto"/>
            </w:pPr>
            <w:r>
              <w:rPr>
                <w:rFonts w:ascii="Arial" w:hAnsi="Arial"/>
                <w:sz w:val="15"/>
              </w:rPr>
              <w:t>Participants/stakeholders in the PerCEN trial</w:t>
            </w:r>
          </w:p>
        </w:tc>
        <w:tc>
          <w:tcPr>
            <w:tcW w:w="4535" w:type="dxa"/>
            <w:vAlign w:val="center"/>
            <w:hideMark/>
          </w:tcPr>
          <w:p>
            <w:pPr>
              <w:spacing w:after="0" w:line="240" w:lineRule="auto"/>
            </w:pPr>
            <w:r>
              <w:rPr>
                <w:rFonts w:ascii="Arial" w:hAnsi="Arial"/>
                <w:sz w:val="15"/>
              </w:rPr>
              <w:t xml:space="preserve">Participant perspectives supported the importance of person-centred environments and care processes for dementia care, particularly individual needs, relationships, environment and quality-of-life-related outcomes. </w:t>
            </w:r>
          </w:p>
        </w:tc>
      </w:tr>
      <w:tr w:rsidR="009C4E11" w:rsidRPr="005F594F" w14:paraId="14B79BBE" w14:textId="77777777" w:rsidTr="005F594F">
        <w:trPr>
          <w:jc w:val="center"/>
          <w:cantSplit/>
        </w:trPr>
        <w:tc>
          <w:tcPr>
            <w:tcW w:w="567" w:type="dxa"/>
            <w:vAlign w:val="center"/>
            <w:hideMark/>
          </w:tcPr>
          <w:p w14:paraId="1E574476"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25</w:t>
            </w:r>
          </w:p>
        </w:tc>
        <w:tc>
          <w:tcPr>
            <w:tcW w:w="3402" w:type="dxa"/>
            <w:vAlign w:val="center"/>
            <w:hideMark/>
          </w:tcPr>
          <w:p w14:paraId="14EA2063" w14:textId="77777777" w:rsidR="009C4E11" w:rsidRPr="005F594F" w:rsidRDefault="009C4E11" w:rsidP="009C4E11">
            <w:pPr>
              <w:spacing w:after="0" w:line="240" w:lineRule="auto"/>
              <w:jc w:val="center"/>
              <w:rPr>
                <w:rFonts w:asciiTheme="majorBidi" w:hAnsiTheme="majorBidi" w:cstheme="majorBidi"/>
              </w:rPr>
            </w:pPr>
            <w:proofErr w:type="spellStart"/>
            <w:r w:rsidRPr="005F594F">
              <w:rPr>
                <w:rFonts w:asciiTheme="majorBidi" w:hAnsiTheme="majorBidi" w:cstheme="majorBidi" w:ascii="Arial" w:hAnsi="Arial"/>
                <w:b/>
                <w:bCs/>
                <w:sz w:val="15"/>
              </w:rPr>
              <w:t>Liebersohn</w:t>
            </w:r>
            <w:proofErr w:type="spellEnd"/>
            <w:r w:rsidRPr="005F594F">
              <w:rPr>
                <w:rFonts w:asciiTheme="majorBidi" w:hAnsiTheme="majorBidi" w:cstheme="majorBidi" w:ascii="Arial" w:hAnsi="Arial"/>
                <w:b/>
                <w:bCs/>
                <w:sz w:val="15"/>
              </w:rPr>
              <w:t xml:space="preserve"> – Epicurus’ “Kinetic” and “</w:t>
            </w:r>
            <w:proofErr w:type="spellStart"/>
            <w:r w:rsidRPr="005F594F">
              <w:rPr>
                <w:rFonts w:asciiTheme="majorBidi" w:hAnsiTheme="majorBidi" w:cstheme="majorBidi" w:ascii="Arial" w:hAnsi="Arial"/>
                <w:b/>
                <w:bCs/>
                <w:sz w:val="15"/>
              </w:rPr>
              <w:t>Katastematic</w:t>
            </w:r>
            <w:proofErr w:type="spellEnd"/>
            <w:r w:rsidRPr="005F594F">
              <w:rPr>
                <w:rFonts w:asciiTheme="majorBidi" w:hAnsiTheme="majorBidi" w:cstheme="majorBidi" w:ascii="Arial" w:hAnsi="Arial"/>
                <w:b/>
                <w:bCs/>
                <w:sz w:val="15"/>
              </w:rPr>
              <w:t>” Pleasures: A Reappraisal</w:t>
            </w:r>
          </w:p>
        </w:tc>
        <w:tc>
          <w:tcPr>
            <w:tcW w:w="1191" w:type="dxa"/>
            <w:vAlign w:val="center"/>
            <w:hideMark/>
          </w:tcPr>
          <w:p w14:paraId="74E92E4F"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w:t>
            </w:r>
          </w:p>
        </w:tc>
        <w:tc>
          <w:tcPr>
            <w:tcW w:w="850" w:type="dxa"/>
            <w:vAlign w:val="center"/>
            <w:hideMark/>
          </w:tcPr>
          <w:p>
            <w:pPr>
              <w:spacing w:after="0" w:line="240" w:lineRule="auto"/>
            </w:pPr>
            <w:r>
              <w:rPr>
                <w:rFonts w:ascii="Arial" w:hAnsi="Arial"/>
                <w:sz w:val="15"/>
              </w:rPr>
              <w:t>2015</w:t>
            </w:r>
          </w:p>
        </w:tc>
        <w:tc>
          <w:tcPr>
            <w:tcW w:w="2381" w:type="dxa"/>
            <w:vAlign w:val="center"/>
            <w:hideMark/>
          </w:tcPr>
          <w:p>
            <w:pPr>
              <w:spacing w:after="0" w:line="240" w:lineRule="auto"/>
            </w:pPr>
            <w:r>
              <w:rPr>
                <w:rFonts w:ascii="Arial" w:hAnsi="Arial"/>
                <w:sz w:val="15"/>
              </w:rPr>
              <w:t>Philosophical analysis</w:t>
            </w:r>
          </w:p>
        </w:tc>
        <w:tc>
          <w:tcPr>
            <w:tcW w:w="2381" w:type="dxa"/>
            <w:vAlign w:val="center"/>
            <w:hideMark/>
          </w:tcPr>
          <w:p>
            <w:pPr>
              <w:spacing w:after="0" w:line="240" w:lineRule="auto"/>
            </w:pPr>
            <w:r>
              <w:rPr>
                <w:rFonts w:ascii="Arial" w:hAnsi="Arial"/>
                <w:sz w:val="15"/>
              </w:rPr>
              <w:t>Epicurean texts</w:t>
            </w:r>
          </w:p>
        </w:tc>
        <w:tc>
          <w:tcPr>
            <w:tcW w:w="4535" w:type="dxa"/>
            <w:vAlign w:val="center"/>
            <w:hideMark/>
          </w:tcPr>
          <w:p>
            <w:pPr>
              <w:spacing w:after="0" w:line="240" w:lineRule="auto"/>
            </w:pPr>
            <w:r>
              <w:rPr>
                <w:rFonts w:ascii="Arial" w:hAnsi="Arial"/>
                <w:sz w:val="15"/>
              </w:rPr>
              <w:t xml:space="preserve">Re-examines the distinction between kinetic and katastematic pleasure, which is highly relevant to understanding pleasure not merely as stimulation but also as a stable state associated with freedom from pain. </w:t>
            </w:r>
          </w:p>
        </w:tc>
      </w:tr>
      <w:tr w:rsidR="009C4E11" w:rsidRPr="005F594F" w14:paraId="3EA0AC73" w14:textId="77777777" w:rsidTr="005F594F">
        <w:trPr>
          <w:jc w:val="center"/>
          <w:cantSplit/>
        </w:trPr>
        <w:tc>
          <w:tcPr>
            <w:tcW w:w="567" w:type="dxa"/>
            <w:vAlign w:val="center"/>
            <w:hideMark/>
          </w:tcPr>
          <w:p w14:paraId="62DE85B0" w14:textId="77777777" w:rsidR="009C4E11" w:rsidRPr="005F594F" w:rsidRDefault="009C4E11" w:rsidP="009C4E11">
            <w:pPr>
              <w:spacing w:after="0" w:line="240" w:lineRule="auto"/>
              <w:jc w:val="center"/>
              <w:rPr>
                <w:rFonts w:asciiTheme="majorBidi" w:hAnsiTheme="majorBidi" w:cstheme="majorBidi"/>
              </w:rPr>
            </w:pPr>
            <w:r w:rsidRPr="005F594F">
              <w:rPr>
                <w:rFonts w:asciiTheme="majorBidi" w:hAnsiTheme="majorBidi" w:cstheme="majorBidi" w:ascii="Arial" w:hAnsi="Arial"/>
                <w:sz w:val="15"/>
              </w:rPr>
              <w:t>26</w:t>
            </w:r>
          </w:p>
        </w:tc>
        <w:tc>
          <w:tcPr>
            <w:tcW w:w="3402" w:type="dxa"/>
            <w:vAlign w:val="center"/>
            <w:hideMark/>
          </w:tcPr>
          <w:p>
            <w:pPr>
              <w:spacing w:after="0" w:line="240" w:lineRule="auto"/>
            </w:pPr>
            <w:r>
              <w:rPr>
                <w:rFonts w:ascii="Arial" w:hAnsi="Arial"/>
                <w:sz w:val="15"/>
              </w:rPr>
              <w:t>Sedley – Epicureanism</w:t>
            </w:r>
          </w:p>
        </w:tc>
        <w:tc>
          <w:tcPr>
            <w:tcW w:w="1191" w:type="dxa"/>
            <w:vAlign w:val="center"/>
            <w:hideMark/>
          </w:tcPr>
          <w:p>
            <w:pPr>
              <w:spacing w:after="0" w:line="240" w:lineRule="auto"/>
            </w:pPr>
            <w:r>
              <w:rPr>
                <w:rFonts w:ascii="Arial" w:hAnsi="Arial"/>
                <w:sz w:val="15"/>
              </w:rPr>
              <w:t>International/Philosophical</w:t>
            </w:r>
          </w:p>
        </w:tc>
        <w:tc>
          <w:tcPr>
            <w:tcW w:w="850" w:type="dxa"/>
            <w:vAlign w:val="center"/>
            <w:hideMark/>
          </w:tcPr>
          <w:p>
            <w:pPr>
              <w:spacing w:after="0" w:line="240" w:lineRule="auto"/>
            </w:pPr>
            <w:r>
              <w:rPr>
                <w:rFonts w:ascii="Arial" w:hAnsi="Arial"/>
                <w:sz w:val="15"/>
              </w:rPr>
              <w:t>1998</w:t>
            </w:r>
          </w:p>
        </w:tc>
        <w:tc>
          <w:tcPr>
            <w:tcW w:w="2381" w:type="dxa"/>
            <w:vAlign w:val="center"/>
            <w:hideMark/>
          </w:tcPr>
          <w:p>
            <w:pPr>
              <w:spacing w:after="0" w:line="240" w:lineRule="auto"/>
            </w:pPr>
            <w:r>
              <w:rPr>
                <w:rFonts w:ascii="Arial" w:hAnsi="Arial"/>
                <w:sz w:val="15"/>
              </w:rPr>
              <w:t>Philosophical reference entry</w:t>
            </w:r>
          </w:p>
        </w:tc>
        <w:tc>
          <w:tcPr>
            <w:tcW w:w="2381" w:type="dxa"/>
            <w:vAlign w:val="center"/>
            <w:hideMark/>
          </w:tcPr>
          <w:p>
            <w:pPr>
              <w:spacing w:after="0" w:line="240" w:lineRule="auto"/>
            </w:pPr>
            <w:r>
              <w:rPr>
                <w:rFonts w:ascii="Arial" w:hAnsi="Arial"/>
                <w:sz w:val="15"/>
              </w:rPr>
              <w:t>Epicurean philosophical texts and scholarship</w:t>
            </w:r>
          </w:p>
        </w:tc>
        <w:tc>
          <w:tcPr>
            <w:tcW w:w="4535" w:type="dxa"/>
            <w:vAlign w:val="center"/>
            <w:hideMark/>
          </w:tcPr>
          <w:p>
            <w:pPr>
              <w:spacing w:after="0" w:line="240" w:lineRule="auto"/>
            </w:pPr>
            <w:r>
              <w:rPr>
                <w:rFonts w:ascii="Arial" w:hAnsi="Arial"/>
                <w:sz w:val="15"/>
              </w:rPr>
              <w:t>Provides a scholarly overview of Epicurean ethics, including pleasure, pain, tranquillity and the good life; used as a secondary philosophical source in the interpretive synthesis.</w:t>
            </w:r>
          </w:p>
        </w:tc>
      </w:tr>
    </w:tbl>
    <w:p w14:paraId="1B190D7A" w14:textId="77777777" w:rsidR="00AB3C02" w:rsidRDefault="00AB3C02" w:rsidP="005F594F">
      <w:pPr>
        <w:jc w:val="center"/>
        <w:rPr>
          <w:lang w:val="en-US"/>
        </w:rPr>
      </w:pPr>
    </w:p>
    <w:p w14:paraId="043D9360" w14:textId="77777777" w:rsidR="00E53158" w:rsidRDefault="00E53158" w:rsidP="005F594F">
      <w:pPr>
        <w:jc w:val="center"/>
        <w:rPr>
          <w:lang w:val="en-US"/>
        </w:rPr>
      </w:pPr>
    </w:p>
    <w:p w14:paraId="70F4ED47" w14:textId="77777777" w:rsidR="00E53158" w:rsidRDefault="00E53158" w:rsidP="005F594F">
      <w:pPr>
        <w:jc w:val="center"/>
        <w:rPr>
          <w:lang w:val="en-US"/>
        </w:rPr>
      </w:pPr>
    </w:p>
    <w:p w14:paraId="49036E40" w14:textId="77777777" w:rsidR="00E53158" w:rsidRDefault="00E53158" w:rsidP="005F594F">
      <w:pPr>
        <w:jc w:val="center"/>
        <w:rPr>
          <w:lang w:val="en-US"/>
        </w:rPr>
      </w:pPr>
    </w:p>
    <w:p w14:paraId="32EAC5CA" w14:textId="77777777" w:rsidR="00E53158" w:rsidRDefault="00E53158" w:rsidP="005F594F">
      <w:pPr>
        <w:jc w:val="center"/>
        <w:rPr>
          <w:lang w:val="en-US"/>
        </w:rPr>
      </w:pPr>
    </w:p>
    <w:p w14:paraId="2884135D" w14:textId="77777777" w:rsidR="00E53158" w:rsidRDefault="00E53158" w:rsidP="005F594F">
      <w:pPr>
        <w:jc w:val="center"/>
        <w:rPr>
          <w:lang w:val="en-US"/>
        </w:rPr>
      </w:pPr>
    </w:p>
    <w:p w14:paraId="6B3949C3" w14:textId="77777777" w:rsidR="00E53158" w:rsidRDefault="00E53158" w:rsidP="005F594F">
      <w:pPr>
        <w:jc w:val="center"/>
        <w:rPr>
          <w:lang w:val="en-US"/>
        </w:rPr>
      </w:pPr>
    </w:p>
    <w:p w14:paraId="2D6498A5" w14:textId="77777777" w:rsidR="00E53158" w:rsidRDefault="00E53158" w:rsidP="005F594F">
      <w:pPr>
        <w:jc w:val="center"/>
        <w:rPr>
          <w:lang w:val="en-US"/>
        </w:rPr>
      </w:pPr>
    </w:p>
    <w:p w14:paraId="0DE23622" w14:textId="77777777" w:rsidR="00E53158" w:rsidRPr="00633B45" w:rsidRDefault="00E53158" w:rsidP="00E53158">
      <w:pPr>
        <w:pStyle w:val="Heading1"/>
        <w:keepNext/>
        <w:spacing w:before="100" w:beforeAutospacing="1" w:after="100" w:afterAutospacing="1" w:line="240" w:lineRule="auto"/>
        <w:jc w:val="left"/>
        <w:rPr>
          <w:rFonts w:ascii="Times New Roman" w:eastAsia="Times New Roman" w:hAnsi="Times New Roman" w:cs="B Nazanin"/>
          <w:b/>
          <w:bCs/>
          <w:sz w:val="24"/>
          <w:szCs w:val="24"/>
        </w:rPr>
      </w:pPr>
      <w:r>
        <w:rPr>
          <w:rFonts w:ascii="Arial" w:hAnsi="Arial"/>
          <w:sz w:val="20"/>
        </w:rPr>
        <w:t>Table S3. Comparative synthesis and implications for theoretical reconstruction</w:t>
      </w:r>
    </w:p>
    <w:tbl>
      <w:tblPr>
        <w:tblStyle w:val="TableGrid"/>
        <w:tblW w:w="0" w:type="auto"/>
        <w:tblLayout w:type="fixed"/>
        <w:tblLook w:val="04A0" w:firstRow="1" w:lastRow="0" w:firstColumn="1" w:lastColumn="0" w:noHBand="0" w:noVBand="1"/>
      </w:tblPr>
      <w:tblGrid>
        <w:gridCol w:w="2192"/>
        <w:gridCol w:w="3920"/>
        <w:gridCol w:w="3496"/>
        <w:gridCol w:w="4340"/>
      </w:tblGrid>
      <w:tr w:rsidR="00E53158" w:rsidRPr="00633B45" w14:paraId="5AE46AF5" w14:textId="77777777" w:rsidTr="00162F53">
        <w:trPr>
          <w:cantSplit/>
          <w:tblHeader/>
        </w:trPr>
        <w:tc>
          <w:tcPr>
            <w:tcW w:w="2268" w:type="dxa"/>
            <w:vAlign w:val="center"/>
            <w:hideMark/>
            <w:shd w:fill="D9EAF7"/>
          </w:tcPr>
          <w:p w14:paraId="3A437405"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Dimension</w:t>
            </w:r>
          </w:p>
        </w:tc>
        <w:tc>
          <w:tcPr>
            <w:tcW w:w="3969" w:type="dxa"/>
            <w:vAlign w:val="center"/>
            <w:hideMark/>
            <w:shd w:fill="D9EAF7"/>
          </w:tcPr>
          <w:p w14:paraId="48C6AA19"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Person-centred nursing evidence</w:t>
            </w:r>
          </w:p>
        </w:tc>
        <w:tc>
          <w:tcPr>
            <w:tcW w:w="3685" w:type="dxa"/>
            <w:vAlign w:val="center"/>
            <w:hideMark/>
            <w:shd w:fill="D9EAF7"/>
          </w:tcPr>
          <w:p w14:paraId="08786976"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Epicurean conceptualization</w:t>
            </w:r>
          </w:p>
        </w:tc>
        <w:tc>
          <w:tcPr>
            <w:tcW w:w="5102" w:type="dxa"/>
            <w:vAlign w:val="center"/>
            <w:hideMark/>
            <w:shd w:fill="D9EAF7"/>
          </w:tcPr>
          <w:p w14:paraId="0E728852"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Implication for theoretical reconstruction</w:t>
            </w:r>
          </w:p>
        </w:tc>
      </w:tr>
      <w:tr w:rsidR="00E53158" w:rsidRPr="00633B45" w14:paraId="53BF81D9" w14:textId="77777777" w:rsidTr="00162F53">
        <w:trPr>
          <w:cantSplit/>
        </w:trPr>
        <w:tc>
          <w:tcPr>
            <w:tcW w:w="2268" w:type="dxa"/>
            <w:vAlign w:val="center"/>
            <w:hideMark/>
          </w:tcPr>
          <w:p w14:paraId="07E8298D"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Individual flourishing</w:t>
            </w:r>
          </w:p>
        </w:tc>
        <w:tc>
          <w:tcPr>
            <w:tcW w:w="3969" w:type="dxa"/>
            <w:vAlign w:val="center"/>
            <w:hideMark/>
          </w:tcPr>
          <w:p w14:paraId="708EB2F4"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Thriving, vitality, quality of life, and satisfaction</w:t>
            </w:r>
          </w:p>
        </w:tc>
        <w:tc>
          <w:tcPr>
            <w:tcW w:w="3685" w:type="dxa"/>
            <w:vAlign w:val="center"/>
            <w:hideMark/>
          </w:tcPr>
          <w:p w14:paraId="2D742557"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Good life and happiness</w:t>
            </w:r>
          </w:p>
        </w:tc>
        <w:tc>
          <w:tcPr>
            <w:tcW w:w="5102" w:type="dxa"/>
            <w:vAlign w:val="center"/>
            <w:hideMark/>
          </w:tcPr>
          <w:p w14:paraId="5BC94741"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Well-being is oriented toward living well rather than merely treating illness</w:t>
            </w:r>
          </w:p>
        </w:tc>
      </w:tr>
      <w:tr w:rsidR="00E53158" w:rsidRPr="00633B45" w14:paraId="500ECC58" w14:textId="77777777" w:rsidTr="00162F53">
        <w:trPr>
          <w:cantSplit/>
        </w:trPr>
        <w:tc>
          <w:tcPr>
            <w:tcW w:w="2268" w:type="dxa"/>
            <w:vAlign w:val="center"/>
            <w:hideMark/>
          </w:tcPr>
          <w:p w14:paraId="74E5379F"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Freedom from suffering</w:t>
            </w:r>
          </w:p>
        </w:tc>
        <w:tc>
          <w:tcPr>
            <w:tcW w:w="3969" w:type="dxa"/>
            <w:vAlign w:val="center"/>
            <w:hideMark/>
          </w:tcPr>
          <w:p w14:paraId="1893CE24"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Reduced distress, attention to suffering, and improved well-being</w:t>
            </w:r>
          </w:p>
        </w:tc>
        <w:tc>
          <w:tcPr>
            <w:tcW w:w="3685" w:type="dxa"/>
            <w:vAlign w:val="center"/>
            <w:hideMark/>
          </w:tcPr>
          <w:p w14:paraId="79580CD2"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i/>
                <w:iCs/>
                <w:sz w:val="16"/>
                <w:szCs w:val="24"/>
              </w:rPr>
              <w:t>Aponia</w:t>
            </w:r>
            <w:r w:rsidRPr="00633B45">
              <w:rPr>
                <w:rFonts w:ascii="Arial" w:eastAsia="Times New Roman" w:hAnsi="Arial" w:cs="B Nazanin"/>
                <w:sz w:val="16"/>
                <w:szCs w:val="24"/>
              </w:rPr>
              <w:t>: freedom from bodily pain</w:t>
            </w:r>
          </w:p>
        </w:tc>
        <w:tc>
          <w:tcPr>
            <w:tcW w:w="5102" w:type="dxa"/>
            <w:vAlign w:val="center"/>
            <w:hideMark/>
          </w:tcPr>
          <w:p w14:paraId="41F0DB0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Freedom from avoidable bodily suffering represents a core dimension</w:t>
            </w:r>
          </w:p>
        </w:tc>
      </w:tr>
      <w:tr w:rsidR="00E53158" w:rsidRPr="00633B45" w14:paraId="7B4DFBCC" w14:textId="77777777" w:rsidTr="00162F53">
        <w:trPr>
          <w:cantSplit/>
        </w:trPr>
        <w:tc>
          <w:tcPr>
            <w:tcW w:w="2268" w:type="dxa"/>
            <w:vAlign w:val="center"/>
            <w:hideMark/>
          </w:tcPr>
          <w:p w14:paraId="62C22608"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Mental tranquillity</w:t>
            </w:r>
          </w:p>
        </w:tc>
        <w:tc>
          <w:tcPr>
            <w:tcW w:w="3969" w:type="dxa"/>
            <w:vAlign w:val="center"/>
            <w:hideMark/>
          </w:tcPr>
          <w:p w14:paraId="4D39E77C"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Emotional balance, reduced distress, and psychological well-being</w:t>
            </w:r>
          </w:p>
        </w:tc>
        <w:tc>
          <w:tcPr>
            <w:tcW w:w="3685" w:type="dxa"/>
            <w:vAlign w:val="center"/>
            <w:hideMark/>
          </w:tcPr>
          <w:p w14:paraId="41724D1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i/>
                <w:iCs/>
                <w:sz w:val="16"/>
                <w:szCs w:val="24"/>
              </w:rPr>
              <w:t>Ataraxia</w:t>
            </w:r>
            <w:r w:rsidRPr="00633B45">
              <w:rPr>
                <w:rFonts w:ascii="Arial" w:eastAsia="Times New Roman" w:hAnsi="Arial" w:cs="B Nazanin"/>
                <w:sz w:val="16"/>
                <w:szCs w:val="24"/>
              </w:rPr>
              <w:t>: freedom from mental disturbance</w:t>
            </w:r>
          </w:p>
        </w:tc>
        <w:tc>
          <w:tcPr>
            <w:tcW w:w="5102" w:type="dxa"/>
            <w:vAlign w:val="center"/>
            <w:hideMark/>
          </w:tcPr>
          <w:p w14:paraId="5903A140"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Tranquillity represents a positive state rather than emotional absence</w:t>
            </w:r>
          </w:p>
        </w:tc>
      </w:tr>
      <w:tr w:rsidR="00E53158" w:rsidRPr="00633B45" w14:paraId="1CA8D246" w14:textId="77777777" w:rsidTr="00162F53">
        <w:trPr>
          <w:cantSplit/>
        </w:trPr>
        <w:tc>
          <w:tcPr>
            <w:tcW w:w="2268" w:type="dxa"/>
            <w:vAlign w:val="center"/>
            <w:hideMark/>
          </w:tcPr>
          <w:p w14:paraId="79C1C25C"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Autonomy and agency</w:t>
            </w:r>
          </w:p>
        </w:tc>
        <w:tc>
          <w:tcPr>
            <w:tcW w:w="3969" w:type="dxa"/>
            <w:vAlign w:val="center"/>
            <w:hideMark/>
          </w:tcPr>
          <w:p w14:paraId="194A2A00"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Choice, autonomy, competence, and participation</w:t>
            </w:r>
          </w:p>
        </w:tc>
        <w:tc>
          <w:tcPr>
            <w:tcW w:w="3685" w:type="dxa"/>
            <w:vAlign w:val="center"/>
            <w:hideMark/>
          </w:tcPr>
          <w:p w14:paraId="4D3A0F1A"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Rational management of desires and self-directed living</w:t>
            </w:r>
          </w:p>
        </w:tc>
        <w:tc>
          <w:tcPr>
            <w:tcW w:w="5102" w:type="dxa"/>
            <w:vAlign w:val="center"/>
            <w:hideMark/>
          </w:tcPr>
          <w:p w14:paraId="47622EC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Autonomy links person-centred practice with the capacity to pursue a personally valued life</w:t>
            </w:r>
          </w:p>
        </w:tc>
      </w:tr>
      <w:tr w:rsidR="00E53158" w:rsidRPr="00633B45" w14:paraId="2062FA31" w14:textId="77777777" w:rsidTr="00162F53">
        <w:trPr>
          <w:cantSplit/>
        </w:trPr>
        <w:tc>
          <w:tcPr>
            <w:tcW w:w="2268" w:type="dxa"/>
            <w:vAlign w:val="center"/>
            <w:hideMark/>
          </w:tcPr>
          <w:p w14:paraId="13977C55"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Meaningful living</w:t>
            </w:r>
          </w:p>
        </w:tc>
        <w:tc>
          <w:tcPr>
            <w:tcW w:w="3969" w:type="dxa"/>
            <w:vAlign w:val="center"/>
            <w:hideMark/>
          </w:tcPr>
          <w:p w14:paraId="3589857F"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Meaningful activities, shared goals, and meaningful everyday life</w:t>
            </w:r>
          </w:p>
        </w:tc>
        <w:tc>
          <w:tcPr>
            <w:tcW w:w="3685" w:type="dxa"/>
            <w:vAlign w:val="center"/>
            <w:hideMark/>
          </w:tcPr>
          <w:p w14:paraId="77D330F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Good life and rationally selected desires</w:t>
            </w:r>
          </w:p>
        </w:tc>
        <w:tc>
          <w:tcPr>
            <w:tcW w:w="5102" w:type="dxa"/>
            <w:vAlign w:val="center"/>
            <w:hideMark/>
          </w:tcPr>
          <w:p w14:paraId="7C09D5FB"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Meaning provides a bridge between individual values and living well</w:t>
            </w:r>
          </w:p>
        </w:tc>
      </w:tr>
      <w:tr w:rsidR="00E53158" w:rsidRPr="00633B45" w14:paraId="46613F23" w14:textId="77777777" w:rsidTr="00162F53">
        <w:trPr>
          <w:cantSplit/>
        </w:trPr>
        <w:tc>
          <w:tcPr>
            <w:tcW w:w="2268" w:type="dxa"/>
            <w:vAlign w:val="center"/>
            <w:hideMark/>
          </w:tcPr>
          <w:p w14:paraId="1024F4F5"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Relational connection</w:t>
            </w:r>
          </w:p>
        </w:tc>
        <w:tc>
          <w:tcPr>
            <w:tcW w:w="3969" w:type="dxa"/>
            <w:vAlign w:val="center"/>
            <w:hideMark/>
          </w:tcPr>
          <w:p w14:paraId="74D61598"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Nurse–patient interaction, communication, connection, and social engagement</w:t>
            </w:r>
          </w:p>
        </w:tc>
        <w:tc>
          <w:tcPr>
            <w:tcW w:w="3685" w:type="dxa"/>
            <w:vAlign w:val="center"/>
            <w:hideMark/>
          </w:tcPr>
          <w:p w14:paraId="54076A12"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Friendship and supportive relationships</w:t>
            </w:r>
          </w:p>
        </w:tc>
        <w:tc>
          <w:tcPr>
            <w:tcW w:w="5102" w:type="dxa"/>
            <w:vAlign w:val="center"/>
            <w:hideMark/>
          </w:tcPr>
          <w:p w14:paraId="3B7D062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Relationships constitute an important dimension and condition of well-being</w:t>
            </w:r>
          </w:p>
        </w:tc>
      </w:tr>
      <w:tr w:rsidR="00E53158" w:rsidRPr="00633B45" w14:paraId="7832AEBA" w14:textId="77777777" w:rsidTr="00162F53">
        <w:trPr>
          <w:cantSplit/>
        </w:trPr>
        <w:tc>
          <w:tcPr>
            <w:tcW w:w="2268" w:type="dxa"/>
            <w:vAlign w:val="center"/>
            <w:hideMark/>
          </w:tcPr>
          <w:p w14:paraId="1BBFF410"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Pleasure</w:t>
            </w:r>
          </w:p>
        </w:tc>
        <w:tc>
          <w:tcPr>
            <w:tcW w:w="3969" w:type="dxa"/>
            <w:vAlign w:val="center"/>
            <w:hideMark/>
          </w:tcPr>
          <w:p w14:paraId="2E02D531"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Positive experiences and personally valued activities</w:t>
            </w:r>
          </w:p>
        </w:tc>
        <w:tc>
          <w:tcPr>
            <w:tcW w:w="3685" w:type="dxa"/>
            <w:vAlign w:val="center"/>
            <w:hideMark/>
          </w:tcPr>
          <w:p w14:paraId="3DB9884D"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Pleasure as a central ethical criterion; stable/</w:t>
            </w:r>
            <w:proofErr w:type="spellStart"/>
            <w:r w:rsidRPr="00633B45">
              <w:rPr>
                <w:rFonts w:ascii="Arial" w:eastAsia="Times New Roman" w:hAnsi="Arial" w:cs="B Nazanin"/>
                <w:sz w:val="16"/>
                <w:szCs w:val="24"/>
              </w:rPr>
              <w:t>katastematic</w:t>
            </w:r>
            <w:proofErr w:type="spellEnd"/>
            <w:r w:rsidRPr="00633B45">
              <w:rPr>
                <w:rFonts w:ascii="Arial" w:eastAsia="Times New Roman" w:hAnsi="Arial" w:cs="B Nazanin"/>
                <w:sz w:val="16"/>
                <w:szCs w:val="24"/>
              </w:rPr>
              <w:t xml:space="preserve"> pleasure</w:t>
            </w:r>
          </w:p>
        </w:tc>
        <w:tc>
          <w:tcPr>
            <w:tcW w:w="5102" w:type="dxa"/>
            <w:vAlign w:val="center"/>
            <w:hideMark/>
          </w:tcPr>
          <w:p w14:paraId="11AEC11A"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Pleasure should be understood contextually and not as unrestricted sensory gratification</w:t>
            </w:r>
          </w:p>
        </w:tc>
      </w:tr>
      <w:tr w:rsidR="00E53158" w:rsidRPr="00633B45" w14:paraId="548F39E0" w14:textId="77777777" w:rsidTr="00162F53">
        <w:trPr>
          <w:cantSplit/>
        </w:trPr>
        <w:tc>
          <w:tcPr>
            <w:tcW w:w="2268" w:type="dxa"/>
            <w:vAlign w:val="center"/>
            <w:hideMark/>
          </w:tcPr>
          <w:p w14:paraId="4B65FCD2"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Stability</w:t>
            </w:r>
          </w:p>
        </w:tc>
        <w:tc>
          <w:tcPr>
            <w:tcW w:w="3969" w:type="dxa"/>
            <w:vAlign w:val="center"/>
            <w:hideMark/>
          </w:tcPr>
          <w:p w14:paraId="22A0E9D2"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Sustained well-being, affective balance, and continuity of care</w:t>
            </w:r>
          </w:p>
        </w:tc>
        <w:tc>
          <w:tcPr>
            <w:tcW w:w="3685" w:type="dxa"/>
            <w:vAlign w:val="center"/>
            <w:hideMark/>
          </w:tcPr>
          <w:p w14:paraId="1236D57D"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 xml:space="preserve">Stable pleasure and </w:t>
            </w:r>
            <w:proofErr w:type="spellStart"/>
            <w:r w:rsidRPr="00633B45">
              <w:rPr>
                <w:rFonts w:ascii="Arial" w:eastAsia="Times New Roman" w:hAnsi="Arial" w:cs="B Nazanin"/>
                <w:i/>
                <w:iCs/>
                <w:sz w:val="16"/>
                <w:szCs w:val="24"/>
              </w:rPr>
              <w:t>eustatheia</w:t>
            </w:r>
            <w:proofErr w:type="spellEnd"/>
          </w:p>
        </w:tc>
        <w:tc>
          <w:tcPr>
            <w:tcW w:w="5102" w:type="dxa"/>
            <w:vAlign w:val="center"/>
            <w:hideMark/>
          </w:tcPr>
          <w:p w14:paraId="5CA8D8BA"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Well-being is a sustained condition rather than a transient positive state</w:t>
            </w:r>
          </w:p>
        </w:tc>
      </w:tr>
      <w:tr w:rsidR="00E53158" w:rsidRPr="00633B45" w14:paraId="01B757A5" w14:textId="77777777" w:rsidTr="00162F53">
        <w:trPr>
          <w:cantSplit/>
        </w:trPr>
        <w:tc>
          <w:tcPr>
            <w:tcW w:w="2268" w:type="dxa"/>
            <w:vAlign w:val="center"/>
            <w:hideMark/>
          </w:tcPr>
          <w:p w14:paraId="15AC2C35"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Personal values and preferences</w:t>
            </w:r>
          </w:p>
        </w:tc>
        <w:tc>
          <w:tcPr>
            <w:tcW w:w="3969" w:type="dxa"/>
            <w:vAlign w:val="center"/>
            <w:hideMark/>
          </w:tcPr>
          <w:p w14:paraId="09289AF7"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Individual needs, preferences, capabilities, and rhythms</w:t>
            </w:r>
          </w:p>
        </w:tc>
        <w:tc>
          <w:tcPr>
            <w:tcW w:w="3685" w:type="dxa"/>
            <w:vAlign w:val="center"/>
            <w:hideMark/>
          </w:tcPr>
          <w:p w14:paraId="75CDA190"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Rational selection of desires</w:t>
            </w:r>
          </w:p>
        </w:tc>
        <w:tc>
          <w:tcPr>
            <w:tcW w:w="5102" w:type="dxa"/>
            <w:vAlign w:val="center"/>
            <w:hideMark/>
          </w:tcPr>
          <w:p w14:paraId="6CBBF51D"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Both perspectives reject a uniform definition of the good life</w:t>
            </w:r>
          </w:p>
        </w:tc>
      </w:tr>
      <w:tr w:rsidR="00E53158" w:rsidRPr="00633B45" w14:paraId="5D9FC14A" w14:textId="77777777" w:rsidTr="00162F53">
        <w:trPr>
          <w:cantSplit/>
        </w:trPr>
        <w:tc>
          <w:tcPr>
            <w:tcW w:w="2268" w:type="dxa"/>
            <w:vAlign w:val="center"/>
            <w:hideMark/>
          </w:tcPr>
          <w:p w14:paraId="71A9FD06"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Environment</w:t>
            </w:r>
          </w:p>
        </w:tc>
        <w:tc>
          <w:tcPr>
            <w:tcW w:w="3969" w:type="dxa"/>
            <w:vAlign w:val="center"/>
            <w:hideMark/>
          </w:tcPr>
          <w:p w14:paraId="215CD634"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Person-centred climate, safety, everydayness, hospitality, and supportive environment</w:t>
            </w:r>
          </w:p>
        </w:tc>
        <w:tc>
          <w:tcPr>
            <w:tcW w:w="3685" w:type="dxa"/>
            <w:vAlign w:val="center"/>
            <w:hideMark/>
          </w:tcPr>
          <w:p w14:paraId="01925F96"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Conditions supporting tranquillity and friendship</w:t>
            </w:r>
          </w:p>
        </w:tc>
        <w:tc>
          <w:tcPr>
            <w:tcW w:w="5102" w:type="dxa"/>
            <w:vAlign w:val="center"/>
            <w:hideMark/>
          </w:tcPr>
          <w:p w14:paraId="6769B709"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Environment supports well-being but does not independently define it</w:t>
            </w:r>
          </w:p>
        </w:tc>
      </w:tr>
      <w:tr w:rsidR="00E53158" w:rsidRPr="00633B45" w14:paraId="1D7B3461" w14:textId="77777777" w:rsidTr="00162F53">
        <w:trPr>
          <w:cantSplit/>
        </w:trPr>
        <w:tc>
          <w:tcPr>
            <w:tcW w:w="2268" w:type="dxa"/>
            <w:vAlign w:val="center"/>
            <w:hideMark/>
          </w:tcPr>
          <w:p w14:paraId="54C7243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t>Subjective experience</w:t>
            </w:r>
          </w:p>
        </w:tc>
        <w:tc>
          <w:tcPr>
            <w:tcW w:w="3969" w:type="dxa"/>
            <w:vAlign w:val="center"/>
            <w:hideMark/>
          </w:tcPr>
          <w:p w14:paraId="76C49D14"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Resident narratives and individual perceptions</w:t>
            </w:r>
          </w:p>
        </w:tc>
        <w:tc>
          <w:tcPr>
            <w:tcW w:w="3685" w:type="dxa"/>
            <w:vAlign w:val="center"/>
            <w:hideMark/>
          </w:tcPr>
          <w:p w14:paraId="6FCAFF53"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Individual experience of pleasure, pain, and disturbance</w:t>
            </w:r>
          </w:p>
        </w:tc>
        <w:tc>
          <w:tcPr>
            <w:tcW w:w="5102" w:type="dxa"/>
            <w:vAlign w:val="center"/>
            <w:hideMark/>
          </w:tcPr>
          <w:p w14:paraId="59B2051E"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The person's own experience is essential to conceptualizing well-being</w:t>
            </w:r>
          </w:p>
        </w:tc>
      </w:tr>
      <w:tr w:rsidR="00E53158" w:rsidRPr="00633B45" w14:paraId="1F3781B2" w14:textId="77777777" w:rsidTr="00162F53">
        <w:trPr>
          <w:cantSplit/>
        </w:trPr>
        <w:tc>
          <w:tcPr>
            <w:tcW w:w="2268" w:type="dxa"/>
            <w:vAlign w:val="center"/>
            <w:hideMark/>
          </w:tcPr>
          <w:p w14:paraId="1A9536F8"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b/>
                <w:bCs/>
                <w:sz w:val="24"/>
                <w:szCs w:val="24"/>
              </w:rPr>
            </w:pPr>
            <w:r w:rsidRPr="00633B45">
              <w:rPr>
                <w:rFonts w:ascii="Arial" w:eastAsia="Times New Roman" w:hAnsi="Arial" w:cs="B Nazanin"/>
                <w:b/>
                <w:bCs/>
                <w:sz w:val="16"/>
                <w:szCs w:val="24"/>
              </w:rPr>
              <w:lastRenderedPageBreak/>
              <w:t>Normative orientation</w:t>
            </w:r>
          </w:p>
        </w:tc>
        <w:tc>
          <w:tcPr>
            <w:tcW w:w="3969" w:type="dxa"/>
            <w:vAlign w:val="center"/>
            <w:hideMark/>
          </w:tcPr>
          <w:p w14:paraId="696A97BE"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Dignity, respect, autonomy, individualized care, and participation</w:t>
            </w:r>
          </w:p>
        </w:tc>
        <w:tc>
          <w:tcPr>
            <w:tcW w:w="3685" w:type="dxa"/>
            <w:vAlign w:val="center"/>
            <w:hideMark/>
          </w:tcPr>
          <w:p w14:paraId="394C3116"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Good life, pleasure, freedom from pain, and tranquillity</w:t>
            </w:r>
          </w:p>
        </w:tc>
        <w:tc>
          <w:tcPr>
            <w:tcW w:w="5102" w:type="dxa"/>
            <w:vAlign w:val="center"/>
            <w:hideMark/>
          </w:tcPr>
          <w:p w14:paraId="3B03E366" w14:textId="77777777" w:rsidR="00E53158" w:rsidRPr="00633B45" w:rsidRDefault="00E53158" w:rsidP="00162F53">
            <w:pPr>
              <w:spacing w:before="100" w:beforeAutospacing="1" w:after="0" w:afterAutospacing="1" w:line="240" w:lineRule="auto"/>
              <w:jc w:val="center"/>
              <w:rPr>
                <w:rFonts w:ascii="Times New Roman" w:eastAsia="Times New Roman" w:hAnsi="Times New Roman" w:cs="B Nazanin"/>
                <w:sz w:val="24"/>
                <w:szCs w:val="24"/>
              </w:rPr>
            </w:pPr>
            <w:r w:rsidRPr="00633B45">
              <w:rPr>
                <w:rFonts w:ascii="Arial" w:eastAsia="Times New Roman" w:hAnsi="Arial" w:cs="B Nazanin"/>
                <w:sz w:val="16"/>
                <w:szCs w:val="24"/>
              </w:rPr>
              <w:t>Epicurean concepts provide a philosophical lens for clarifying the normative structure of well-being</w:t>
            </w:r>
          </w:p>
        </w:tc>
      </w:tr>
    </w:tbl>
    <w:p w14:paraId="2F7741A3" w14:textId="77777777" w:rsidR="00E53158" w:rsidRPr="00633B45" w:rsidRDefault="00E53158" w:rsidP="00E53158">
      <w:pPr>
        <w:spacing w:before="100" w:beforeAutospacing="1" w:after="100" w:afterAutospacing="1" w:line="240" w:lineRule="auto"/>
        <w:jc w:val="both"/>
        <w:rPr>
          <w:rFonts w:ascii="Times New Roman" w:eastAsia="Times New Roman" w:hAnsi="Times New Roman" w:cs="B Nazanin"/>
          <w:sz w:val="24"/>
          <w:szCs w:val="24"/>
        </w:rPr>
      </w:pPr>
    </w:p>
    <w:p w14:paraId="590AC987" w14:textId="77777777" w:rsidR="00E53158" w:rsidRPr="00AB3C02" w:rsidRDefault="00E53158" w:rsidP="005F594F">
      <w:pPr>
        <w:jc w:val="center"/>
        <w:rPr>
          <w:lang w:val="en-US"/>
        </w:rPr>
      </w:pPr>
    </w:p>
    <w:sectPr w:rsidR="00E53158" w:rsidRPr="00AB3C02" w:rsidSect="007677B6">
      <w:pgSz w:w="16838" w:h="11906" w:orient="landscape"/>
      <w:pgMar w:top="850"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7B6"/>
    <w:rsid w:val="00102503"/>
    <w:rsid w:val="001331C4"/>
    <w:rsid w:val="001D294D"/>
    <w:rsid w:val="00220237"/>
    <w:rsid w:val="002B066F"/>
    <w:rsid w:val="00352549"/>
    <w:rsid w:val="00396752"/>
    <w:rsid w:val="003B06B7"/>
    <w:rsid w:val="003B305F"/>
    <w:rsid w:val="004C1C07"/>
    <w:rsid w:val="00515220"/>
    <w:rsid w:val="005F594F"/>
    <w:rsid w:val="006D58DF"/>
    <w:rsid w:val="007677B6"/>
    <w:rsid w:val="009C4E11"/>
    <w:rsid w:val="00AB3C02"/>
    <w:rsid w:val="00AC5E2D"/>
    <w:rsid w:val="00AD6EDB"/>
    <w:rsid w:val="00BC4537"/>
    <w:rsid w:val="00D80DF8"/>
    <w:rsid w:val="00D83CF2"/>
    <w:rsid w:val="00E53158"/>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047CC"/>
  <w15:chartTrackingRefBased/>
  <w15:docId w15:val="{523BEA70-7E80-447C-A9F3-A2B9CE834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77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77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77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77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77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77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77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77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77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7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77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77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77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77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77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7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7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7B6"/>
    <w:rPr>
      <w:rFonts w:eastAsiaTheme="majorEastAsia" w:cstheme="majorBidi"/>
      <w:color w:val="272727" w:themeColor="text1" w:themeTint="D8"/>
    </w:rPr>
  </w:style>
  <w:style w:type="paragraph" w:styleId="Title">
    <w:name w:val="Title"/>
    <w:basedOn w:val="Normal"/>
    <w:next w:val="Normal"/>
    <w:link w:val="TitleChar"/>
    <w:uiPriority w:val="10"/>
    <w:qFormat/>
    <w:rsid w:val="007677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7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7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77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7B6"/>
    <w:pPr>
      <w:spacing w:before="160"/>
      <w:jc w:val="center"/>
    </w:pPr>
    <w:rPr>
      <w:i/>
      <w:iCs/>
      <w:color w:val="404040" w:themeColor="text1" w:themeTint="BF"/>
    </w:rPr>
  </w:style>
  <w:style w:type="character" w:customStyle="1" w:styleId="QuoteChar">
    <w:name w:val="Quote Char"/>
    <w:basedOn w:val="DefaultParagraphFont"/>
    <w:link w:val="Quote"/>
    <w:uiPriority w:val="29"/>
    <w:rsid w:val="007677B6"/>
    <w:rPr>
      <w:i/>
      <w:iCs/>
      <w:color w:val="404040" w:themeColor="text1" w:themeTint="BF"/>
    </w:rPr>
  </w:style>
  <w:style w:type="paragraph" w:styleId="ListParagraph">
    <w:name w:val="List Paragraph"/>
    <w:basedOn w:val="Normal"/>
    <w:uiPriority w:val="34"/>
    <w:qFormat/>
    <w:rsid w:val="007677B6"/>
    <w:pPr>
      <w:ind w:left="720"/>
      <w:contextualSpacing/>
    </w:pPr>
  </w:style>
  <w:style w:type="character" w:styleId="IntenseEmphasis">
    <w:name w:val="Intense Emphasis"/>
    <w:basedOn w:val="DefaultParagraphFont"/>
    <w:uiPriority w:val="21"/>
    <w:qFormat/>
    <w:rsid w:val="007677B6"/>
    <w:rPr>
      <w:i/>
      <w:iCs/>
      <w:color w:val="0F4761" w:themeColor="accent1" w:themeShade="BF"/>
    </w:rPr>
  </w:style>
  <w:style w:type="paragraph" w:styleId="IntenseQuote">
    <w:name w:val="Intense Quote"/>
    <w:basedOn w:val="Normal"/>
    <w:next w:val="Normal"/>
    <w:link w:val="IntenseQuoteChar"/>
    <w:uiPriority w:val="30"/>
    <w:qFormat/>
    <w:rsid w:val="007677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77B6"/>
    <w:rPr>
      <w:i/>
      <w:iCs/>
      <w:color w:val="0F4761" w:themeColor="accent1" w:themeShade="BF"/>
    </w:rPr>
  </w:style>
  <w:style w:type="character" w:styleId="IntenseReference">
    <w:name w:val="Intense Reference"/>
    <w:basedOn w:val="DefaultParagraphFont"/>
    <w:uiPriority w:val="32"/>
    <w:qFormat/>
    <w:rsid w:val="007677B6"/>
    <w:rPr>
      <w:b/>
      <w:bCs/>
      <w:smallCaps/>
      <w:color w:val="0F4761" w:themeColor="accent1" w:themeShade="BF"/>
      <w:spacing w:val="5"/>
    </w:rPr>
  </w:style>
  <w:style w:type="table" w:styleId="TableGrid">
    <w:name w:val="Table Grid"/>
    <w:basedOn w:val="TableNormal"/>
    <w:uiPriority w:val="39"/>
    <w:rsid w:val="00767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2549"/>
    <w:rPr>
      <w:color w:val="467886" w:themeColor="hyperlink"/>
      <w:u w:val="single"/>
    </w:rPr>
  </w:style>
  <w:style w:type="character" w:styleId="UnresolvedMention">
    <w:name w:val="Unresolved Mention"/>
    <w:basedOn w:val="DefaultParagraphFont"/>
    <w:uiPriority w:val="99"/>
    <w:semiHidden/>
    <w:unhideWhenUsed/>
    <w:rsid w:val="00352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44607">
      <w:bodyDiv w:val="1"/>
      <w:marLeft w:val="0"/>
      <w:marRight w:val="0"/>
      <w:marTop w:val="0"/>
      <w:marBottom w:val="0"/>
      <w:divBdr>
        <w:top w:val="none" w:sz="0" w:space="0" w:color="auto"/>
        <w:left w:val="none" w:sz="0" w:space="0" w:color="auto"/>
        <w:bottom w:val="none" w:sz="0" w:space="0" w:color="auto"/>
        <w:right w:val="none" w:sz="0" w:space="0" w:color="auto"/>
      </w:divBdr>
    </w:div>
    <w:div w:id="1388916007">
      <w:bodyDiv w:val="1"/>
      <w:marLeft w:val="0"/>
      <w:marRight w:val="0"/>
      <w:marTop w:val="0"/>
      <w:marBottom w:val="0"/>
      <w:divBdr>
        <w:top w:val="none" w:sz="0" w:space="0" w:color="auto"/>
        <w:left w:val="none" w:sz="0" w:space="0" w:color="auto"/>
        <w:bottom w:val="none" w:sz="0" w:space="0" w:color="auto"/>
        <w:right w:val="none" w:sz="0" w:space="0" w:color="auto"/>
      </w:divBdr>
    </w:div>
    <w:div w:id="1495413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16</Pages>
  <Words>2529</Words>
  <Characters>14418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for BMC Nursing submission</dc:title>
  <dc:subject>Search strategies and synthesis tables</dc:subject>
  <dc:creator>Mohamnadsaeed Mirzaee</dc:creator>
  <cp:keywords/>
  <dc:description/>
  <cp:lastModifiedBy>Mohamnadsaeed Mirzaee</cp:lastModifiedBy>
  <cp:revision>15</cp:revision>
  <dcterms:created xsi:type="dcterms:W3CDTF">2026-08-20T23:06:00Z</dcterms:created>
  <dcterms:modified xsi:type="dcterms:W3CDTF">2026-08-21T13:11:00Z</dcterms:modified>
</cp:coreProperties>
</file>