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Supplementary Information</w:t>
      </w:r>
    </w:p>
    <w:p>
      <w:pPr>
        <w:jc w:val="center"/>
      </w:pPr>
      <w:r>
        <w:rPr>
          <w:b w:val="0"/>
        </w:rPr>
        <w:t>for</w:t>
      </w:r>
    </w:p>
    <w:p>
      <w:pPr>
        <w:jc w:val="center"/>
      </w:pPr>
      <w:r>
        <w:rPr>
          <w:b/>
          <w:sz w:val="24"/>
        </w:rPr>
        <w:t>Chinese National Identity, Social Capital and Common Prosperity in Ethnic Minority Regions — A Moderated Mediation Test Based on Interethnic Interaction, Exchange and Integration</w:t>
      </w:r>
    </w:p>
    <w:p>
      <w:r>
        <w:rPr>
          <w:b w:val="0"/>
        </w:rPr>
      </w:r>
    </w:p>
    <w:p>
      <w:r>
        <w:rPr>
          <w:b w:val="0"/>
        </w:rPr>
        <w:t>Contents: Supplementary Table S1 (variable selection and measurement); Supplementary Table S2 (summary of province-specific hypothesis tests); Supplementary Table S3 (summary of cross-temporal validation of research hypotheses).</w:t>
      </w:r>
    </w:p>
    <w:p>
      <w:r>
        <w:rPr>
          <w:b w:val="0"/>
        </w:rPr>
      </w:r>
    </w:p>
    <w:p>
      <w:r>
        <w:rPr>
          <w:b/>
        </w:rPr>
        <w:t>Supplementary Table S1 Variable selection and measurement</w:t>
      </w:r>
    </w:p>
    <w:tbl>
      <w:tblPr>
        <w:tblStyle w:val="33"/>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6"/>
        <w:gridCol w:w="1593"/>
        <w:gridCol w:w="1456"/>
        <w:gridCol w:w="1488"/>
        <w:gridCol w:w="2175"/>
        <w:gridCol w:w="913"/>
      </w:tblGrid>
      <w:tr w14:paraId="10E49C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tcBorders>
              <w:bottom w:val="single" w:color="auto" w:sz="4" w:space="0"/>
              <w:tl2br w:val="nil"/>
              <w:tr2bl w:val="nil"/>
            </w:tcBorders>
          </w:tcPr>
          <w:p w14:paraId="6E50E04B">
            <w:pPr>
              <w:spacing w:before="0" w:after="0" w:line="240" w:lineRule="auto"/>
              <w:jc w:val="center"/>
              <w:rPr>
                <w:rFonts w:hint="default" w:ascii="Times New Roman" w:hAnsi="Times New Roman" w:eastAsia="宋体" w:cs="Times New Roman"/>
                <w:b/>
                <w:bCs w:val="0"/>
                <w:sz w:val="18"/>
                <w:szCs w:val="18"/>
                <w:highlight w:val="none"/>
              </w:rPr>
            </w:pPr>
            <w:r>
              <w:rPr>
                <w:rFonts w:hint="default" w:ascii="Times New Roman" w:hAnsi="Times New Roman" w:eastAsia="宋体" w:cs="Times New Roman"/>
                <w:b/>
                <w:bCs w:val="0"/>
                <w:color w:val="000000"/>
                <w:sz w:val="18"/>
                <w:szCs w:val="18"/>
                <w:highlight w:val="none"/>
              </w:rPr>
              <w:t>Variable type</w:t>
            </w:r>
          </w:p>
        </w:tc>
        <w:tc>
          <w:tcPr>
            <w:tcW w:w="1593" w:type="dxa"/>
            <w:tcBorders>
              <w:bottom w:val="single" w:color="auto" w:sz="4" w:space="0"/>
              <w:tl2br w:val="nil"/>
              <w:tr2bl w:val="nil"/>
            </w:tcBorders>
          </w:tcPr>
          <w:p w14:paraId="5B070F62">
            <w:pPr>
              <w:spacing w:before="0" w:after="0" w:line="240" w:lineRule="auto"/>
              <w:jc w:val="center"/>
              <w:rPr>
                <w:rFonts w:hint="default" w:ascii="Times New Roman" w:hAnsi="Times New Roman" w:eastAsia="宋体" w:cs="Times New Roman"/>
                <w:b/>
                <w:bCs w:val="0"/>
                <w:sz w:val="18"/>
                <w:szCs w:val="18"/>
                <w:highlight w:val="none"/>
              </w:rPr>
            </w:pPr>
            <w:r>
              <w:rPr>
                <w:rFonts w:hint="default" w:ascii="Times New Roman" w:hAnsi="Times New Roman" w:eastAsia="宋体" w:cs="Times New Roman"/>
                <w:b/>
                <w:bCs w:val="0"/>
                <w:color w:val="000000"/>
                <w:sz w:val="18"/>
                <w:szCs w:val="18"/>
                <w:highlight w:val="none"/>
              </w:rPr>
              <w:t>Variable</w:t>
            </w:r>
          </w:p>
        </w:tc>
        <w:tc>
          <w:tcPr>
            <w:tcW w:w="1456" w:type="dxa"/>
            <w:tcBorders>
              <w:bottom w:val="single" w:color="auto" w:sz="4" w:space="0"/>
              <w:tl2br w:val="nil"/>
              <w:tr2bl w:val="nil"/>
            </w:tcBorders>
          </w:tcPr>
          <w:p w14:paraId="7F79CA4B">
            <w:pPr>
              <w:spacing w:before="0" w:after="0" w:line="240" w:lineRule="auto"/>
              <w:jc w:val="center"/>
              <w:rPr>
                <w:rFonts w:hint="default" w:ascii="Times New Roman" w:hAnsi="Times New Roman" w:eastAsia="宋体" w:cs="Times New Roman"/>
                <w:b/>
                <w:bCs w:val="0"/>
                <w:sz w:val="18"/>
                <w:szCs w:val="18"/>
                <w:highlight w:val="none"/>
              </w:rPr>
            </w:pPr>
            <w:r>
              <w:rPr>
                <w:rFonts w:hint="default" w:ascii="Times New Roman" w:hAnsi="Times New Roman" w:eastAsia="宋体" w:cs="Times New Roman"/>
                <w:b/>
                <w:bCs w:val="0"/>
                <w:color w:val="000000"/>
                <w:sz w:val="18"/>
                <w:szCs w:val="18"/>
                <w:highlight w:val="none"/>
              </w:rPr>
              <w:t>Primary dimension</w:t>
            </w:r>
          </w:p>
        </w:tc>
        <w:tc>
          <w:tcPr>
            <w:tcW w:w="1488" w:type="dxa"/>
            <w:tcBorders>
              <w:bottom w:val="single" w:color="auto" w:sz="4" w:space="0"/>
              <w:tl2br w:val="nil"/>
              <w:tr2bl w:val="nil"/>
            </w:tcBorders>
          </w:tcPr>
          <w:p w14:paraId="37303BB0">
            <w:pPr>
              <w:spacing w:before="0" w:after="0" w:line="240" w:lineRule="auto"/>
              <w:jc w:val="center"/>
              <w:rPr>
                <w:rFonts w:hint="default" w:ascii="Times New Roman" w:hAnsi="Times New Roman" w:eastAsia="宋体" w:cs="Times New Roman"/>
                <w:b/>
                <w:bCs w:val="0"/>
                <w:sz w:val="18"/>
                <w:szCs w:val="18"/>
                <w:highlight w:val="none"/>
              </w:rPr>
            </w:pPr>
            <w:r>
              <w:rPr>
                <w:rFonts w:hint="default" w:ascii="Times New Roman" w:hAnsi="Times New Roman" w:eastAsia="宋体" w:cs="Times New Roman"/>
                <w:b/>
                <w:bCs w:val="0"/>
                <w:color w:val="000000"/>
                <w:sz w:val="18"/>
                <w:szCs w:val="18"/>
                <w:highlight w:val="none"/>
              </w:rPr>
              <w:t>Indicator</w:t>
            </w:r>
          </w:p>
        </w:tc>
        <w:tc>
          <w:tcPr>
            <w:tcW w:w="2175" w:type="dxa"/>
            <w:tcBorders>
              <w:bottom w:val="single" w:color="auto" w:sz="4" w:space="0"/>
              <w:tl2br w:val="nil"/>
              <w:tr2bl w:val="nil"/>
            </w:tcBorders>
          </w:tcPr>
          <w:p w14:paraId="5B01BB30">
            <w:pPr>
              <w:spacing w:before="0" w:after="0" w:line="240" w:lineRule="auto"/>
              <w:jc w:val="center"/>
              <w:rPr>
                <w:rFonts w:hint="default" w:ascii="Times New Roman" w:hAnsi="Times New Roman" w:eastAsia="宋体" w:cs="Times New Roman"/>
                <w:b/>
                <w:bCs w:val="0"/>
                <w:sz w:val="18"/>
                <w:szCs w:val="18"/>
                <w:highlight w:val="none"/>
              </w:rPr>
            </w:pPr>
            <w:r>
              <w:rPr>
                <w:rFonts w:hint="default" w:ascii="Times New Roman" w:hAnsi="Times New Roman" w:eastAsia="宋体" w:cs="Times New Roman"/>
                <w:b/>
                <w:bCs w:val="0"/>
                <w:color w:val="000000"/>
                <w:sz w:val="18"/>
                <w:szCs w:val="18"/>
                <w:highlight w:val="none"/>
              </w:rPr>
              <w:t>Measurement and coding rule</w:t>
            </w:r>
          </w:p>
        </w:tc>
        <w:tc>
          <w:tcPr>
            <w:tcW w:w="913" w:type="dxa"/>
            <w:tcBorders>
              <w:bottom w:val="single" w:color="auto" w:sz="4" w:space="0"/>
              <w:tl2br w:val="nil"/>
              <w:tr2bl w:val="nil"/>
            </w:tcBorders>
          </w:tcPr>
          <w:p w14:paraId="255581B9">
            <w:pPr>
              <w:spacing w:before="0" w:after="0" w:line="240" w:lineRule="auto"/>
              <w:jc w:val="center"/>
              <w:rPr>
                <w:rFonts w:hint="default" w:ascii="Times New Roman" w:hAnsi="Times New Roman" w:eastAsia="宋体" w:cs="Times New Roman"/>
                <w:b/>
                <w:bCs w:val="0"/>
                <w:sz w:val="18"/>
                <w:szCs w:val="18"/>
                <w:highlight w:val="none"/>
              </w:rPr>
            </w:pPr>
            <w:r>
              <w:rPr>
                <w:rFonts w:hint="default" w:ascii="Times New Roman" w:hAnsi="Times New Roman" w:eastAsia="宋体" w:cs="Times New Roman"/>
                <w:b/>
                <w:bCs w:val="0"/>
                <w:color w:val="000000"/>
                <w:sz w:val="18"/>
                <w:szCs w:val="18"/>
                <w:highlight w:val="none"/>
              </w:rPr>
              <w:t>Direction</w:t>
            </w:r>
          </w:p>
        </w:tc>
      </w:tr>
      <w:tr w14:paraId="158265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096" w:type="dxa"/>
            <w:vMerge w:val="restart"/>
            <w:tcBorders>
              <w:top w:val="single" w:color="auto" w:sz="4" w:space="0"/>
              <w:tl2br w:val="nil"/>
              <w:tr2bl w:val="nil"/>
            </w:tcBorders>
          </w:tcPr>
          <w:p w14:paraId="39F02AC3">
            <w:pPr>
              <w:spacing w:before="0" w:after="0" w:line="240" w:lineRule="auto"/>
              <w:jc w:val="center"/>
              <w:rPr>
                <w:rFonts w:hint="default" w:ascii="Times New Roman" w:hAnsi="Times New Roman" w:eastAsia="宋体" w:cs="Times New Roman"/>
                <w:b w:val="0"/>
                <w:bCs/>
                <w:sz w:val="18"/>
                <w:szCs w:val="18"/>
                <w:highlight w:val="none"/>
              </w:rPr>
            </w:pPr>
          </w:p>
          <w:p w14:paraId="1CBEE46F">
            <w:pPr>
              <w:spacing w:before="0" w:after="0" w:line="240" w:lineRule="auto"/>
              <w:jc w:val="center"/>
              <w:rPr>
                <w:rFonts w:hint="default" w:ascii="Times New Roman" w:hAnsi="Times New Roman" w:eastAsia="宋体" w:cs="Times New Roman"/>
                <w:b w:val="0"/>
                <w:bCs/>
                <w:sz w:val="18"/>
                <w:szCs w:val="18"/>
                <w:highlight w:val="none"/>
              </w:rPr>
            </w:pPr>
          </w:p>
          <w:p w14:paraId="77B4C9BC">
            <w:pPr>
              <w:spacing w:before="0" w:after="0" w:line="240" w:lineRule="auto"/>
              <w:jc w:val="center"/>
              <w:rPr>
                <w:rFonts w:hint="default" w:ascii="Times New Roman" w:hAnsi="Times New Roman" w:eastAsia="宋体" w:cs="Times New Roman"/>
                <w:b w:val="0"/>
                <w:bCs/>
                <w:sz w:val="18"/>
                <w:szCs w:val="18"/>
                <w:highlight w:val="none"/>
              </w:rPr>
            </w:pPr>
          </w:p>
          <w:p w14:paraId="48461121">
            <w:pPr>
              <w:spacing w:before="0" w:after="0" w:line="240" w:lineRule="auto"/>
              <w:jc w:val="center"/>
              <w:rPr>
                <w:rFonts w:hint="default" w:ascii="Times New Roman" w:hAnsi="Times New Roman" w:eastAsia="宋体" w:cs="Times New Roman"/>
                <w:b w:val="0"/>
                <w:bCs/>
                <w:sz w:val="18"/>
                <w:szCs w:val="18"/>
                <w:highlight w:val="none"/>
              </w:rPr>
            </w:pPr>
          </w:p>
          <w:p w14:paraId="078370DE">
            <w:pPr>
              <w:spacing w:before="0" w:after="0" w:line="240" w:lineRule="auto"/>
              <w:jc w:val="center"/>
              <w:rPr>
                <w:rFonts w:hint="default" w:ascii="Times New Roman" w:hAnsi="Times New Roman" w:eastAsia="宋体" w:cs="Times New Roman"/>
                <w:b w:val="0"/>
                <w:bCs/>
                <w:sz w:val="18"/>
                <w:szCs w:val="18"/>
                <w:highlight w:val="none"/>
              </w:rPr>
            </w:pPr>
          </w:p>
          <w:p w14:paraId="53224C28">
            <w:pPr>
              <w:spacing w:before="0" w:after="0" w:line="240" w:lineRule="auto"/>
              <w:jc w:val="center"/>
              <w:rPr>
                <w:rFonts w:hint="default" w:ascii="Times New Roman" w:hAnsi="Times New Roman" w:eastAsia="宋体" w:cs="Times New Roman"/>
                <w:b w:val="0"/>
                <w:bCs/>
                <w:sz w:val="18"/>
                <w:szCs w:val="18"/>
                <w:highlight w:val="none"/>
              </w:rPr>
            </w:pPr>
          </w:p>
          <w:p w14:paraId="65C6E69F">
            <w:pPr>
              <w:spacing w:before="0" w:after="0" w:line="240" w:lineRule="auto"/>
              <w:jc w:val="center"/>
              <w:rPr>
                <w:rFonts w:hint="default" w:ascii="Times New Roman" w:hAnsi="Times New Roman" w:eastAsia="宋体" w:cs="Times New Roman"/>
                <w:b w:val="0"/>
                <w:bCs/>
                <w:sz w:val="18"/>
                <w:szCs w:val="18"/>
                <w:highlight w:val="none"/>
              </w:rPr>
            </w:pPr>
          </w:p>
          <w:p w14:paraId="05AEEF91">
            <w:pPr>
              <w:spacing w:before="0" w:after="0" w:line="240" w:lineRule="auto"/>
              <w:jc w:val="center"/>
              <w:rPr>
                <w:rFonts w:hint="default" w:ascii="Times New Roman" w:hAnsi="Times New Roman" w:eastAsia="宋体" w:cs="Times New Roman"/>
                <w:b w:val="0"/>
                <w:bCs/>
                <w:sz w:val="18"/>
                <w:szCs w:val="18"/>
                <w:highlight w:val="none"/>
              </w:rPr>
            </w:pPr>
          </w:p>
          <w:p w14:paraId="1575249E">
            <w:pPr>
              <w:spacing w:before="0" w:after="0" w:line="240" w:lineRule="auto"/>
              <w:jc w:val="center"/>
              <w:rPr>
                <w:rFonts w:hint="default" w:ascii="Times New Roman" w:hAnsi="Times New Roman" w:eastAsia="宋体" w:cs="Times New Roman"/>
                <w:b w:val="0"/>
                <w:bCs/>
                <w:sz w:val="18"/>
                <w:szCs w:val="18"/>
                <w:highlight w:val="none"/>
              </w:rPr>
            </w:pPr>
          </w:p>
          <w:p w14:paraId="3748C607">
            <w:pPr>
              <w:spacing w:before="0" w:after="0" w:line="240" w:lineRule="auto"/>
              <w:jc w:val="center"/>
              <w:rPr>
                <w:rFonts w:hint="default" w:ascii="Times New Roman" w:hAnsi="Times New Roman" w:eastAsia="宋体" w:cs="Times New Roman"/>
                <w:b w:val="0"/>
                <w:bCs/>
                <w:sz w:val="18"/>
                <w:szCs w:val="18"/>
                <w:highlight w:val="none"/>
              </w:rPr>
            </w:pPr>
          </w:p>
          <w:p w14:paraId="233B5CB0">
            <w:pPr>
              <w:spacing w:before="0" w:after="0" w:line="240" w:lineRule="auto"/>
              <w:jc w:val="center"/>
              <w:rPr>
                <w:rFonts w:hint="default" w:ascii="Times New Roman" w:hAnsi="Times New Roman" w:eastAsia="宋体" w:cs="Times New Roman"/>
                <w:b w:val="0"/>
                <w:bCs/>
                <w:sz w:val="18"/>
                <w:szCs w:val="18"/>
                <w:highlight w:val="none"/>
              </w:rPr>
            </w:pPr>
          </w:p>
          <w:p w14:paraId="5F996445">
            <w:pPr>
              <w:spacing w:before="0" w:after="0" w:line="240" w:lineRule="auto"/>
              <w:jc w:val="center"/>
              <w:rPr>
                <w:rFonts w:hint="default" w:ascii="Times New Roman" w:hAnsi="Times New Roman" w:eastAsia="宋体" w:cs="Times New Roman"/>
                <w:b w:val="0"/>
                <w:bCs/>
                <w:sz w:val="18"/>
                <w:szCs w:val="18"/>
                <w:highlight w:val="none"/>
              </w:rPr>
            </w:pPr>
          </w:p>
          <w:p w14:paraId="403A3A3F">
            <w:pPr>
              <w:spacing w:before="0" w:after="0" w:line="240" w:lineRule="auto"/>
              <w:jc w:val="center"/>
              <w:rPr>
                <w:rFonts w:hint="default" w:ascii="Times New Roman" w:hAnsi="Times New Roman" w:eastAsia="宋体" w:cs="Times New Roman"/>
                <w:b w:val="0"/>
                <w:bCs/>
                <w:sz w:val="18"/>
                <w:szCs w:val="18"/>
                <w:highlight w:val="none"/>
              </w:rPr>
            </w:pPr>
          </w:p>
          <w:p w14:paraId="42EB40F4">
            <w:pPr>
              <w:spacing w:before="0" w:after="0" w:line="240" w:lineRule="auto"/>
              <w:jc w:val="center"/>
              <w:rPr>
                <w:rFonts w:hint="default" w:ascii="Times New Roman" w:hAnsi="Times New Roman" w:eastAsia="宋体" w:cs="Times New Roman"/>
                <w:b w:val="0"/>
                <w:bCs/>
                <w:sz w:val="18"/>
                <w:szCs w:val="18"/>
                <w:highlight w:val="none"/>
              </w:rPr>
            </w:pPr>
          </w:p>
          <w:p w14:paraId="3365DC2B">
            <w:pPr>
              <w:spacing w:before="0" w:after="0" w:line="240" w:lineRule="auto"/>
              <w:jc w:val="center"/>
              <w:rPr>
                <w:rFonts w:hint="default" w:ascii="Times New Roman" w:hAnsi="Times New Roman" w:eastAsia="宋体" w:cs="Times New Roman"/>
                <w:b w:val="0"/>
                <w:bCs/>
                <w:sz w:val="18"/>
                <w:szCs w:val="18"/>
                <w:highlight w:val="none"/>
              </w:rPr>
            </w:pPr>
          </w:p>
          <w:p w14:paraId="193C2CA8">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Dependent variable</w:t>
            </w:r>
          </w:p>
          <w:p w14:paraId="5CCC08CA">
            <w:pPr>
              <w:spacing w:before="0" w:after="0" w:line="240" w:lineRule="auto"/>
              <w:jc w:val="center"/>
              <w:rPr>
                <w:rFonts w:hint="default" w:ascii="Times New Roman" w:hAnsi="Times New Roman" w:eastAsia="宋体" w:cs="Times New Roman"/>
                <w:b w:val="0"/>
                <w:bCs/>
                <w:sz w:val="18"/>
                <w:szCs w:val="18"/>
                <w:highlight w:val="none"/>
              </w:rPr>
            </w:pPr>
          </w:p>
        </w:tc>
        <w:tc>
          <w:tcPr>
            <w:tcW w:w="1593" w:type="dxa"/>
            <w:vMerge w:val="restart"/>
            <w:tcBorders>
              <w:top w:val="single" w:color="auto" w:sz="4" w:space="0"/>
              <w:tl2br w:val="nil"/>
              <w:tr2bl w:val="nil"/>
            </w:tcBorders>
          </w:tcPr>
          <w:p w14:paraId="19EFB446">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Common prosperity</w:t>
            </w:r>
          </w:p>
          <w:p w14:paraId="3FE186EB">
            <w:pPr>
              <w:spacing w:before="0" w:after="0" w:line="240" w:lineRule="auto"/>
              <w:jc w:val="center"/>
              <w:rPr>
                <w:rFonts w:hint="default" w:ascii="Times New Roman" w:hAnsi="Times New Roman" w:eastAsia="宋体" w:cs="Times New Roman"/>
                <w:b w:val="0"/>
                <w:bCs/>
                <w:sz w:val="18"/>
                <w:szCs w:val="18"/>
                <w:highlight w:val="none"/>
              </w:rPr>
            </w:pPr>
          </w:p>
          <w:p w14:paraId="298FF4C7">
            <w:pPr>
              <w:spacing w:before="0" w:after="0" w:line="240" w:lineRule="auto"/>
              <w:jc w:val="center"/>
              <w:rPr>
                <w:rFonts w:hint="default" w:ascii="Times New Roman" w:hAnsi="Times New Roman" w:eastAsia="宋体" w:cs="Times New Roman"/>
                <w:b w:val="0"/>
                <w:bCs/>
                <w:sz w:val="18"/>
                <w:szCs w:val="18"/>
                <w:highlight w:val="none"/>
              </w:rPr>
            </w:pPr>
          </w:p>
          <w:p w14:paraId="1376838A">
            <w:pPr>
              <w:spacing w:before="0" w:after="0" w:line="240" w:lineRule="auto"/>
              <w:jc w:val="center"/>
              <w:rPr>
                <w:rFonts w:hint="default" w:ascii="Times New Roman" w:hAnsi="Times New Roman" w:eastAsia="宋体" w:cs="Times New Roman"/>
                <w:b w:val="0"/>
                <w:bCs/>
                <w:sz w:val="18"/>
                <w:szCs w:val="18"/>
                <w:highlight w:val="none"/>
              </w:rPr>
            </w:pPr>
          </w:p>
          <w:p w14:paraId="71626641">
            <w:pPr>
              <w:spacing w:before="0" w:after="0" w:line="240" w:lineRule="auto"/>
              <w:jc w:val="center"/>
              <w:rPr>
                <w:rFonts w:hint="default" w:ascii="Times New Roman" w:hAnsi="Times New Roman" w:eastAsia="宋体" w:cs="Times New Roman"/>
                <w:b w:val="0"/>
                <w:bCs/>
                <w:sz w:val="18"/>
                <w:szCs w:val="18"/>
                <w:highlight w:val="none"/>
              </w:rPr>
            </w:pPr>
          </w:p>
          <w:p w14:paraId="37BD8A99">
            <w:pPr>
              <w:spacing w:before="0" w:after="0" w:line="240" w:lineRule="auto"/>
              <w:jc w:val="center"/>
              <w:rPr>
                <w:rFonts w:hint="default" w:ascii="Times New Roman" w:hAnsi="Times New Roman" w:eastAsia="宋体" w:cs="Times New Roman"/>
                <w:b w:val="0"/>
                <w:bCs/>
                <w:sz w:val="18"/>
                <w:szCs w:val="18"/>
                <w:highlight w:val="none"/>
              </w:rPr>
            </w:pPr>
          </w:p>
          <w:p w14:paraId="7D4FC21D">
            <w:pPr>
              <w:spacing w:before="0" w:after="0" w:line="240" w:lineRule="auto"/>
              <w:jc w:val="center"/>
              <w:rPr>
                <w:rFonts w:hint="default" w:ascii="Times New Roman" w:hAnsi="Times New Roman" w:eastAsia="宋体" w:cs="Times New Roman"/>
                <w:b w:val="0"/>
                <w:bCs/>
                <w:sz w:val="18"/>
                <w:szCs w:val="18"/>
                <w:highlight w:val="none"/>
              </w:rPr>
            </w:pPr>
          </w:p>
          <w:p w14:paraId="5CEBBA1E">
            <w:pPr>
              <w:spacing w:before="0" w:after="0" w:line="240" w:lineRule="auto"/>
              <w:jc w:val="center"/>
              <w:rPr>
                <w:rFonts w:hint="default" w:ascii="Times New Roman" w:hAnsi="Times New Roman" w:eastAsia="宋体" w:cs="Times New Roman"/>
                <w:b w:val="0"/>
                <w:bCs/>
                <w:sz w:val="18"/>
                <w:szCs w:val="18"/>
                <w:highlight w:val="none"/>
              </w:rPr>
            </w:pPr>
          </w:p>
          <w:p w14:paraId="6797A711">
            <w:pPr>
              <w:spacing w:before="0" w:after="0" w:line="240" w:lineRule="auto"/>
              <w:jc w:val="center"/>
              <w:rPr>
                <w:rFonts w:hint="default" w:ascii="Times New Roman" w:hAnsi="Times New Roman" w:eastAsia="宋体" w:cs="Times New Roman"/>
                <w:b w:val="0"/>
                <w:bCs/>
                <w:sz w:val="18"/>
                <w:szCs w:val="18"/>
                <w:highlight w:val="none"/>
              </w:rPr>
            </w:pPr>
          </w:p>
          <w:p w14:paraId="0711B842">
            <w:pPr>
              <w:spacing w:before="0" w:after="0" w:line="240" w:lineRule="auto"/>
              <w:jc w:val="center"/>
              <w:rPr>
                <w:rFonts w:hint="default" w:ascii="Times New Roman" w:hAnsi="Times New Roman" w:eastAsia="宋体" w:cs="Times New Roman"/>
                <w:b w:val="0"/>
                <w:bCs/>
                <w:sz w:val="18"/>
                <w:szCs w:val="18"/>
                <w:highlight w:val="none"/>
              </w:rPr>
            </w:pPr>
          </w:p>
          <w:p w14:paraId="0F6119C6">
            <w:pPr>
              <w:spacing w:before="0" w:after="0" w:line="240" w:lineRule="auto"/>
              <w:jc w:val="center"/>
              <w:rPr>
                <w:rFonts w:hint="default" w:ascii="Times New Roman" w:hAnsi="Times New Roman" w:eastAsia="宋体" w:cs="Times New Roman"/>
                <w:b w:val="0"/>
                <w:bCs/>
                <w:sz w:val="18"/>
                <w:szCs w:val="18"/>
                <w:highlight w:val="none"/>
              </w:rPr>
            </w:pPr>
          </w:p>
          <w:p w14:paraId="4C887CD1">
            <w:pPr>
              <w:spacing w:before="0" w:after="0" w:line="240" w:lineRule="auto"/>
              <w:jc w:val="center"/>
              <w:rPr>
                <w:rFonts w:hint="default" w:ascii="Times New Roman" w:hAnsi="Times New Roman" w:eastAsia="宋体" w:cs="Times New Roman"/>
                <w:b w:val="0"/>
                <w:bCs/>
                <w:sz w:val="18"/>
                <w:szCs w:val="18"/>
                <w:highlight w:val="none"/>
              </w:rPr>
            </w:pPr>
          </w:p>
          <w:p w14:paraId="056FCC51">
            <w:pPr>
              <w:spacing w:before="0" w:after="0" w:line="240" w:lineRule="auto"/>
              <w:jc w:val="center"/>
              <w:rPr>
                <w:rFonts w:hint="default" w:ascii="Times New Roman" w:hAnsi="Times New Roman" w:eastAsia="宋体" w:cs="Times New Roman"/>
                <w:b w:val="0"/>
                <w:bCs/>
                <w:sz w:val="18"/>
                <w:szCs w:val="18"/>
                <w:highlight w:val="none"/>
              </w:rPr>
            </w:pPr>
          </w:p>
          <w:p w14:paraId="283555EE">
            <w:pPr>
              <w:spacing w:before="0" w:after="0" w:line="240" w:lineRule="auto"/>
              <w:jc w:val="center"/>
              <w:rPr>
                <w:rFonts w:hint="default" w:ascii="Times New Roman" w:hAnsi="Times New Roman" w:eastAsia="宋体" w:cs="Times New Roman"/>
                <w:b w:val="0"/>
                <w:bCs/>
                <w:sz w:val="18"/>
                <w:szCs w:val="18"/>
                <w:highlight w:val="none"/>
              </w:rPr>
            </w:pPr>
          </w:p>
          <w:p w14:paraId="078FEDF9">
            <w:pPr>
              <w:spacing w:before="0" w:after="0" w:line="240" w:lineRule="auto"/>
              <w:jc w:val="center"/>
              <w:rPr>
                <w:rFonts w:hint="default" w:ascii="Times New Roman" w:hAnsi="Times New Roman" w:eastAsia="宋体" w:cs="Times New Roman"/>
                <w:b w:val="0"/>
                <w:bCs/>
                <w:sz w:val="18"/>
                <w:szCs w:val="18"/>
                <w:highlight w:val="none"/>
              </w:rPr>
            </w:pPr>
          </w:p>
          <w:p w14:paraId="53FC3A88">
            <w:pPr>
              <w:spacing w:before="0" w:after="0" w:line="240" w:lineRule="auto"/>
              <w:jc w:val="center"/>
              <w:rPr>
                <w:rFonts w:hint="default" w:ascii="Times New Roman" w:hAnsi="Times New Roman" w:eastAsia="宋体" w:cs="Times New Roman"/>
                <w:b w:val="0"/>
                <w:bCs/>
                <w:sz w:val="18"/>
                <w:szCs w:val="18"/>
                <w:highlight w:val="none"/>
              </w:rPr>
            </w:pPr>
          </w:p>
          <w:p w14:paraId="1A256DFB">
            <w:pPr>
              <w:spacing w:before="0" w:after="0" w:line="240" w:lineRule="auto"/>
              <w:jc w:val="center"/>
              <w:rPr>
                <w:rFonts w:hint="default" w:ascii="Times New Roman" w:hAnsi="Times New Roman" w:eastAsia="宋体" w:cs="Times New Roman"/>
                <w:b w:val="0"/>
                <w:bCs/>
                <w:sz w:val="18"/>
                <w:szCs w:val="18"/>
                <w:highlight w:val="none"/>
              </w:rPr>
            </w:pPr>
          </w:p>
        </w:tc>
        <w:tc>
          <w:tcPr>
            <w:tcW w:w="1456" w:type="dxa"/>
            <w:vMerge w:val="restart"/>
            <w:tcBorders>
              <w:top w:val="single" w:color="auto" w:sz="4" w:space="0"/>
              <w:tl2br w:val="nil"/>
              <w:tr2bl w:val="nil"/>
            </w:tcBorders>
          </w:tcPr>
          <w:p w14:paraId="57F89C4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Material prosperity</w:t>
            </w:r>
          </w:p>
          <w:p w14:paraId="587C1B96">
            <w:pPr>
              <w:spacing w:before="0" w:after="0" w:line="240" w:lineRule="auto"/>
              <w:jc w:val="center"/>
              <w:rPr>
                <w:rFonts w:hint="default" w:ascii="Times New Roman" w:hAnsi="Times New Roman" w:eastAsia="宋体" w:cs="Times New Roman"/>
                <w:b w:val="0"/>
                <w:bCs/>
                <w:sz w:val="18"/>
                <w:szCs w:val="18"/>
                <w:highlight w:val="none"/>
              </w:rPr>
            </w:pPr>
          </w:p>
          <w:p w14:paraId="228A8F6F">
            <w:pPr>
              <w:spacing w:before="0" w:after="0" w:line="240" w:lineRule="auto"/>
              <w:jc w:val="center"/>
              <w:rPr>
                <w:rFonts w:hint="default" w:ascii="Times New Roman" w:hAnsi="Times New Roman" w:eastAsia="宋体" w:cs="Times New Roman"/>
                <w:b w:val="0"/>
                <w:bCs/>
                <w:sz w:val="18"/>
                <w:szCs w:val="18"/>
                <w:highlight w:val="none"/>
              </w:rPr>
            </w:pPr>
          </w:p>
          <w:p w14:paraId="431CE8AE">
            <w:pPr>
              <w:spacing w:before="0" w:after="0" w:line="240" w:lineRule="auto"/>
              <w:jc w:val="center"/>
              <w:rPr>
                <w:rFonts w:hint="default" w:ascii="Times New Roman" w:hAnsi="Times New Roman" w:eastAsia="宋体" w:cs="Times New Roman"/>
                <w:b w:val="0"/>
                <w:bCs/>
                <w:sz w:val="18"/>
                <w:szCs w:val="18"/>
                <w:highlight w:val="none"/>
              </w:rPr>
            </w:pPr>
          </w:p>
          <w:p w14:paraId="0838CB74">
            <w:pPr>
              <w:spacing w:before="0" w:after="0" w:line="240" w:lineRule="auto"/>
              <w:jc w:val="center"/>
              <w:rPr>
                <w:rFonts w:hint="default" w:ascii="Times New Roman" w:hAnsi="Times New Roman" w:eastAsia="宋体" w:cs="Times New Roman"/>
                <w:b w:val="0"/>
                <w:bCs/>
                <w:sz w:val="18"/>
                <w:szCs w:val="18"/>
                <w:highlight w:val="none"/>
              </w:rPr>
            </w:pPr>
          </w:p>
          <w:p w14:paraId="76115445">
            <w:pPr>
              <w:spacing w:before="0" w:after="0" w:line="240" w:lineRule="auto"/>
              <w:jc w:val="center"/>
              <w:rPr>
                <w:rFonts w:hint="default" w:ascii="Times New Roman" w:hAnsi="Times New Roman" w:eastAsia="宋体" w:cs="Times New Roman"/>
                <w:b w:val="0"/>
                <w:bCs/>
                <w:sz w:val="18"/>
                <w:szCs w:val="18"/>
                <w:highlight w:val="none"/>
              </w:rPr>
            </w:pPr>
          </w:p>
          <w:p w14:paraId="6CE248E8">
            <w:pPr>
              <w:spacing w:before="0" w:after="0" w:line="240" w:lineRule="auto"/>
              <w:jc w:val="center"/>
              <w:rPr>
                <w:rFonts w:hint="default" w:ascii="Times New Roman" w:hAnsi="Times New Roman" w:eastAsia="宋体" w:cs="Times New Roman"/>
                <w:b w:val="0"/>
                <w:bCs/>
                <w:sz w:val="18"/>
                <w:szCs w:val="18"/>
                <w:highlight w:val="none"/>
              </w:rPr>
            </w:pPr>
          </w:p>
        </w:tc>
        <w:tc>
          <w:tcPr>
            <w:tcW w:w="1488" w:type="dxa"/>
            <w:tcBorders>
              <w:top w:val="single" w:color="auto" w:sz="4" w:space="0"/>
              <w:tl2br w:val="nil"/>
              <w:tr2bl w:val="nil"/>
            </w:tcBorders>
          </w:tcPr>
          <w:p w14:paraId="0CF2A2F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Per capita annual household income</w:t>
            </w:r>
          </w:p>
        </w:tc>
        <w:tc>
          <w:tcPr>
            <w:tcW w:w="2175" w:type="dxa"/>
            <w:tcBorders>
              <w:top w:val="single" w:color="auto" w:sz="4" w:space="0"/>
              <w:tl2br w:val="nil"/>
              <w:tr2bl w:val="nil"/>
            </w:tcBorders>
          </w:tcPr>
          <w:p w14:paraId="1ED0DE90">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 = CNY 5,000 or less to 7 = CNY 50,001 or more; 7-point ordinal coding</w:t>
            </w:r>
          </w:p>
        </w:tc>
        <w:tc>
          <w:tcPr>
            <w:tcW w:w="913" w:type="dxa"/>
            <w:tcBorders>
              <w:top w:val="single" w:color="auto" w:sz="4" w:space="0"/>
              <w:tl2br w:val="nil"/>
              <w:tr2bl w:val="nil"/>
            </w:tcBorders>
          </w:tcPr>
          <w:p w14:paraId="462645C8">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08B6DE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26892BA6">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51383863">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continue"/>
            <w:tcBorders>
              <w:tl2br w:val="nil"/>
              <w:tr2bl w:val="nil"/>
            </w:tcBorders>
          </w:tcPr>
          <w:p w14:paraId="2375ECA1">
            <w:pPr>
              <w:spacing w:before="20" w:after="2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24A9C24E">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Number of housing properties owned</w:t>
            </w:r>
          </w:p>
        </w:tc>
        <w:tc>
          <w:tcPr>
            <w:tcW w:w="2175" w:type="dxa"/>
            <w:tcBorders>
              <w:tl2br w:val="nil"/>
              <w:tr2bl w:val="nil"/>
            </w:tcBorders>
          </w:tcPr>
          <w:p w14:paraId="2100FF71">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Actual number of housing units owned by the household</w:t>
            </w:r>
          </w:p>
        </w:tc>
        <w:tc>
          <w:tcPr>
            <w:tcW w:w="913" w:type="dxa"/>
            <w:tcBorders>
              <w:tl2br w:val="nil"/>
              <w:tr2bl w:val="nil"/>
            </w:tcBorders>
          </w:tcPr>
          <w:p w14:paraId="415683E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60FA69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0" w:hRule="atLeast"/>
          <w:jc w:val="center"/>
        </w:trPr>
        <w:tc>
          <w:tcPr>
            <w:tcW w:w="1096" w:type="dxa"/>
            <w:vMerge w:val="continue"/>
            <w:tcBorders>
              <w:tl2br w:val="nil"/>
              <w:tr2bl w:val="nil"/>
            </w:tcBorders>
          </w:tcPr>
          <w:p w14:paraId="62890A28">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08C1D85D">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continue"/>
            <w:tcBorders>
              <w:tl2br w:val="nil"/>
              <w:tr2bl w:val="nil"/>
            </w:tcBorders>
          </w:tcPr>
          <w:p w14:paraId="276A9BA7">
            <w:pPr>
              <w:spacing w:before="20" w:after="2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62EACA4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Participation in four types of social security</w:t>
            </w:r>
          </w:p>
        </w:tc>
        <w:tc>
          <w:tcPr>
            <w:tcW w:w="2175" w:type="dxa"/>
            <w:tcBorders>
              <w:tl2br w:val="nil"/>
              <w:tr2bl w:val="nil"/>
            </w:tcBorders>
          </w:tcPr>
          <w:p w14:paraId="38C80447">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Urban–rural medical insurance, urban–rural pension insurance, commercial medical insurance, and commercial pension insurance; 0 = not enrolled, 1 = enrolled; mean of the four items</w:t>
            </w:r>
          </w:p>
        </w:tc>
        <w:tc>
          <w:tcPr>
            <w:tcW w:w="913" w:type="dxa"/>
            <w:tcBorders>
              <w:tl2br w:val="nil"/>
              <w:tr2bl w:val="nil"/>
            </w:tcBorders>
          </w:tcPr>
          <w:p w14:paraId="7CFC819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5D6335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25592E3C">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71C0D09C">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restart"/>
            <w:tcBorders>
              <w:tl2br w:val="nil"/>
              <w:tr2bl w:val="nil"/>
            </w:tcBorders>
          </w:tcPr>
          <w:p w14:paraId="08127794">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Spiritual fulfilment</w:t>
            </w:r>
          </w:p>
          <w:p w14:paraId="35663C43">
            <w:pPr>
              <w:spacing w:before="0" w:after="0" w:line="240" w:lineRule="auto"/>
              <w:jc w:val="center"/>
              <w:rPr>
                <w:rFonts w:hint="default" w:ascii="Times New Roman" w:hAnsi="Times New Roman" w:eastAsia="宋体" w:cs="Times New Roman"/>
                <w:b w:val="0"/>
                <w:bCs/>
                <w:sz w:val="18"/>
                <w:szCs w:val="18"/>
                <w:highlight w:val="none"/>
              </w:rPr>
            </w:pPr>
          </w:p>
          <w:p w14:paraId="1C883908">
            <w:pPr>
              <w:spacing w:before="0" w:after="0" w:line="240" w:lineRule="auto"/>
              <w:jc w:val="center"/>
              <w:rPr>
                <w:rFonts w:hint="default" w:ascii="Times New Roman" w:hAnsi="Times New Roman" w:eastAsia="宋体" w:cs="Times New Roman"/>
                <w:b w:val="0"/>
                <w:bCs/>
                <w:sz w:val="18"/>
                <w:szCs w:val="18"/>
                <w:highlight w:val="none"/>
              </w:rPr>
            </w:pPr>
          </w:p>
          <w:p w14:paraId="39CA8035">
            <w:pPr>
              <w:spacing w:before="0" w:after="0" w:line="240" w:lineRule="auto"/>
              <w:jc w:val="center"/>
              <w:rPr>
                <w:rFonts w:hint="default" w:ascii="Times New Roman" w:hAnsi="Times New Roman" w:eastAsia="宋体" w:cs="Times New Roman"/>
                <w:b w:val="0"/>
                <w:bCs/>
                <w:sz w:val="18"/>
                <w:szCs w:val="18"/>
                <w:highlight w:val="none"/>
              </w:rPr>
            </w:pPr>
          </w:p>
          <w:p w14:paraId="6691FC8B">
            <w:pPr>
              <w:spacing w:before="0" w:after="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0AB918A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Social class identification</w:t>
            </w:r>
          </w:p>
        </w:tc>
        <w:tc>
          <w:tcPr>
            <w:tcW w:w="2175" w:type="dxa"/>
            <w:tcBorders>
              <w:tl2br w:val="nil"/>
              <w:tr2bl w:val="nil"/>
            </w:tcBorders>
          </w:tcPr>
          <w:p w14:paraId="57AB661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1–8 occupational prestige scale; 1 = agricultural labourer, 8 = state and social manager</w:t>
            </w:r>
          </w:p>
        </w:tc>
        <w:tc>
          <w:tcPr>
            <w:tcW w:w="913" w:type="dxa"/>
            <w:tcBorders>
              <w:tl2br w:val="nil"/>
              <w:tr2bl w:val="nil"/>
            </w:tcBorders>
          </w:tcPr>
          <w:p w14:paraId="1AEA53F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7FC1FC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03C8021B">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0B860E70">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continue"/>
            <w:tcBorders>
              <w:tl2br w:val="nil"/>
              <w:tr2bl w:val="nil"/>
            </w:tcBorders>
          </w:tcPr>
          <w:p w14:paraId="2B2A2A9E">
            <w:pPr>
              <w:spacing w:before="20" w:after="2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1589000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Subjective well-being</w:t>
            </w:r>
          </w:p>
        </w:tc>
        <w:tc>
          <w:tcPr>
            <w:tcW w:w="2175" w:type="dxa"/>
            <w:tcBorders>
              <w:tl2br w:val="nil"/>
              <w:tr2bl w:val="nil"/>
            </w:tcBorders>
          </w:tcPr>
          <w:p w14:paraId="3837882D">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5-point Likert scale; 1 = very unhappy, 5 = very happy</w:t>
            </w:r>
          </w:p>
        </w:tc>
        <w:tc>
          <w:tcPr>
            <w:tcW w:w="913" w:type="dxa"/>
            <w:tcBorders>
              <w:tl2br w:val="nil"/>
              <w:tr2bl w:val="nil"/>
            </w:tcBorders>
          </w:tcPr>
          <w:p w14:paraId="7F1F0E5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36D635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710A8442">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4F88A96C">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restart"/>
            <w:tcBorders>
              <w:tl2br w:val="nil"/>
              <w:tr2bl w:val="nil"/>
            </w:tcBorders>
          </w:tcPr>
          <w:p w14:paraId="17D9A458">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Level of sharing</w:t>
            </w:r>
          </w:p>
          <w:p w14:paraId="01D1D34C">
            <w:pPr>
              <w:spacing w:before="0" w:after="0" w:line="240" w:lineRule="auto"/>
              <w:jc w:val="center"/>
              <w:rPr>
                <w:rFonts w:hint="default" w:ascii="Times New Roman" w:hAnsi="Times New Roman" w:eastAsia="宋体" w:cs="Times New Roman"/>
                <w:b w:val="0"/>
                <w:bCs/>
                <w:sz w:val="18"/>
                <w:szCs w:val="18"/>
                <w:highlight w:val="none"/>
              </w:rPr>
            </w:pPr>
          </w:p>
          <w:p w14:paraId="3100FB96">
            <w:pPr>
              <w:spacing w:before="0" w:after="0" w:line="240" w:lineRule="auto"/>
              <w:jc w:val="center"/>
              <w:rPr>
                <w:rFonts w:hint="default" w:ascii="Times New Roman" w:hAnsi="Times New Roman" w:eastAsia="宋体" w:cs="Times New Roman"/>
                <w:b w:val="0"/>
                <w:bCs/>
                <w:sz w:val="18"/>
                <w:szCs w:val="18"/>
                <w:highlight w:val="none"/>
              </w:rPr>
            </w:pPr>
          </w:p>
          <w:p w14:paraId="2F0829A3">
            <w:pPr>
              <w:spacing w:before="0" w:after="0" w:line="240" w:lineRule="auto"/>
              <w:jc w:val="center"/>
              <w:rPr>
                <w:rFonts w:hint="default" w:ascii="Times New Roman" w:hAnsi="Times New Roman" w:eastAsia="宋体" w:cs="Times New Roman"/>
                <w:b w:val="0"/>
                <w:bCs/>
                <w:sz w:val="18"/>
                <w:szCs w:val="18"/>
                <w:highlight w:val="none"/>
              </w:rPr>
            </w:pPr>
          </w:p>
          <w:p w14:paraId="47FB3A65">
            <w:pPr>
              <w:spacing w:before="0" w:after="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03F973C7">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Perceived social fairness</w:t>
            </w:r>
          </w:p>
        </w:tc>
        <w:tc>
          <w:tcPr>
            <w:tcW w:w="2175" w:type="dxa"/>
            <w:tcBorders>
              <w:tl2br w:val="nil"/>
              <w:tr2bl w:val="nil"/>
            </w:tcBorders>
          </w:tcPr>
          <w:p w14:paraId="1BF4A6A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5-point scale; 1 = very unfair, 5 = very fair</w:t>
            </w:r>
          </w:p>
        </w:tc>
        <w:tc>
          <w:tcPr>
            <w:tcW w:w="913" w:type="dxa"/>
            <w:tcBorders>
              <w:tl2br w:val="nil"/>
              <w:tr2bl w:val="nil"/>
            </w:tcBorders>
          </w:tcPr>
          <w:p w14:paraId="6949C05E">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6829B6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jc w:val="center"/>
        </w:trPr>
        <w:tc>
          <w:tcPr>
            <w:tcW w:w="1096" w:type="dxa"/>
            <w:vMerge w:val="continue"/>
            <w:tcBorders>
              <w:tl2br w:val="nil"/>
              <w:tr2bl w:val="nil"/>
            </w:tcBorders>
          </w:tcPr>
          <w:p w14:paraId="2B10655B">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598759F7">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continue"/>
            <w:tcBorders>
              <w:tl2br w:val="nil"/>
              <w:tr2bl w:val="nil"/>
            </w:tcBorders>
          </w:tcPr>
          <w:p w14:paraId="5065731A">
            <w:pPr>
              <w:spacing w:before="20" w:after="2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6EB29A8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Perceived wealth gap</w:t>
            </w:r>
          </w:p>
        </w:tc>
        <w:tc>
          <w:tcPr>
            <w:tcW w:w="2175" w:type="dxa"/>
            <w:tcBorders>
              <w:tl2br w:val="nil"/>
              <w:tr2bl w:val="nil"/>
            </w:tcBorders>
          </w:tcPr>
          <w:p w14:paraId="2FF242EE">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0 = not regarded as the leading social problem, 1 = regarded as the leading social problem; reverse-standardised before entropy synthesis</w:t>
            </w:r>
          </w:p>
        </w:tc>
        <w:tc>
          <w:tcPr>
            <w:tcW w:w="913" w:type="dxa"/>
            <w:tcBorders>
              <w:tl2br w:val="nil"/>
              <w:tr2bl w:val="nil"/>
            </w:tcBorders>
          </w:tcPr>
          <w:p w14:paraId="62D7896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Negative</w:t>
            </w:r>
          </w:p>
        </w:tc>
      </w:tr>
      <w:tr w14:paraId="3186D5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tcBorders>
              <w:tl2br w:val="nil"/>
              <w:tr2bl w:val="nil"/>
            </w:tcBorders>
          </w:tcPr>
          <w:p w14:paraId="12F11D6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Core independent variable</w:t>
            </w:r>
          </w:p>
        </w:tc>
        <w:tc>
          <w:tcPr>
            <w:tcW w:w="1593" w:type="dxa"/>
            <w:tcBorders>
              <w:tl2br w:val="nil"/>
              <w:tr2bl w:val="nil"/>
            </w:tcBorders>
          </w:tcPr>
          <w:p w14:paraId="2AB1459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Chinese national identity (CNI)</w:t>
            </w:r>
          </w:p>
        </w:tc>
        <w:tc>
          <w:tcPr>
            <w:tcW w:w="1456" w:type="dxa"/>
            <w:tcBorders>
              <w:tl2br w:val="nil"/>
              <w:tr2bl w:val="nil"/>
            </w:tcBorders>
          </w:tcPr>
          <w:p w14:paraId="6F83ED16">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five dimensions of identification</w:t>
            </w:r>
          </w:p>
        </w:tc>
        <w:tc>
          <w:tcPr>
            <w:tcW w:w="1488" w:type="dxa"/>
            <w:tcBorders>
              <w:tl2br w:val="nil"/>
              <w:tr2bl w:val="nil"/>
            </w:tcBorders>
          </w:tcPr>
          <w:p w14:paraId="10CF7486">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Items on identification with the motherland, the Chinese nation, Chinese culture, the CPC, and socialism with Chinese characteristics</w:t>
            </w:r>
          </w:p>
        </w:tc>
        <w:tc>
          <w:tcPr>
            <w:tcW w:w="2175" w:type="dxa"/>
            <w:tcBorders>
              <w:tl2br w:val="nil"/>
              <w:tr2bl w:val="nil"/>
            </w:tcBorders>
          </w:tcPr>
          <w:p w14:paraId="1D71674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Identification items on 1–5 Likert scales, with matching satisfaction items on 1–10 scales; synthesised into a composite index by the entropy weight method</w:t>
            </w:r>
          </w:p>
        </w:tc>
        <w:tc>
          <w:tcPr>
            <w:tcW w:w="913" w:type="dxa"/>
            <w:tcBorders>
              <w:tl2br w:val="nil"/>
              <w:tr2bl w:val="nil"/>
            </w:tcBorders>
          </w:tcPr>
          <w:p w14:paraId="2BAE99B7">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4789FD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restart"/>
            <w:tcBorders>
              <w:tl2br w:val="nil"/>
              <w:tr2bl w:val="nil"/>
            </w:tcBorders>
          </w:tcPr>
          <w:p w14:paraId="7AB22D4C">
            <w:pPr>
              <w:spacing w:before="0" w:after="0" w:line="240" w:lineRule="auto"/>
              <w:jc w:val="center"/>
              <w:rPr>
                <w:rFonts w:hint="default" w:ascii="Times New Roman" w:hAnsi="Times New Roman" w:eastAsia="宋体" w:cs="Times New Roman"/>
                <w:b w:val="0"/>
                <w:bCs/>
                <w:sz w:val="18"/>
                <w:szCs w:val="18"/>
                <w:highlight w:val="none"/>
              </w:rPr>
            </w:pPr>
          </w:p>
          <w:p w14:paraId="3F2AAC5E">
            <w:pPr>
              <w:spacing w:before="0" w:after="0" w:line="240" w:lineRule="auto"/>
              <w:jc w:val="center"/>
              <w:rPr>
                <w:rFonts w:hint="default" w:ascii="Times New Roman" w:hAnsi="Times New Roman" w:eastAsia="宋体" w:cs="Times New Roman"/>
                <w:b w:val="0"/>
                <w:bCs/>
                <w:sz w:val="18"/>
                <w:szCs w:val="18"/>
                <w:highlight w:val="none"/>
              </w:rPr>
            </w:pPr>
          </w:p>
          <w:p w14:paraId="55B8CD49">
            <w:pPr>
              <w:spacing w:before="0" w:after="0" w:line="240" w:lineRule="auto"/>
              <w:jc w:val="center"/>
              <w:rPr>
                <w:rFonts w:hint="default" w:ascii="Times New Roman" w:hAnsi="Times New Roman" w:eastAsia="宋体" w:cs="Times New Roman"/>
                <w:b w:val="0"/>
                <w:bCs/>
                <w:sz w:val="18"/>
                <w:szCs w:val="18"/>
                <w:highlight w:val="none"/>
              </w:rPr>
            </w:pPr>
          </w:p>
          <w:p w14:paraId="5B9EF17C">
            <w:pPr>
              <w:spacing w:before="0" w:after="0" w:line="240" w:lineRule="auto"/>
              <w:jc w:val="center"/>
              <w:rPr>
                <w:rFonts w:hint="default" w:ascii="Times New Roman" w:hAnsi="Times New Roman" w:eastAsia="宋体" w:cs="Times New Roman"/>
                <w:b w:val="0"/>
                <w:bCs/>
                <w:sz w:val="18"/>
                <w:szCs w:val="18"/>
                <w:highlight w:val="none"/>
              </w:rPr>
            </w:pPr>
          </w:p>
          <w:p w14:paraId="4EEC2D3C">
            <w:pPr>
              <w:spacing w:before="0" w:after="0" w:line="240" w:lineRule="auto"/>
              <w:jc w:val="center"/>
              <w:rPr>
                <w:rFonts w:hint="default" w:ascii="Times New Roman" w:hAnsi="Times New Roman" w:eastAsia="宋体" w:cs="Times New Roman"/>
                <w:b w:val="0"/>
                <w:bCs/>
                <w:sz w:val="18"/>
                <w:szCs w:val="18"/>
                <w:highlight w:val="none"/>
              </w:rPr>
            </w:pPr>
          </w:p>
          <w:p w14:paraId="396AC912">
            <w:pPr>
              <w:spacing w:before="0" w:after="0" w:line="240" w:lineRule="auto"/>
              <w:jc w:val="center"/>
              <w:rPr>
                <w:rFonts w:hint="default" w:ascii="Times New Roman" w:hAnsi="Times New Roman" w:eastAsia="宋体" w:cs="Times New Roman"/>
                <w:b w:val="0"/>
                <w:bCs/>
                <w:sz w:val="18"/>
                <w:szCs w:val="18"/>
                <w:highlight w:val="none"/>
              </w:rPr>
            </w:pPr>
          </w:p>
          <w:p w14:paraId="252E842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Mediating variable</w:t>
            </w:r>
          </w:p>
          <w:p w14:paraId="0BD1582F">
            <w:pPr>
              <w:spacing w:before="0" w:after="0" w:line="240" w:lineRule="auto"/>
              <w:jc w:val="center"/>
              <w:rPr>
                <w:rFonts w:hint="default" w:ascii="Times New Roman" w:hAnsi="Times New Roman" w:eastAsia="宋体" w:cs="Times New Roman"/>
                <w:b w:val="0"/>
                <w:bCs/>
                <w:sz w:val="18"/>
                <w:szCs w:val="18"/>
                <w:highlight w:val="none"/>
              </w:rPr>
            </w:pPr>
          </w:p>
        </w:tc>
        <w:tc>
          <w:tcPr>
            <w:tcW w:w="1593" w:type="dxa"/>
            <w:vMerge w:val="restart"/>
            <w:tcBorders>
              <w:tl2br w:val="nil"/>
              <w:tr2bl w:val="nil"/>
            </w:tcBorders>
          </w:tcPr>
          <w:p w14:paraId="59F02DB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Social capital</w:t>
            </w:r>
          </w:p>
          <w:p w14:paraId="129AD391">
            <w:pPr>
              <w:spacing w:before="0" w:after="0" w:line="240" w:lineRule="auto"/>
              <w:jc w:val="center"/>
              <w:rPr>
                <w:rFonts w:hint="default" w:ascii="Times New Roman" w:hAnsi="Times New Roman" w:eastAsia="宋体" w:cs="Times New Roman"/>
                <w:b w:val="0"/>
                <w:bCs/>
                <w:sz w:val="18"/>
                <w:szCs w:val="18"/>
                <w:highlight w:val="none"/>
              </w:rPr>
            </w:pPr>
          </w:p>
          <w:p w14:paraId="352D8C00">
            <w:pPr>
              <w:spacing w:before="0" w:after="0" w:line="240" w:lineRule="auto"/>
              <w:jc w:val="center"/>
              <w:rPr>
                <w:rFonts w:hint="default" w:ascii="Times New Roman" w:hAnsi="Times New Roman" w:eastAsia="宋体" w:cs="Times New Roman"/>
                <w:b w:val="0"/>
                <w:bCs/>
                <w:sz w:val="18"/>
                <w:szCs w:val="18"/>
                <w:highlight w:val="none"/>
              </w:rPr>
            </w:pPr>
          </w:p>
          <w:p w14:paraId="0D69B373">
            <w:pPr>
              <w:spacing w:before="0" w:after="0" w:line="240" w:lineRule="auto"/>
              <w:jc w:val="center"/>
              <w:rPr>
                <w:rFonts w:hint="default" w:ascii="Times New Roman" w:hAnsi="Times New Roman" w:eastAsia="宋体" w:cs="Times New Roman"/>
                <w:b w:val="0"/>
                <w:bCs/>
                <w:sz w:val="18"/>
                <w:szCs w:val="18"/>
                <w:highlight w:val="none"/>
              </w:rPr>
            </w:pPr>
          </w:p>
          <w:p w14:paraId="63142280">
            <w:pPr>
              <w:spacing w:before="0" w:after="0" w:line="240" w:lineRule="auto"/>
              <w:jc w:val="center"/>
              <w:rPr>
                <w:rFonts w:hint="default" w:ascii="Times New Roman" w:hAnsi="Times New Roman" w:eastAsia="宋体" w:cs="Times New Roman"/>
                <w:b w:val="0"/>
                <w:bCs/>
                <w:sz w:val="18"/>
                <w:szCs w:val="18"/>
                <w:highlight w:val="none"/>
              </w:rPr>
            </w:pPr>
          </w:p>
          <w:p w14:paraId="49EEE0F4">
            <w:pPr>
              <w:spacing w:before="0" w:after="0" w:line="240" w:lineRule="auto"/>
              <w:jc w:val="center"/>
              <w:rPr>
                <w:rFonts w:hint="default" w:ascii="Times New Roman" w:hAnsi="Times New Roman" w:eastAsia="宋体" w:cs="Times New Roman"/>
                <w:b w:val="0"/>
                <w:bCs/>
                <w:sz w:val="18"/>
                <w:szCs w:val="18"/>
                <w:highlight w:val="none"/>
              </w:rPr>
            </w:pPr>
          </w:p>
          <w:p w14:paraId="260399F0">
            <w:pPr>
              <w:spacing w:before="0" w:after="0" w:line="240" w:lineRule="auto"/>
              <w:jc w:val="center"/>
              <w:rPr>
                <w:rFonts w:hint="default" w:ascii="Times New Roman" w:hAnsi="Times New Roman" w:eastAsia="宋体" w:cs="Times New Roman"/>
                <w:b w:val="0"/>
                <w:bCs/>
                <w:sz w:val="18"/>
                <w:szCs w:val="18"/>
                <w:highlight w:val="none"/>
              </w:rPr>
            </w:pPr>
          </w:p>
          <w:p w14:paraId="05D5889D">
            <w:pPr>
              <w:spacing w:before="0" w:after="0" w:line="240" w:lineRule="auto"/>
              <w:jc w:val="center"/>
              <w:rPr>
                <w:rFonts w:hint="default" w:ascii="Times New Roman" w:hAnsi="Times New Roman" w:eastAsia="宋体" w:cs="Times New Roman"/>
                <w:b w:val="0"/>
                <w:bCs/>
                <w:sz w:val="18"/>
                <w:szCs w:val="18"/>
                <w:highlight w:val="none"/>
              </w:rPr>
            </w:pPr>
          </w:p>
        </w:tc>
        <w:tc>
          <w:tcPr>
            <w:tcW w:w="1456" w:type="dxa"/>
            <w:vMerge w:val="restart"/>
            <w:tcBorders>
              <w:tl2br w:val="nil"/>
              <w:tr2bl w:val="nil"/>
            </w:tcBorders>
          </w:tcPr>
          <w:p w14:paraId="5A8C8014">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Participatory capital</w:t>
            </w:r>
          </w:p>
          <w:p w14:paraId="01389017">
            <w:pPr>
              <w:spacing w:before="0" w:after="0" w:line="240" w:lineRule="auto"/>
              <w:jc w:val="both"/>
              <w:rPr>
                <w:rFonts w:hint="default" w:ascii="Times New Roman" w:hAnsi="Times New Roman" w:eastAsia="宋体" w:cs="Times New Roman"/>
                <w:b w:val="0"/>
                <w:bCs/>
                <w:sz w:val="18"/>
                <w:szCs w:val="18"/>
                <w:highlight w:val="none"/>
              </w:rPr>
            </w:pPr>
          </w:p>
          <w:p w14:paraId="4A0A36E5">
            <w:pPr>
              <w:spacing w:before="0" w:after="0" w:line="240" w:lineRule="auto"/>
              <w:jc w:val="both"/>
              <w:rPr>
                <w:rFonts w:hint="default" w:ascii="Times New Roman" w:hAnsi="Times New Roman" w:eastAsia="宋体" w:cs="Times New Roman"/>
                <w:b w:val="0"/>
                <w:bCs/>
                <w:sz w:val="18"/>
                <w:szCs w:val="18"/>
                <w:highlight w:val="none"/>
              </w:rPr>
            </w:pPr>
          </w:p>
          <w:p w14:paraId="72B6576F">
            <w:pPr>
              <w:spacing w:before="0" w:after="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045C602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Frequency of volunteer service participation</w:t>
            </w:r>
          </w:p>
        </w:tc>
        <w:tc>
          <w:tcPr>
            <w:tcW w:w="2175" w:type="dxa"/>
            <w:tcBorders>
              <w:tl2br w:val="nil"/>
              <w:tr2bl w:val="nil"/>
            </w:tcBorders>
          </w:tcPr>
          <w:p w14:paraId="7095CEE1">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0 items = 0, 1–2 items = 1, 3–4 items = 2, 5–6 items = 3, 7–8 items = 4, 9 or more items = 5</w:t>
            </w:r>
          </w:p>
        </w:tc>
        <w:tc>
          <w:tcPr>
            <w:tcW w:w="913" w:type="dxa"/>
            <w:tcBorders>
              <w:tl2br w:val="nil"/>
              <w:tr2bl w:val="nil"/>
            </w:tcBorders>
          </w:tcPr>
          <w:p w14:paraId="25BA0B6A">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6B7E7F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5CE06DF3">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09E2CBD6">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continue"/>
            <w:tcBorders>
              <w:tl2br w:val="nil"/>
              <w:tr2bl w:val="nil"/>
            </w:tcBorders>
          </w:tcPr>
          <w:p w14:paraId="3A12EE5F">
            <w:pPr>
              <w:spacing w:before="20" w:after="2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2D618FA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Three types of political participation</w:t>
            </w:r>
          </w:p>
        </w:tc>
        <w:tc>
          <w:tcPr>
            <w:tcW w:w="2175" w:type="dxa"/>
            <w:tcBorders>
              <w:tl2br w:val="nil"/>
              <w:tr2bl w:val="nil"/>
            </w:tcBorders>
          </w:tcPr>
          <w:p w14:paraId="289815D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Policy deliberation, hearings, and village/community discussions; 0 = no, 1 = yes; mean of the three items</w:t>
            </w:r>
          </w:p>
        </w:tc>
        <w:tc>
          <w:tcPr>
            <w:tcW w:w="913" w:type="dxa"/>
            <w:tcBorders>
              <w:tl2br w:val="nil"/>
              <w:tr2bl w:val="nil"/>
            </w:tcBorders>
          </w:tcPr>
          <w:p w14:paraId="70D527A6">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137FA5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0B83E837">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0D87DBA3">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restart"/>
            <w:tcBorders>
              <w:tl2br w:val="nil"/>
              <w:tr2bl w:val="nil"/>
            </w:tcBorders>
          </w:tcPr>
          <w:p w14:paraId="2A86BA2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Normative capital</w:t>
            </w:r>
          </w:p>
          <w:p w14:paraId="650A8A48">
            <w:pPr>
              <w:spacing w:before="0" w:after="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7BC39426">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Evaluation of social morality</w:t>
            </w:r>
          </w:p>
        </w:tc>
        <w:tc>
          <w:tcPr>
            <w:tcW w:w="2175" w:type="dxa"/>
            <w:tcBorders>
              <w:tl2br w:val="nil"/>
              <w:tr2bl w:val="nil"/>
            </w:tcBorders>
          </w:tcPr>
          <w:p w14:paraId="28EFBAB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10-point scale; 1 = extremely low, 10 = extremely high</w:t>
            </w:r>
          </w:p>
        </w:tc>
        <w:tc>
          <w:tcPr>
            <w:tcW w:w="913" w:type="dxa"/>
            <w:tcBorders>
              <w:tl2br w:val="nil"/>
              <w:tr2bl w:val="nil"/>
            </w:tcBorders>
          </w:tcPr>
          <w:p w14:paraId="1A912177">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14435C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07D67C51">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6B7CC146">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continue"/>
            <w:tcBorders>
              <w:tl2br w:val="nil"/>
              <w:tr2bl w:val="nil"/>
            </w:tcBorders>
          </w:tcPr>
          <w:p w14:paraId="54018706">
            <w:pPr>
              <w:spacing w:before="20" w:after="2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6A74D110">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Evaluation of law-abiding norms</w:t>
            </w:r>
          </w:p>
        </w:tc>
        <w:tc>
          <w:tcPr>
            <w:tcW w:w="2175" w:type="dxa"/>
            <w:tcBorders>
              <w:tl2br w:val="nil"/>
              <w:tr2bl w:val="nil"/>
            </w:tcBorders>
          </w:tcPr>
          <w:p w14:paraId="4302DF9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10-point scale; 1 = extremely low, 10 = extremely high</w:t>
            </w:r>
          </w:p>
        </w:tc>
        <w:tc>
          <w:tcPr>
            <w:tcW w:w="913" w:type="dxa"/>
            <w:tcBorders>
              <w:tl2br w:val="nil"/>
              <w:tr2bl w:val="nil"/>
            </w:tcBorders>
          </w:tcPr>
          <w:p w14:paraId="21214AD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16E3BD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6F1AE4F3">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04C00957">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restart"/>
            <w:tcBorders>
              <w:tl2br w:val="nil"/>
              <w:tr2bl w:val="nil"/>
            </w:tcBorders>
          </w:tcPr>
          <w:p w14:paraId="24E42C54">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Trust capital</w:t>
            </w:r>
          </w:p>
          <w:p w14:paraId="5489B3C4">
            <w:pPr>
              <w:spacing w:before="0" w:after="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7D3FC05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General interpersonal trust</w:t>
            </w:r>
          </w:p>
        </w:tc>
        <w:tc>
          <w:tcPr>
            <w:tcW w:w="2175" w:type="dxa"/>
            <w:tcBorders>
              <w:tl2br w:val="nil"/>
              <w:tr2bl w:val="nil"/>
            </w:tcBorders>
          </w:tcPr>
          <w:p w14:paraId="7150D9A1">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Single-item 10-point scale; 1 = no trust at all, 10 = complete trust</w:t>
            </w:r>
          </w:p>
        </w:tc>
        <w:tc>
          <w:tcPr>
            <w:tcW w:w="913" w:type="dxa"/>
            <w:tcBorders>
              <w:tl2br w:val="nil"/>
              <w:tr2bl w:val="nil"/>
            </w:tcBorders>
          </w:tcPr>
          <w:p w14:paraId="6085EB8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1AB3E9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096" w:type="dxa"/>
            <w:vMerge w:val="continue"/>
            <w:tcBorders>
              <w:tl2br w:val="nil"/>
              <w:tr2bl w:val="nil"/>
            </w:tcBorders>
          </w:tcPr>
          <w:p w14:paraId="2EF1F1CB">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4664BD1C">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vMerge w:val="continue"/>
            <w:tcBorders>
              <w:tl2br w:val="nil"/>
              <w:tr2bl w:val="nil"/>
            </w:tcBorders>
          </w:tcPr>
          <w:p w14:paraId="40AB8AAB">
            <w:pPr>
              <w:spacing w:before="20" w:after="20" w:line="240" w:lineRule="auto"/>
              <w:jc w:val="center"/>
              <w:rPr>
                <w:rFonts w:hint="default" w:ascii="Times New Roman" w:hAnsi="Times New Roman" w:eastAsia="宋体" w:cs="Times New Roman"/>
                <w:b w:val="0"/>
                <w:bCs/>
                <w:sz w:val="18"/>
                <w:szCs w:val="18"/>
                <w:highlight w:val="none"/>
              </w:rPr>
            </w:pPr>
          </w:p>
        </w:tc>
        <w:tc>
          <w:tcPr>
            <w:tcW w:w="1488" w:type="dxa"/>
            <w:tcBorders>
              <w:tl2br w:val="nil"/>
              <w:tr2bl w:val="nil"/>
            </w:tcBorders>
          </w:tcPr>
          <w:p w14:paraId="12B6C02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Trust in three levels of government</w:t>
            </w:r>
          </w:p>
        </w:tc>
        <w:tc>
          <w:tcPr>
            <w:tcW w:w="2175" w:type="dxa"/>
            <w:tcBorders>
              <w:tl2br w:val="nil"/>
              <w:tr2bl w:val="nil"/>
            </w:tcBorders>
          </w:tcPr>
          <w:p w14:paraId="43602A8E">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5-point scales for the central, county/district, and township governments; synthesised into a government trust index by the entropy weight method</w:t>
            </w:r>
          </w:p>
        </w:tc>
        <w:tc>
          <w:tcPr>
            <w:tcW w:w="913" w:type="dxa"/>
            <w:tcBorders>
              <w:tl2br w:val="nil"/>
              <w:tr2bl w:val="nil"/>
            </w:tcBorders>
          </w:tcPr>
          <w:p w14:paraId="250C192F">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Positive</w:t>
            </w:r>
          </w:p>
        </w:tc>
      </w:tr>
      <w:tr w14:paraId="28C076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restart"/>
            <w:tcBorders>
              <w:tl2br w:val="nil"/>
              <w:tr2bl w:val="nil"/>
            </w:tcBorders>
          </w:tcPr>
          <w:p w14:paraId="37354C5F">
            <w:pPr>
              <w:spacing w:before="0" w:after="0" w:line="240" w:lineRule="auto"/>
              <w:jc w:val="center"/>
              <w:rPr>
                <w:rFonts w:hint="default" w:ascii="Times New Roman" w:hAnsi="Times New Roman" w:eastAsia="宋体" w:cs="Times New Roman"/>
                <w:b w:val="0"/>
                <w:bCs/>
                <w:sz w:val="18"/>
                <w:szCs w:val="18"/>
                <w:highlight w:val="none"/>
              </w:rPr>
            </w:pPr>
          </w:p>
          <w:p w14:paraId="75ACAF36">
            <w:pPr>
              <w:spacing w:before="0" w:after="0" w:line="240" w:lineRule="auto"/>
              <w:jc w:val="center"/>
              <w:rPr>
                <w:rFonts w:hint="default" w:ascii="Times New Roman" w:hAnsi="Times New Roman" w:eastAsia="宋体" w:cs="Times New Roman"/>
                <w:b w:val="0"/>
                <w:bCs/>
                <w:sz w:val="18"/>
                <w:szCs w:val="18"/>
                <w:highlight w:val="none"/>
              </w:rPr>
            </w:pPr>
          </w:p>
          <w:p w14:paraId="728FA189">
            <w:pPr>
              <w:spacing w:before="0" w:after="0" w:line="240" w:lineRule="auto"/>
              <w:jc w:val="center"/>
              <w:rPr>
                <w:rFonts w:hint="default" w:ascii="Times New Roman" w:hAnsi="Times New Roman" w:eastAsia="宋体" w:cs="Times New Roman"/>
                <w:b w:val="0"/>
                <w:bCs/>
                <w:sz w:val="18"/>
                <w:szCs w:val="18"/>
                <w:highlight w:val="none"/>
              </w:rPr>
            </w:pPr>
          </w:p>
          <w:p w14:paraId="607E7222">
            <w:pPr>
              <w:spacing w:before="0" w:after="0" w:line="240" w:lineRule="auto"/>
              <w:jc w:val="center"/>
              <w:rPr>
                <w:rFonts w:hint="default" w:ascii="Times New Roman" w:hAnsi="Times New Roman" w:eastAsia="宋体" w:cs="Times New Roman"/>
                <w:b w:val="0"/>
                <w:bCs/>
                <w:sz w:val="18"/>
                <w:szCs w:val="18"/>
                <w:highlight w:val="none"/>
              </w:rPr>
            </w:pPr>
          </w:p>
          <w:p w14:paraId="6378451A">
            <w:pPr>
              <w:spacing w:before="0" w:after="0" w:line="240" w:lineRule="auto"/>
              <w:jc w:val="center"/>
              <w:rPr>
                <w:rFonts w:hint="default" w:ascii="Times New Roman" w:hAnsi="Times New Roman" w:eastAsia="宋体" w:cs="Times New Roman"/>
                <w:b w:val="0"/>
                <w:bCs/>
                <w:sz w:val="18"/>
                <w:szCs w:val="18"/>
                <w:highlight w:val="none"/>
              </w:rPr>
            </w:pPr>
          </w:p>
          <w:p w14:paraId="2CBE9D2D">
            <w:pPr>
              <w:spacing w:before="0" w:after="0" w:line="240" w:lineRule="auto"/>
              <w:jc w:val="center"/>
              <w:rPr>
                <w:rFonts w:hint="default" w:ascii="Times New Roman" w:hAnsi="Times New Roman" w:eastAsia="宋体" w:cs="Times New Roman"/>
                <w:b w:val="0"/>
                <w:bCs/>
                <w:sz w:val="18"/>
                <w:szCs w:val="18"/>
                <w:highlight w:val="none"/>
              </w:rPr>
            </w:pPr>
          </w:p>
          <w:p w14:paraId="2F602580">
            <w:pPr>
              <w:spacing w:before="0" w:after="0" w:line="240" w:lineRule="auto"/>
              <w:jc w:val="center"/>
              <w:rPr>
                <w:rFonts w:hint="default" w:ascii="Times New Roman" w:hAnsi="Times New Roman" w:eastAsia="宋体" w:cs="Times New Roman"/>
                <w:b w:val="0"/>
                <w:bCs/>
                <w:sz w:val="18"/>
                <w:szCs w:val="18"/>
                <w:highlight w:val="none"/>
              </w:rPr>
            </w:pPr>
          </w:p>
          <w:p w14:paraId="13C48C56">
            <w:pPr>
              <w:spacing w:before="0" w:after="0" w:line="240" w:lineRule="auto"/>
              <w:jc w:val="center"/>
              <w:rPr>
                <w:rFonts w:hint="default" w:ascii="Times New Roman" w:hAnsi="Times New Roman" w:eastAsia="宋体" w:cs="Times New Roman"/>
                <w:b w:val="0"/>
                <w:bCs/>
                <w:sz w:val="18"/>
                <w:szCs w:val="18"/>
                <w:highlight w:val="none"/>
              </w:rPr>
            </w:pPr>
          </w:p>
          <w:p w14:paraId="2A07E9C9">
            <w:pPr>
              <w:spacing w:before="0" w:after="0" w:line="240" w:lineRule="auto"/>
              <w:jc w:val="center"/>
              <w:rPr>
                <w:rFonts w:hint="default" w:ascii="Times New Roman" w:hAnsi="Times New Roman" w:eastAsia="宋体" w:cs="Times New Roman"/>
                <w:b w:val="0"/>
                <w:bCs/>
                <w:sz w:val="18"/>
                <w:szCs w:val="18"/>
                <w:highlight w:val="none"/>
              </w:rPr>
            </w:pPr>
          </w:p>
          <w:p w14:paraId="6ADE7FE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Moderating variable</w:t>
            </w:r>
          </w:p>
          <w:p w14:paraId="7172CCA7">
            <w:pPr>
              <w:spacing w:before="0" w:after="0" w:line="240" w:lineRule="auto"/>
              <w:jc w:val="center"/>
              <w:rPr>
                <w:rFonts w:hint="default" w:ascii="Times New Roman" w:hAnsi="Times New Roman" w:eastAsia="宋体" w:cs="Times New Roman"/>
                <w:b w:val="0"/>
                <w:bCs/>
                <w:sz w:val="18"/>
                <w:szCs w:val="18"/>
                <w:highlight w:val="none"/>
              </w:rPr>
            </w:pPr>
          </w:p>
        </w:tc>
        <w:tc>
          <w:tcPr>
            <w:tcW w:w="1593" w:type="dxa"/>
            <w:vMerge w:val="restart"/>
            <w:tcBorders>
              <w:tl2br w:val="nil"/>
              <w:tr2bl w:val="nil"/>
            </w:tcBorders>
          </w:tcPr>
          <w:p w14:paraId="7A45B3F8">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Interethnic interaction, exchange and integration (IIEI)</w:t>
            </w:r>
          </w:p>
          <w:p w14:paraId="6CB44E32">
            <w:pPr>
              <w:spacing w:before="0" w:after="0" w:line="240" w:lineRule="auto"/>
              <w:jc w:val="center"/>
              <w:rPr>
                <w:rFonts w:hint="default" w:ascii="Times New Roman" w:hAnsi="Times New Roman" w:eastAsia="宋体" w:cs="Times New Roman"/>
                <w:b w:val="0"/>
                <w:bCs/>
                <w:sz w:val="18"/>
                <w:szCs w:val="18"/>
                <w:highlight w:val="none"/>
              </w:rPr>
            </w:pPr>
          </w:p>
          <w:p w14:paraId="20C38E1A">
            <w:pPr>
              <w:spacing w:before="0" w:after="0" w:line="240" w:lineRule="auto"/>
              <w:jc w:val="center"/>
              <w:rPr>
                <w:rFonts w:hint="default" w:ascii="Times New Roman" w:hAnsi="Times New Roman" w:eastAsia="宋体" w:cs="Times New Roman"/>
                <w:b w:val="0"/>
                <w:bCs/>
                <w:sz w:val="18"/>
                <w:szCs w:val="18"/>
                <w:highlight w:val="none"/>
              </w:rPr>
            </w:pPr>
          </w:p>
          <w:p w14:paraId="04BABE9D">
            <w:pPr>
              <w:spacing w:before="0" w:after="0" w:line="240" w:lineRule="auto"/>
              <w:jc w:val="center"/>
              <w:rPr>
                <w:rFonts w:hint="default" w:ascii="Times New Roman" w:hAnsi="Times New Roman" w:eastAsia="宋体" w:cs="Times New Roman"/>
                <w:b w:val="0"/>
                <w:bCs/>
                <w:sz w:val="18"/>
                <w:szCs w:val="18"/>
                <w:highlight w:val="none"/>
              </w:rPr>
            </w:pPr>
          </w:p>
          <w:p w14:paraId="60B91844">
            <w:pPr>
              <w:spacing w:before="0" w:after="0" w:line="240" w:lineRule="auto"/>
              <w:jc w:val="center"/>
              <w:rPr>
                <w:rFonts w:hint="default" w:ascii="Times New Roman" w:hAnsi="Times New Roman" w:eastAsia="宋体" w:cs="Times New Roman"/>
                <w:b w:val="0"/>
                <w:bCs/>
                <w:sz w:val="18"/>
                <w:szCs w:val="18"/>
                <w:highlight w:val="none"/>
              </w:rPr>
            </w:pPr>
          </w:p>
          <w:p w14:paraId="069B286E">
            <w:pPr>
              <w:spacing w:before="0" w:after="0" w:line="240" w:lineRule="auto"/>
              <w:jc w:val="center"/>
              <w:rPr>
                <w:rFonts w:hint="default" w:ascii="Times New Roman" w:hAnsi="Times New Roman" w:eastAsia="宋体" w:cs="Times New Roman"/>
                <w:b w:val="0"/>
                <w:bCs/>
                <w:sz w:val="18"/>
                <w:szCs w:val="18"/>
                <w:highlight w:val="none"/>
              </w:rPr>
            </w:pPr>
          </w:p>
          <w:p w14:paraId="0D62E0C1">
            <w:pPr>
              <w:spacing w:before="0" w:after="0" w:line="240" w:lineRule="auto"/>
              <w:jc w:val="center"/>
              <w:rPr>
                <w:rFonts w:hint="default" w:ascii="Times New Roman" w:hAnsi="Times New Roman" w:eastAsia="宋体" w:cs="Times New Roman"/>
                <w:b w:val="0"/>
                <w:bCs/>
                <w:sz w:val="18"/>
                <w:szCs w:val="18"/>
                <w:highlight w:val="none"/>
              </w:rPr>
            </w:pPr>
          </w:p>
          <w:p w14:paraId="120696D8">
            <w:pPr>
              <w:spacing w:before="0" w:after="0" w:line="240" w:lineRule="auto"/>
              <w:jc w:val="center"/>
              <w:rPr>
                <w:rFonts w:hint="default" w:ascii="Times New Roman" w:hAnsi="Times New Roman" w:eastAsia="宋体" w:cs="Times New Roman"/>
                <w:b w:val="0"/>
                <w:bCs/>
                <w:sz w:val="18"/>
                <w:szCs w:val="18"/>
                <w:highlight w:val="none"/>
              </w:rPr>
            </w:pPr>
          </w:p>
          <w:p w14:paraId="0BE41972">
            <w:pPr>
              <w:spacing w:before="0" w:after="0" w:line="240" w:lineRule="auto"/>
              <w:jc w:val="center"/>
              <w:rPr>
                <w:rFonts w:hint="default" w:ascii="Times New Roman" w:hAnsi="Times New Roman" w:eastAsia="宋体" w:cs="Times New Roman"/>
                <w:b w:val="0"/>
                <w:bCs/>
                <w:sz w:val="18"/>
                <w:szCs w:val="18"/>
                <w:highlight w:val="none"/>
              </w:rPr>
            </w:pPr>
          </w:p>
          <w:p w14:paraId="7EDEF1FB">
            <w:pPr>
              <w:spacing w:before="0" w:after="0" w:line="240" w:lineRule="auto"/>
              <w:jc w:val="center"/>
              <w:rPr>
                <w:rFonts w:hint="default" w:ascii="Times New Roman" w:hAnsi="Times New Roman" w:eastAsia="宋体" w:cs="Times New Roman"/>
                <w:b w:val="0"/>
                <w:bCs/>
                <w:sz w:val="18"/>
                <w:szCs w:val="18"/>
                <w:highlight w:val="none"/>
              </w:rPr>
            </w:pPr>
          </w:p>
          <w:p w14:paraId="57481B40">
            <w:pPr>
              <w:spacing w:before="0" w:after="0" w:line="240" w:lineRule="auto"/>
              <w:jc w:val="center"/>
              <w:rPr>
                <w:rFonts w:hint="default" w:ascii="Times New Roman" w:hAnsi="Times New Roman" w:eastAsia="宋体" w:cs="Times New Roman"/>
                <w:b w:val="0"/>
                <w:bCs/>
                <w:sz w:val="18"/>
                <w:szCs w:val="18"/>
                <w:highlight w:val="none"/>
              </w:rPr>
            </w:pPr>
          </w:p>
          <w:p w14:paraId="12ECE09A">
            <w:pPr>
              <w:spacing w:before="0" w:after="0" w:line="240" w:lineRule="auto"/>
              <w:jc w:val="center"/>
              <w:rPr>
                <w:rFonts w:hint="default" w:ascii="Times New Roman" w:hAnsi="Times New Roman" w:eastAsia="宋体" w:cs="Times New Roman"/>
                <w:b w:val="0"/>
                <w:bCs/>
                <w:sz w:val="18"/>
                <w:szCs w:val="18"/>
                <w:highlight w:val="none"/>
              </w:rPr>
            </w:pPr>
          </w:p>
        </w:tc>
        <w:tc>
          <w:tcPr>
            <w:tcW w:w="1456" w:type="dxa"/>
            <w:vMerge w:val="restart"/>
            <w:tcBorders>
              <w:tl2br w:val="nil"/>
              <w:tr2bl w:val="nil"/>
            </w:tcBorders>
            <w:vAlign w:val="top"/>
          </w:tcPr>
          <w:p w14:paraId="0CE2EAB5">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Ethnic interaction</w:t>
            </w:r>
          </w:p>
        </w:tc>
        <w:tc>
          <w:tcPr>
            <w:tcW w:w="1488" w:type="dxa"/>
            <w:tcBorders>
              <w:tl2br w:val="nil"/>
              <w:tr2bl w:val="nil"/>
            </w:tcBorders>
            <w:vAlign w:val="top"/>
          </w:tcPr>
          <w:p w14:paraId="4C392E3D">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Participation in two types of online interethnic communities</w:t>
            </w:r>
          </w:p>
        </w:tc>
        <w:tc>
          <w:tcPr>
            <w:tcW w:w="2175" w:type="dxa"/>
            <w:tcBorders>
              <w:tl2br w:val="nil"/>
              <w:tr2bl w:val="nil"/>
            </w:tcBorders>
            <w:vAlign w:val="top"/>
          </w:tcPr>
          <w:p w14:paraId="2DD8C7F6">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Ethnic and neighbourhood online groups; 0 = not joined, 1 = joined; mean of the two items</w:t>
            </w:r>
          </w:p>
        </w:tc>
        <w:tc>
          <w:tcPr>
            <w:tcW w:w="913" w:type="dxa"/>
            <w:tcBorders>
              <w:tl2br w:val="nil"/>
              <w:tr2bl w:val="nil"/>
            </w:tcBorders>
            <w:vAlign w:val="top"/>
          </w:tcPr>
          <w:p w14:paraId="156D6F19">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0FBCFF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62D1EAC3">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4C803E1D">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continue"/>
            <w:tcBorders>
              <w:tl2br w:val="nil"/>
              <w:tr2bl w:val="nil"/>
            </w:tcBorders>
            <w:vAlign w:val="top"/>
          </w:tcPr>
          <w:p w14:paraId="4BF142BC">
            <w:pPr>
              <w:jc w:val="center"/>
              <w:rPr>
                <w:rFonts w:hint="default" w:ascii="Times New Roman" w:hAnsi="Times New Roman" w:eastAsia="宋体" w:cs="Times New Roman"/>
                <w:b w:val="0"/>
                <w:bCs/>
                <w:sz w:val="18"/>
                <w:szCs w:val="18"/>
                <w:highlight w:val="yellow"/>
              </w:rPr>
            </w:pPr>
          </w:p>
        </w:tc>
        <w:tc>
          <w:tcPr>
            <w:tcW w:w="1488" w:type="dxa"/>
            <w:tcBorders>
              <w:tl2br w:val="nil"/>
              <w:tr2bl w:val="nil"/>
            </w:tcBorders>
            <w:vAlign w:val="top"/>
          </w:tcPr>
          <w:p w14:paraId="0AC8710D">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Private interethnic interaction among neighbours</w:t>
            </w:r>
          </w:p>
        </w:tc>
        <w:tc>
          <w:tcPr>
            <w:tcW w:w="2175" w:type="dxa"/>
            <w:tcBorders>
              <w:tl2br w:val="nil"/>
              <w:tr2bl w:val="nil"/>
            </w:tcBorders>
            <w:vAlign w:val="top"/>
          </w:tcPr>
          <w:p w14:paraId="79BEB8D7">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0 = no, 1 = yes</w:t>
            </w:r>
          </w:p>
        </w:tc>
        <w:tc>
          <w:tcPr>
            <w:tcW w:w="913" w:type="dxa"/>
            <w:tcBorders>
              <w:tl2br w:val="nil"/>
              <w:tr2bl w:val="nil"/>
            </w:tcBorders>
            <w:vAlign w:val="top"/>
          </w:tcPr>
          <w:p w14:paraId="00E7709C">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42695A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465E962E">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1BF24E49">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restart"/>
            <w:tcBorders>
              <w:tl2br w:val="nil"/>
              <w:tr2bl w:val="nil"/>
            </w:tcBorders>
            <w:vAlign w:val="top"/>
          </w:tcPr>
          <w:p w14:paraId="247DF678">
            <w:pPr>
              <w:keepNext w:val="0"/>
              <w:keepLines w:val="0"/>
              <w:widowControl/>
              <w:suppressLineNumbers w:val="0"/>
              <w:spacing w:before="0" w:after="0" w:line="240" w:lineRule="auto"/>
              <w:jc w:val="center"/>
              <w:textAlignment w:val="top"/>
              <w:rPr>
                <w:rFonts w:hint="default" w:ascii="Times New Roman" w:hAnsi="Times New Roman" w:eastAsia="宋体" w:cs="Times New Roman"/>
                <w:b w:val="0"/>
                <w:bCs/>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Ethnic exchange</w:t>
            </w:r>
          </w:p>
        </w:tc>
        <w:tc>
          <w:tcPr>
            <w:tcW w:w="1488" w:type="dxa"/>
            <w:tcBorders>
              <w:tl2br w:val="nil"/>
              <w:tr2bl w:val="nil"/>
            </w:tcBorders>
            <w:vAlign w:val="top"/>
          </w:tcPr>
          <w:p w14:paraId="163D3D8E">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Satisfaction with neighbourhood relations and sense of security</w:t>
            </w:r>
          </w:p>
        </w:tc>
        <w:tc>
          <w:tcPr>
            <w:tcW w:w="2175" w:type="dxa"/>
            <w:tcBorders>
              <w:tl2br w:val="nil"/>
              <w:tr2bl w:val="nil"/>
            </w:tcBorders>
            <w:vAlign w:val="top"/>
          </w:tcPr>
          <w:p w14:paraId="69958B20">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5-point scale; 1 = very poor, 5 = very good</w:t>
            </w:r>
          </w:p>
        </w:tc>
        <w:tc>
          <w:tcPr>
            <w:tcW w:w="913" w:type="dxa"/>
            <w:tcBorders>
              <w:tl2br w:val="nil"/>
              <w:tr2bl w:val="nil"/>
            </w:tcBorders>
            <w:vAlign w:val="top"/>
          </w:tcPr>
          <w:p w14:paraId="4B187F29">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35EBC6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44BA8E9D">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580EA854">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continue"/>
            <w:tcBorders>
              <w:tl2br w:val="nil"/>
              <w:tr2bl w:val="nil"/>
            </w:tcBorders>
            <w:vAlign w:val="top"/>
          </w:tcPr>
          <w:p w14:paraId="25CBE90B">
            <w:pPr>
              <w:jc w:val="center"/>
              <w:rPr>
                <w:rFonts w:hint="default" w:ascii="Times New Roman" w:hAnsi="Times New Roman" w:eastAsia="宋体" w:cs="Times New Roman"/>
                <w:b w:val="0"/>
                <w:bCs/>
                <w:sz w:val="18"/>
                <w:szCs w:val="18"/>
                <w:highlight w:val="yellow"/>
              </w:rPr>
            </w:pPr>
          </w:p>
        </w:tc>
        <w:tc>
          <w:tcPr>
            <w:tcW w:w="1488" w:type="dxa"/>
            <w:tcBorders>
              <w:tl2br w:val="nil"/>
              <w:tr2bl w:val="nil"/>
            </w:tcBorders>
            <w:vAlign w:val="top"/>
          </w:tcPr>
          <w:p w14:paraId="16CA9356">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Perceived social trust</w:t>
            </w:r>
          </w:p>
        </w:tc>
        <w:tc>
          <w:tcPr>
            <w:tcW w:w="2175" w:type="dxa"/>
            <w:tcBorders>
              <w:tl2br w:val="nil"/>
              <w:tr2bl w:val="nil"/>
            </w:tcBorders>
            <w:vAlign w:val="top"/>
          </w:tcPr>
          <w:p w14:paraId="0F7093B5">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color w:val="000000"/>
                <w:sz w:val="18"/>
                <w:szCs w:val="18"/>
              </w:rPr>
              <w:t>5-point scale; 1 = complete distrust, 5 = complete trust</w:t>
            </w:r>
          </w:p>
        </w:tc>
        <w:tc>
          <w:tcPr>
            <w:tcW w:w="913" w:type="dxa"/>
            <w:tcBorders>
              <w:tl2br w:val="nil"/>
              <w:tr2bl w:val="nil"/>
            </w:tcBorders>
            <w:vAlign w:val="top"/>
          </w:tcPr>
          <w:p w14:paraId="43EA300F">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color w:val="000000"/>
                <w:sz w:val="18"/>
                <w:szCs w:val="18"/>
              </w:rPr>
              <w:t>Positive</w:t>
            </w:r>
          </w:p>
        </w:tc>
      </w:tr>
      <w:tr w14:paraId="184BA4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5FBF492D">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095BAC50">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continue"/>
            <w:tcBorders>
              <w:tl2br w:val="nil"/>
              <w:tr2bl w:val="nil"/>
            </w:tcBorders>
            <w:vAlign w:val="top"/>
          </w:tcPr>
          <w:p w14:paraId="3EF3A629">
            <w:pPr>
              <w:jc w:val="center"/>
              <w:rPr>
                <w:rFonts w:hint="default" w:ascii="Times New Roman" w:hAnsi="Times New Roman" w:eastAsia="宋体" w:cs="Times New Roman"/>
                <w:b w:val="0"/>
                <w:bCs/>
                <w:sz w:val="18"/>
                <w:szCs w:val="18"/>
                <w:highlight w:val="yellow"/>
              </w:rPr>
            </w:pPr>
          </w:p>
        </w:tc>
        <w:tc>
          <w:tcPr>
            <w:tcW w:w="1488" w:type="dxa"/>
            <w:tcBorders>
              <w:tl2br w:val="nil"/>
              <w:tr2bl w:val="nil"/>
            </w:tcBorders>
            <w:vAlign w:val="top"/>
          </w:tcPr>
          <w:p w14:paraId="2C9CD8C2">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Acceptance of other ethnic groups</w:t>
            </w:r>
          </w:p>
        </w:tc>
        <w:tc>
          <w:tcPr>
            <w:tcW w:w="2175" w:type="dxa"/>
            <w:tcBorders>
              <w:tl2br w:val="nil"/>
              <w:tr2bl w:val="nil"/>
            </w:tcBorders>
            <w:vAlign w:val="top"/>
          </w:tcPr>
          <w:p w14:paraId="0D322D65">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5-point scale; 1 = complete non-acceptance, 5 = complete acceptance</w:t>
            </w:r>
          </w:p>
        </w:tc>
        <w:tc>
          <w:tcPr>
            <w:tcW w:w="913" w:type="dxa"/>
            <w:tcBorders>
              <w:tl2br w:val="nil"/>
              <w:tr2bl w:val="nil"/>
            </w:tcBorders>
            <w:vAlign w:val="top"/>
          </w:tcPr>
          <w:p w14:paraId="1220D333">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2BE193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131EE00A">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61109C31">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restart"/>
            <w:tcBorders>
              <w:tl2br w:val="nil"/>
              <w:tr2bl w:val="nil"/>
            </w:tcBorders>
            <w:vAlign w:val="top"/>
          </w:tcPr>
          <w:p w14:paraId="12E9092E">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Ethnic integration</w:t>
            </w:r>
          </w:p>
        </w:tc>
        <w:tc>
          <w:tcPr>
            <w:tcW w:w="1488" w:type="dxa"/>
            <w:tcBorders>
              <w:tl2br w:val="nil"/>
              <w:tr2bl w:val="nil"/>
            </w:tcBorders>
            <w:vAlign w:val="top"/>
          </w:tcPr>
          <w:p w14:paraId="1890ACFC">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Trust in work-unit groups</w:t>
            </w:r>
          </w:p>
        </w:tc>
        <w:tc>
          <w:tcPr>
            <w:tcW w:w="2175" w:type="dxa"/>
            <w:tcBorders>
              <w:tl2br w:val="nil"/>
              <w:tr2bl w:val="nil"/>
            </w:tcBorders>
            <w:vAlign w:val="top"/>
          </w:tcPr>
          <w:p w14:paraId="4A7457D3">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5-point trust scale</w:t>
            </w:r>
          </w:p>
        </w:tc>
        <w:tc>
          <w:tcPr>
            <w:tcW w:w="913" w:type="dxa"/>
            <w:tcBorders>
              <w:tl2br w:val="nil"/>
              <w:tr2bl w:val="nil"/>
            </w:tcBorders>
            <w:vAlign w:val="top"/>
          </w:tcPr>
          <w:p w14:paraId="7157007D">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7EB77E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3B2B42A9">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1D115A89">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continue"/>
            <w:tcBorders>
              <w:tl2br w:val="nil"/>
              <w:tr2bl w:val="nil"/>
            </w:tcBorders>
            <w:vAlign w:val="top"/>
          </w:tcPr>
          <w:p w14:paraId="3CB8612C">
            <w:pPr>
              <w:jc w:val="center"/>
              <w:rPr>
                <w:rFonts w:hint="default" w:ascii="Times New Roman" w:hAnsi="Times New Roman" w:eastAsia="宋体" w:cs="Times New Roman"/>
                <w:b w:val="0"/>
                <w:bCs/>
                <w:sz w:val="18"/>
                <w:szCs w:val="18"/>
                <w:highlight w:val="yellow"/>
              </w:rPr>
            </w:pPr>
          </w:p>
        </w:tc>
        <w:tc>
          <w:tcPr>
            <w:tcW w:w="1488" w:type="dxa"/>
            <w:tcBorders>
              <w:tl2br w:val="nil"/>
              <w:tr2bl w:val="nil"/>
            </w:tcBorders>
            <w:vAlign w:val="top"/>
          </w:tcPr>
          <w:p w14:paraId="57009B1B">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Household occupational diversity</w:t>
            </w:r>
          </w:p>
        </w:tc>
        <w:tc>
          <w:tcPr>
            <w:tcW w:w="2175" w:type="dxa"/>
            <w:tcBorders>
              <w:tl2br w:val="nil"/>
              <w:tr2bl w:val="nil"/>
            </w:tcBorders>
            <w:vAlign w:val="top"/>
          </w:tcPr>
          <w:p w14:paraId="714002F6">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5-point ordinal scale; 1 = unemployed, 5 = purely non-agricultural employment</w:t>
            </w:r>
          </w:p>
        </w:tc>
        <w:tc>
          <w:tcPr>
            <w:tcW w:w="913" w:type="dxa"/>
            <w:tcBorders>
              <w:tl2br w:val="nil"/>
              <w:tr2bl w:val="nil"/>
            </w:tcBorders>
            <w:vAlign w:val="top"/>
          </w:tcPr>
          <w:p w14:paraId="23E43F46">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1E4941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212A3B02">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448B2D54">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continue"/>
            <w:tcBorders>
              <w:tl2br w:val="nil"/>
              <w:tr2bl w:val="nil"/>
            </w:tcBorders>
            <w:vAlign w:val="top"/>
          </w:tcPr>
          <w:p w14:paraId="7D5F154D">
            <w:pPr>
              <w:jc w:val="center"/>
              <w:rPr>
                <w:rFonts w:hint="default" w:ascii="Times New Roman" w:hAnsi="Times New Roman" w:eastAsia="宋体" w:cs="Times New Roman"/>
                <w:b w:val="0"/>
                <w:bCs/>
                <w:sz w:val="18"/>
                <w:szCs w:val="18"/>
                <w:highlight w:val="yellow"/>
              </w:rPr>
            </w:pPr>
          </w:p>
        </w:tc>
        <w:tc>
          <w:tcPr>
            <w:tcW w:w="1488" w:type="dxa"/>
            <w:tcBorders>
              <w:tl2br w:val="nil"/>
              <w:tr2bl w:val="nil"/>
            </w:tcBorders>
            <w:vAlign w:val="top"/>
          </w:tcPr>
          <w:p w14:paraId="278D219F">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Community integration and public participation</w:t>
            </w:r>
          </w:p>
        </w:tc>
        <w:tc>
          <w:tcPr>
            <w:tcW w:w="2175" w:type="dxa"/>
            <w:tcBorders>
              <w:tl2br w:val="nil"/>
              <w:tr2bl w:val="nil"/>
            </w:tcBorders>
            <w:vAlign w:val="top"/>
          </w:tcPr>
          <w:p w14:paraId="513E1A02">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Discussing community affairs, voting, and voicing demands; 0 = no, 1 = yes; mean score</w:t>
            </w:r>
          </w:p>
        </w:tc>
        <w:tc>
          <w:tcPr>
            <w:tcW w:w="913" w:type="dxa"/>
            <w:tcBorders>
              <w:tl2br w:val="nil"/>
              <w:tr2bl w:val="nil"/>
            </w:tcBorders>
            <w:vAlign w:val="top"/>
          </w:tcPr>
          <w:p w14:paraId="4E904101">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3D8630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66BE491B">
            <w:pPr>
              <w:spacing w:before="20" w:after="20" w:line="240" w:lineRule="auto"/>
              <w:jc w:val="center"/>
              <w:rPr>
                <w:rFonts w:hint="default" w:ascii="Times New Roman" w:hAnsi="Times New Roman" w:eastAsia="宋体" w:cs="Times New Roman"/>
                <w:b w:val="0"/>
                <w:bCs/>
                <w:sz w:val="18"/>
                <w:szCs w:val="18"/>
                <w:highlight w:val="yellow"/>
              </w:rPr>
            </w:pPr>
          </w:p>
        </w:tc>
        <w:tc>
          <w:tcPr>
            <w:tcW w:w="1593" w:type="dxa"/>
            <w:vMerge w:val="continue"/>
            <w:tcBorders>
              <w:tl2br w:val="nil"/>
              <w:tr2bl w:val="nil"/>
            </w:tcBorders>
          </w:tcPr>
          <w:p w14:paraId="0FA6DEA2">
            <w:pPr>
              <w:spacing w:before="20" w:after="20" w:line="240" w:lineRule="auto"/>
              <w:jc w:val="center"/>
              <w:rPr>
                <w:rFonts w:hint="default" w:ascii="Times New Roman" w:hAnsi="Times New Roman" w:eastAsia="宋体" w:cs="Times New Roman"/>
                <w:b w:val="0"/>
                <w:bCs/>
                <w:sz w:val="18"/>
                <w:szCs w:val="18"/>
                <w:highlight w:val="yellow"/>
              </w:rPr>
            </w:pPr>
          </w:p>
        </w:tc>
        <w:tc>
          <w:tcPr>
            <w:tcW w:w="1456" w:type="dxa"/>
            <w:vMerge w:val="continue"/>
            <w:tcBorders>
              <w:tl2br w:val="nil"/>
              <w:tr2bl w:val="nil"/>
            </w:tcBorders>
            <w:vAlign w:val="top"/>
          </w:tcPr>
          <w:p w14:paraId="2EF37417">
            <w:pPr>
              <w:jc w:val="center"/>
              <w:rPr>
                <w:rFonts w:hint="default" w:ascii="Times New Roman" w:hAnsi="Times New Roman" w:eastAsia="宋体" w:cs="Times New Roman"/>
                <w:b w:val="0"/>
                <w:bCs/>
                <w:sz w:val="18"/>
                <w:szCs w:val="18"/>
                <w:highlight w:val="yellow"/>
              </w:rPr>
            </w:pPr>
          </w:p>
        </w:tc>
        <w:tc>
          <w:tcPr>
            <w:tcW w:w="1488" w:type="dxa"/>
            <w:tcBorders>
              <w:tl2br w:val="nil"/>
              <w:tr2bl w:val="nil"/>
            </w:tcBorders>
            <w:vAlign w:val="top"/>
          </w:tcPr>
          <w:p w14:paraId="07A97151">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Perceived interethnic social distance and tolerance of interethnic marriage</w:t>
            </w:r>
          </w:p>
        </w:tc>
        <w:tc>
          <w:tcPr>
            <w:tcW w:w="2175" w:type="dxa"/>
            <w:tcBorders>
              <w:tl2br w:val="nil"/>
              <w:tr2bl w:val="nil"/>
            </w:tcBorders>
            <w:vAlign w:val="top"/>
          </w:tcPr>
          <w:p w14:paraId="6C29BC30">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5-point measure; higher scores indicate weaker ethnic estrangement and perceived interethnic distance</w:t>
            </w:r>
          </w:p>
        </w:tc>
        <w:tc>
          <w:tcPr>
            <w:tcW w:w="913" w:type="dxa"/>
            <w:tcBorders>
              <w:tl2br w:val="nil"/>
              <w:tr2bl w:val="nil"/>
            </w:tcBorders>
            <w:vAlign w:val="top"/>
          </w:tcPr>
          <w:p w14:paraId="3A457FA2">
            <w:pPr>
              <w:spacing w:before="0" w:after="0" w:line="240" w:lineRule="auto"/>
              <w:jc w:val="both"/>
              <w:rPr>
                <w:rFonts w:hint="default" w:ascii="Times New Roman" w:hAnsi="Times New Roman" w:eastAsia="宋体" w:cs="Times New Roman"/>
                <w:b w:val="0"/>
                <w:bCs/>
                <w:color w:val="FF0000"/>
                <w:sz w:val="18"/>
                <w:szCs w:val="18"/>
                <w:lang w:val="en-US" w:eastAsia="zh-CN"/>
              </w:rPr>
            </w:pPr>
            <w:r>
              <w:rPr>
                <w:rFonts w:hint="default" w:ascii="Times New Roman" w:hAnsi="Times New Roman" w:eastAsia="宋体" w:cs="Times New Roman"/>
                <w:b w:val="0"/>
                <w:bCs/>
                <w:color w:val="000000"/>
                <w:sz w:val="18"/>
                <w:szCs w:val="18"/>
                <w:lang w:val="en-US" w:eastAsia="zh-CN"/>
              </w:rPr>
              <w:t>Positive</w:t>
            </w:r>
          </w:p>
        </w:tc>
      </w:tr>
      <w:tr w14:paraId="672E0D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restart"/>
            <w:tcBorders>
              <w:tl2br w:val="nil"/>
              <w:tr2bl w:val="nil"/>
            </w:tcBorders>
          </w:tcPr>
          <w:p w14:paraId="7127252A">
            <w:pPr>
              <w:spacing w:before="0" w:after="0" w:line="240" w:lineRule="auto"/>
              <w:jc w:val="center"/>
              <w:rPr>
                <w:rFonts w:hint="default" w:ascii="Times New Roman" w:hAnsi="Times New Roman" w:eastAsia="宋体" w:cs="Times New Roman"/>
                <w:b w:val="0"/>
                <w:bCs/>
                <w:sz w:val="18"/>
                <w:szCs w:val="18"/>
                <w:highlight w:val="none"/>
              </w:rPr>
            </w:pPr>
          </w:p>
          <w:p w14:paraId="69720ED8">
            <w:pPr>
              <w:spacing w:before="0" w:after="0" w:line="240" w:lineRule="auto"/>
              <w:jc w:val="center"/>
              <w:rPr>
                <w:rFonts w:hint="default" w:ascii="Times New Roman" w:hAnsi="Times New Roman" w:eastAsia="宋体" w:cs="Times New Roman"/>
                <w:b w:val="0"/>
                <w:bCs/>
                <w:sz w:val="18"/>
                <w:szCs w:val="18"/>
                <w:highlight w:val="none"/>
              </w:rPr>
            </w:pPr>
          </w:p>
          <w:p w14:paraId="3A174A46">
            <w:pPr>
              <w:spacing w:before="0" w:after="0" w:line="240" w:lineRule="auto"/>
              <w:jc w:val="center"/>
              <w:rPr>
                <w:rFonts w:hint="default" w:ascii="Times New Roman" w:hAnsi="Times New Roman" w:eastAsia="宋体" w:cs="Times New Roman"/>
                <w:b w:val="0"/>
                <w:bCs/>
                <w:sz w:val="18"/>
                <w:szCs w:val="18"/>
                <w:highlight w:val="none"/>
              </w:rPr>
            </w:pPr>
          </w:p>
          <w:p w14:paraId="50688D77">
            <w:pPr>
              <w:spacing w:before="0" w:after="0" w:line="240" w:lineRule="auto"/>
              <w:jc w:val="center"/>
              <w:rPr>
                <w:rFonts w:hint="default" w:ascii="Times New Roman" w:hAnsi="Times New Roman" w:eastAsia="宋体" w:cs="Times New Roman"/>
                <w:b w:val="0"/>
                <w:bCs/>
                <w:sz w:val="18"/>
                <w:szCs w:val="18"/>
                <w:highlight w:val="none"/>
              </w:rPr>
            </w:pPr>
          </w:p>
          <w:p w14:paraId="1C551AEE">
            <w:pPr>
              <w:spacing w:before="0" w:after="0" w:line="240" w:lineRule="auto"/>
              <w:jc w:val="center"/>
              <w:rPr>
                <w:rFonts w:hint="default" w:ascii="Times New Roman" w:hAnsi="Times New Roman" w:eastAsia="宋体" w:cs="Times New Roman"/>
                <w:b w:val="0"/>
                <w:bCs/>
                <w:sz w:val="18"/>
                <w:szCs w:val="18"/>
                <w:highlight w:val="none"/>
              </w:rPr>
            </w:pPr>
          </w:p>
          <w:p w14:paraId="76166782">
            <w:pPr>
              <w:spacing w:before="0" w:after="0" w:line="240" w:lineRule="auto"/>
              <w:jc w:val="center"/>
              <w:rPr>
                <w:rFonts w:hint="default" w:ascii="Times New Roman" w:hAnsi="Times New Roman" w:eastAsia="宋体" w:cs="Times New Roman"/>
                <w:b w:val="0"/>
                <w:bCs/>
                <w:sz w:val="18"/>
                <w:szCs w:val="18"/>
                <w:highlight w:val="none"/>
              </w:rPr>
            </w:pPr>
          </w:p>
          <w:p w14:paraId="3FF2FD1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Control variables</w:t>
            </w:r>
          </w:p>
          <w:p w14:paraId="56585BD1">
            <w:pPr>
              <w:spacing w:before="0" w:after="0" w:line="240" w:lineRule="auto"/>
              <w:jc w:val="center"/>
              <w:rPr>
                <w:rFonts w:hint="default" w:ascii="Times New Roman" w:hAnsi="Times New Roman" w:eastAsia="宋体" w:cs="Times New Roman"/>
                <w:b w:val="0"/>
                <w:bCs/>
                <w:sz w:val="18"/>
                <w:szCs w:val="18"/>
                <w:highlight w:val="none"/>
              </w:rPr>
            </w:pPr>
          </w:p>
        </w:tc>
        <w:tc>
          <w:tcPr>
            <w:tcW w:w="1593" w:type="dxa"/>
            <w:vMerge w:val="restart"/>
            <w:tcBorders>
              <w:tl2br w:val="nil"/>
              <w:tr2bl w:val="nil"/>
            </w:tcBorders>
          </w:tcPr>
          <w:p w14:paraId="71B2BD2F">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Social governance effectiveness</w:t>
            </w:r>
          </w:p>
          <w:p w14:paraId="34E5CBAD">
            <w:pPr>
              <w:spacing w:before="0" w:after="0" w:line="240" w:lineRule="auto"/>
              <w:jc w:val="center"/>
              <w:rPr>
                <w:rFonts w:hint="default" w:ascii="Times New Roman" w:hAnsi="Times New Roman" w:eastAsia="宋体" w:cs="Times New Roman"/>
                <w:b w:val="0"/>
                <w:bCs/>
                <w:sz w:val="18"/>
                <w:szCs w:val="18"/>
                <w:highlight w:val="none"/>
              </w:rPr>
            </w:pPr>
          </w:p>
          <w:p w14:paraId="2BE403AD">
            <w:pPr>
              <w:spacing w:before="0" w:after="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5936FE99">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2B35BC44">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Feedback of opinions to media and government</w:t>
            </w:r>
          </w:p>
        </w:tc>
        <w:tc>
          <w:tcPr>
            <w:tcW w:w="2175" w:type="dxa"/>
            <w:tcBorders>
              <w:tl2br w:val="nil"/>
              <w:tr2bl w:val="nil"/>
            </w:tcBorders>
          </w:tcPr>
          <w:p w14:paraId="4A564D9A">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Two channels; 0 = no feedback, 1 = feedback; mean score</w:t>
            </w:r>
          </w:p>
        </w:tc>
        <w:tc>
          <w:tcPr>
            <w:tcW w:w="913" w:type="dxa"/>
            <w:tcBorders>
              <w:tl2br w:val="nil"/>
              <w:tr2bl w:val="nil"/>
            </w:tcBorders>
          </w:tcPr>
          <w:p w14:paraId="07C739F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400108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2FD59FB0">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118B0D5B">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54683EB7">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4008329F">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Satisfaction with social security</w:t>
            </w:r>
          </w:p>
        </w:tc>
        <w:tc>
          <w:tcPr>
            <w:tcW w:w="2175" w:type="dxa"/>
            <w:tcBorders>
              <w:tl2br w:val="nil"/>
              <w:tr2bl w:val="nil"/>
            </w:tcBorders>
          </w:tcPr>
          <w:p w14:paraId="6A1EA61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10-point evaluation scale</w:t>
            </w:r>
          </w:p>
        </w:tc>
        <w:tc>
          <w:tcPr>
            <w:tcW w:w="913" w:type="dxa"/>
            <w:tcBorders>
              <w:tl2br w:val="nil"/>
              <w:tr2bl w:val="nil"/>
            </w:tcBorders>
          </w:tcPr>
          <w:p w14:paraId="0B96A0B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4A692C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4B4DE44F">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220B4A2F">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529768FF">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715AC5FE">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Evaluation of overall social fairness</w:t>
            </w:r>
          </w:p>
        </w:tc>
        <w:tc>
          <w:tcPr>
            <w:tcW w:w="2175" w:type="dxa"/>
            <w:tcBorders>
              <w:tl2br w:val="nil"/>
              <w:tr2bl w:val="nil"/>
            </w:tcBorders>
          </w:tcPr>
          <w:p w14:paraId="3C3E5AC4">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10-point evaluation scale</w:t>
            </w:r>
          </w:p>
        </w:tc>
        <w:tc>
          <w:tcPr>
            <w:tcW w:w="913" w:type="dxa"/>
            <w:tcBorders>
              <w:tl2br w:val="nil"/>
              <w:tr2bl w:val="nil"/>
            </w:tcBorders>
          </w:tcPr>
          <w:p w14:paraId="3E75E22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417518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686757DB">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tcBorders>
              <w:tl2br w:val="nil"/>
              <w:tr2bl w:val="nil"/>
            </w:tcBorders>
          </w:tcPr>
          <w:p w14:paraId="2BF7B7F7">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Digital skills</w:t>
            </w:r>
          </w:p>
        </w:tc>
        <w:tc>
          <w:tcPr>
            <w:tcW w:w="1456" w:type="dxa"/>
            <w:tcBorders>
              <w:tl2br w:val="nil"/>
              <w:tr2bl w:val="nil"/>
            </w:tcBorders>
          </w:tcPr>
          <w:p w14:paraId="188A5D1D">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1B76FE0D">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Five types of Internet use</w:t>
            </w:r>
          </w:p>
        </w:tc>
        <w:tc>
          <w:tcPr>
            <w:tcW w:w="2175" w:type="dxa"/>
            <w:tcBorders>
              <w:tl2br w:val="nil"/>
              <w:tr2bl w:val="nil"/>
            </w:tcBorders>
          </w:tcPr>
          <w:p w14:paraId="66C3F706">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Current affairs, socialising, online shopping, business work, and wealth management; 0 = not used, 1 = used; averaged into a composite index</w:t>
            </w:r>
          </w:p>
        </w:tc>
        <w:tc>
          <w:tcPr>
            <w:tcW w:w="913" w:type="dxa"/>
            <w:tcBorders>
              <w:tl2br w:val="nil"/>
              <w:tr2bl w:val="nil"/>
            </w:tcBorders>
          </w:tcPr>
          <w:p w14:paraId="6C08841E">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30EF28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2550DA2D">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restart"/>
            <w:tcBorders>
              <w:tl2br w:val="nil"/>
              <w:tr2bl w:val="nil"/>
            </w:tcBorders>
          </w:tcPr>
          <w:p w14:paraId="1C761DE1">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cs="Times New Roman"/>
                <w:sz w:val="18"/>
                <w:szCs w:val="18"/>
              </w:rPr>
              <w:t>Individual baseline characteristics</w:t>
            </w:r>
          </w:p>
          <w:p w14:paraId="35E7D1B7">
            <w:pPr>
              <w:spacing w:before="0" w:after="0" w:line="240" w:lineRule="auto"/>
              <w:jc w:val="center"/>
              <w:rPr>
                <w:rFonts w:hint="default" w:ascii="Times New Roman" w:hAnsi="Times New Roman" w:eastAsia="宋体" w:cs="Times New Roman"/>
                <w:b w:val="0"/>
                <w:bCs/>
                <w:sz w:val="18"/>
                <w:szCs w:val="18"/>
                <w:highlight w:val="none"/>
              </w:rPr>
            </w:pPr>
          </w:p>
          <w:p w14:paraId="3F320FB0">
            <w:pPr>
              <w:spacing w:before="0" w:after="0" w:line="240" w:lineRule="auto"/>
              <w:jc w:val="center"/>
              <w:rPr>
                <w:rFonts w:hint="default" w:ascii="Times New Roman" w:hAnsi="Times New Roman" w:eastAsia="宋体" w:cs="Times New Roman"/>
                <w:b w:val="0"/>
                <w:bCs/>
                <w:sz w:val="18"/>
                <w:szCs w:val="18"/>
                <w:highlight w:val="none"/>
              </w:rPr>
            </w:pPr>
          </w:p>
          <w:p w14:paraId="115768A2">
            <w:pPr>
              <w:spacing w:before="0" w:after="0" w:line="240" w:lineRule="auto"/>
              <w:jc w:val="center"/>
              <w:rPr>
                <w:rFonts w:hint="default" w:ascii="Times New Roman" w:hAnsi="Times New Roman" w:eastAsia="宋体" w:cs="Times New Roman"/>
                <w:b w:val="0"/>
                <w:bCs/>
                <w:sz w:val="18"/>
                <w:szCs w:val="18"/>
                <w:highlight w:val="none"/>
              </w:rPr>
            </w:pPr>
          </w:p>
          <w:p w14:paraId="02DD272B">
            <w:pPr>
              <w:spacing w:before="0" w:after="0" w:line="240" w:lineRule="auto"/>
              <w:jc w:val="center"/>
              <w:rPr>
                <w:rFonts w:hint="default" w:ascii="Times New Roman" w:hAnsi="Times New Roman" w:eastAsia="宋体" w:cs="Times New Roman"/>
                <w:b w:val="0"/>
                <w:bCs/>
                <w:sz w:val="18"/>
                <w:szCs w:val="18"/>
                <w:highlight w:val="none"/>
              </w:rPr>
            </w:pPr>
          </w:p>
          <w:p w14:paraId="7CF74A81">
            <w:pPr>
              <w:spacing w:before="0" w:after="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1A39BB0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5AF228D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Community type</w:t>
            </w:r>
          </w:p>
        </w:tc>
        <w:tc>
          <w:tcPr>
            <w:tcW w:w="2175" w:type="dxa"/>
            <w:tcBorders>
              <w:tl2br w:val="nil"/>
              <w:tr2bl w:val="nil"/>
            </w:tcBorders>
          </w:tcPr>
          <w:p w14:paraId="35C69479">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7-point scale; 1 = unrenovated old urban (neighbourhood-type) community, 7 = rural village</w:t>
            </w:r>
          </w:p>
        </w:tc>
        <w:tc>
          <w:tcPr>
            <w:tcW w:w="913" w:type="dxa"/>
            <w:tcBorders>
              <w:tl2br w:val="nil"/>
              <w:tr2bl w:val="nil"/>
            </w:tcBorders>
          </w:tcPr>
          <w:p w14:paraId="15159EA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549E3A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665027A2">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0F508781">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6E4C6E8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7EFBA935">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Urban–rural status</w:t>
            </w:r>
          </w:p>
        </w:tc>
        <w:tc>
          <w:tcPr>
            <w:tcW w:w="2175" w:type="dxa"/>
            <w:tcBorders>
              <w:tl2br w:val="nil"/>
              <w:tr2bl w:val="nil"/>
            </w:tcBorders>
          </w:tcPr>
          <w:p w14:paraId="47500523">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 = rural, 2 = urban</w:t>
            </w:r>
          </w:p>
        </w:tc>
        <w:tc>
          <w:tcPr>
            <w:tcW w:w="913" w:type="dxa"/>
            <w:tcBorders>
              <w:tl2br w:val="nil"/>
              <w:tr2bl w:val="nil"/>
            </w:tcBorders>
          </w:tcPr>
          <w:p w14:paraId="09E8312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00309D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79B54E22">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0E91A5B3">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39C89F2C">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05C2A477">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Age</w:t>
            </w:r>
          </w:p>
        </w:tc>
        <w:tc>
          <w:tcPr>
            <w:tcW w:w="2175" w:type="dxa"/>
            <w:tcBorders>
              <w:tl2br w:val="nil"/>
              <w:tr2bl w:val="nil"/>
            </w:tcBorders>
          </w:tcPr>
          <w:p w14:paraId="44C77C8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Continuous variable, ranging from 20 to 66</w:t>
            </w:r>
          </w:p>
        </w:tc>
        <w:tc>
          <w:tcPr>
            <w:tcW w:w="913" w:type="dxa"/>
            <w:tcBorders>
              <w:tl2br w:val="nil"/>
              <w:tr2bl w:val="nil"/>
            </w:tcBorders>
          </w:tcPr>
          <w:p w14:paraId="1D4399E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0978CF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448D7956">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65415908">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00FC4B74">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4B3014AF">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Years of schooling</w:t>
            </w:r>
          </w:p>
        </w:tc>
        <w:tc>
          <w:tcPr>
            <w:tcW w:w="2175" w:type="dxa"/>
            <w:tcBorders>
              <w:tl2br w:val="nil"/>
              <w:tr2bl w:val="nil"/>
            </w:tcBorders>
          </w:tcPr>
          <w:p w14:paraId="08F5C921">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Continuous variable; 0 = no schooling, 16 = postgraduate</w:t>
            </w:r>
          </w:p>
        </w:tc>
        <w:tc>
          <w:tcPr>
            <w:tcW w:w="913" w:type="dxa"/>
            <w:tcBorders>
              <w:tl2br w:val="nil"/>
              <w:tr2bl w:val="nil"/>
            </w:tcBorders>
          </w:tcPr>
          <w:p w14:paraId="27ADDBF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460131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65AA5346">
            <w:pPr>
              <w:spacing w:before="20" w:after="20" w:line="240" w:lineRule="auto"/>
              <w:jc w:val="center"/>
              <w:rPr>
                <w:rFonts w:hint="default" w:ascii="Times New Roman" w:hAnsi="Times New Roman" w:eastAsia="宋体" w:cs="Times New Roman"/>
                <w:b w:val="0"/>
                <w:bCs/>
                <w:sz w:val="18"/>
                <w:szCs w:val="18"/>
                <w:highlight w:val="none"/>
              </w:rPr>
            </w:pPr>
          </w:p>
        </w:tc>
        <w:tc>
          <w:tcPr>
            <w:tcW w:w="1593" w:type="dxa"/>
            <w:vMerge w:val="continue"/>
            <w:tcBorders>
              <w:tl2br w:val="nil"/>
              <w:tr2bl w:val="nil"/>
            </w:tcBorders>
          </w:tcPr>
          <w:p w14:paraId="2658745C">
            <w:pPr>
              <w:spacing w:before="20" w:after="20" w:line="240" w:lineRule="auto"/>
              <w:jc w:val="center"/>
              <w:rPr>
                <w:rFonts w:hint="default" w:ascii="Times New Roman" w:hAnsi="Times New Roman" w:eastAsia="宋体" w:cs="Times New Roman"/>
                <w:b w:val="0"/>
                <w:bCs/>
                <w:sz w:val="18"/>
                <w:szCs w:val="18"/>
                <w:highlight w:val="none"/>
              </w:rPr>
            </w:pPr>
          </w:p>
        </w:tc>
        <w:tc>
          <w:tcPr>
            <w:tcW w:w="1456" w:type="dxa"/>
            <w:tcBorders>
              <w:tl2br w:val="nil"/>
              <w:tr2bl w:val="nil"/>
            </w:tcBorders>
          </w:tcPr>
          <w:p w14:paraId="56E9E7C2">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3E05878A">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Marital status</w:t>
            </w:r>
          </w:p>
        </w:tc>
        <w:tc>
          <w:tcPr>
            <w:tcW w:w="2175" w:type="dxa"/>
            <w:tcBorders>
              <w:tl2br w:val="nil"/>
              <w:tr2bl w:val="nil"/>
            </w:tcBorders>
          </w:tcPr>
          <w:p w14:paraId="0B170EBB">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 = unmarried, 2 = first marriage with spouse, 3 = remarried, 4 = divorced, 5 = widowed, 6 = cohabiting, etc.</w:t>
            </w:r>
          </w:p>
        </w:tc>
        <w:tc>
          <w:tcPr>
            <w:tcW w:w="913" w:type="dxa"/>
            <w:tcBorders>
              <w:tl2br w:val="nil"/>
              <w:tr2bl w:val="nil"/>
            </w:tcBorders>
          </w:tcPr>
          <w:p w14:paraId="7AA392F1">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r w14:paraId="70C515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6" w:type="dxa"/>
            <w:vMerge w:val="continue"/>
            <w:tcBorders>
              <w:tl2br w:val="nil"/>
              <w:tr2bl w:val="nil"/>
            </w:tcBorders>
          </w:tcPr>
          <w:p w14:paraId="2B05D61E">
            <w:pPr>
              <w:spacing w:before="20" w:after="20" w:line="240" w:lineRule="auto"/>
              <w:jc w:val="left"/>
              <w:rPr>
                <w:rFonts w:hint="default" w:ascii="Times New Roman" w:hAnsi="Times New Roman" w:cs="Times New Roman"/>
                <w:b w:val="0"/>
                <w:bCs/>
                <w:sz w:val="18"/>
                <w:szCs w:val="18"/>
                <w:highlight w:val="none"/>
              </w:rPr>
            </w:pPr>
          </w:p>
        </w:tc>
        <w:tc>
          <w:tcPr>
            <w:tcW w:w="1593" w:type="dxa"/>
            <w:vMerge w:val="continue"/>
            <w:tcBorders>
              <w:tl2br w:val="nil"/>
              <w:tr2bl w:val="nil"/>
            </w:tcBorders>
          </w:tcPr>
          <w:p w14:paraId="42B41A67">
            <w:pPr>
              <w:spacing w:before="20" w:after="20" w:line="240" w:lineRule="auto"/>
              <w:jc w:val="center"/>
              <w:rPr>
                <w:rFonts w:hint="default" w:ascii="Times New Roman" w:hAnsi="Times New Roman" w:cs="Times New Roman"/>
                <w:b w:val="0"/>
                <w:bCs/>
                <w:sz w:val="18"/>
                <w:szCs w:val="18"/>
                <w:highlight w:val="none"/>
              </w:rPr>
            </w:pPr>
          </w:p>
        </w:tc>
        <w:tc>
          <w:tcPr>
            <w:tcW w:w="1456" w:type="dxa"/>
            <w:tcBorders>
              <w:tl2br w:val="nil"/>
              <w:tr2bl w:val="nil"/>
            </w:tcBorders>
          </w:tcPr>
          <w:p w14:paraId="2D9D69C1">
            <w:pPr>
              <w:spacing w:before="0" w:after="0" w:line="240" w:lineRule="auto"/>
              <w:jc w:val="center"/>
              <w:rPr>
                <w:rFonts w:hint="default" w:ascii="Times New Roman" w:hAnsi="Times New Roman"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c>
          <w:tcPr>
            <w:tcW w:w="1488" w:type="dxa"/>
            <w:tcBorders>
              <w:tl2br w:val="nil"/>
              <w:tr2bl w:val="nil"/>
            </w:tcBorders>
          </w:tcPr>
          <w:p w14:paraId="0EC57918">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Self-rated physical health</w:t>
            </w:r>
          </w:p>
        </w:tc>
        <w:tc>
          <w:tcPr>
            <w:tcW w:w="2175" w:type="dxa"/>
            <w:tcBorders>
              <w:tl2br w:val="nil"/>
              <w:tr2bl w:val="nil"/>
            </w:tcBorders>
          </w:tcPr>
          <w:p w14:paraId="657833AD">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10-point scale; 1 = very poor, 10 = very good</w:t>
            </w:r>
          </w:p>
        </w:tc>
        <w:tc>
          <w:tcPr>
            <w:tcW w:w="913" w:type="dxa"/>
            <w:tcBorders>
              <w:tl2br w:val="nil"/>
              <w:tr2bl w:val="nil"/>
            </w:tcBorders>
          </w:tcPr>
          <w:p w14:paraId="3958187F">
            <w:pPr>
              <w:spacing w:before="0" w:after="0" w:line="240" w:lineRule="auto"/>
              <w:jc w:val="center"/>
              <w:rPr>
                <w:rFonts w:hint="default" w:ascii="Times New Roman" w:hAnsi="Times New Roman" w:eastAsia="宋体" w:cs="Times New Roman"/>
                <w:b w:val="0"/>
                <w:bCs/>
                <w:sz w:val="18"/>
                <w:szCs w:val="18"/>
                <w:highlight w:val="none"/>
              </w:rPr>
            </w:pPr>
            <w:r>
              <w:rPr>
                <w:rFonts w:hint="default" w:ascii="Times New Roman" w:hAnsi="Times New Roman" w:eastAsia="宋体" w:cs="Times New Roman"/>
                <w:b w:val="0"/>
                <w:bCs/>
                <w:color w:val="000000"/>
                <w:sz w:val="18"/>
                <w:szCs w:val="18"/>
                <w:highlight w:val="none"/>
              </w:rPr>
              <w:t>—</w:t>
            </w:r>
          </w:p>
        </w:tc>
      </w:tr>
    </w:tbl>
    <w:p>
      <w:r>
        <w:rPr>
          <w:b w:val="0"/>
        </w:rPr>
        <w:t>Note: All composite indices are synthesised with objective weights assigned by the entropy weight method; negative indicators are reverse-standardised before weighting.</w:t>
      </w:r>
    </w:p>
    <w:p>
      <w:r>
        <w:rPr>
          <w:b w:val="0"/>
        </w:rPr>
      </w:r>
    </w:p>
    <w:p>
      <w:r>
        <w:rPr>
          <w:b/>
        </w:rPr>
        <w:t>Supplementary Table S2 Summary of province-specific hypothesis tests</w:t>
      </w:r>
    </w:p>
    <w:tbl>
      <w:tblPr>
        <w:tblStyle w:val="33"/>
        <w:tblW w:w="8882" w:type="dxa"/>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981"/>
        <w:gridCol w:w="663"/>
        <w:gridCol w:w="1825"/>
        <w:gridCol w:w="1512"/>
        <w:gridCol w:w="1638"/>
        <w:gridCol w:w="2263"/>
      </w:tblGrid>
      <w:tr w14:paraId="65230D5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Borders>
              <w:bottom w:val="single" w:color="000000" w:sz="4" w:space="0"/>
            </w:tcBorders>
          </w:tcPr>
          <w:p w14:paraId="63D7B76A">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Province</w:t>
            </w:r>
          </w:p>
        </w:tc>
        <w:tc>
          <w:tcPr>
            <w:tcW w:w="663" w:type="dxa"/>
            <w:tcBorders>
              <w:bottom w:val="single" w:color="000000" w:sz="4" w:space="0"/>
            </w:tcBorders>
          </w:tcPr>
          <w:p w14:paraId="1F0026F4">
            <w:pPr>
              <w:spacing w:before="0" w:after="0" w:line="240" w:lineRule="auto"/>
              <w:jc w:val="center"/>
              <w:rPr>
                <w:rFonts w:hint="default" w:ascii="Times New Roman" w:hAnsi="Times New Roman" w:eastAsia="宋体" w:cs="Times New Roman"/>
                <w:lang w:eastAsia="zh-CN"/>
              </w:rPr>
            </w:pPr>
            <w:r>
              <w:rPr>
                <w:rFonts w:hint="default" w:ascii="Times New Roman" w:hAnsi="Times New Roman" w:eastAsia="宋体" w:cs="Times New Roman"/>
                <w:b/>
                <w:color w:val="000000"/>
                <w:sz w:val="18"/>
                <w:lang w:val="en-US" w:eastAsia="zh-CN"/>
              </w:rPr>
              <w:t>N</w:t>
            </w:r>
          </w:p>
        </w:tc>
        <w:tc>
          <w:tcPr>
            <w:tcW w:w="1825" w:type="dxa"/>
            <w:tcBorders>
              <w:bottom w:val="single" w:color="000000" w:sz="4" w:space="0"/>
            </w:tcBorders>
          </w:tcPr>
          <w:p w14:paraId="1F3CFBCE">
            <w:pPr>
              <w:spacing w:before="0" w:after="0" w:line="240" w:lineRule="auto"/>
              <w:jc w:val="center"/>
              <w:rPr>
                <w:rFonts w:hint="default" w:ascii="Times New Roman" w:hAnsi="Times New Roman" w:eastAsia="宋体" w:cs="Times New Roman"/>
                <w:lang w:eastAsia="zh-CN"/>
              </w:rPr>
            </w:pPr>
            <w:r>
              <w:rPr>
                <w:rFonts w:hint="default" w:ascii="Times New Roman" w:hAnsi="Times New Roman" w:eastAsia="宋体" w:cs="Times New Roman"/>
                <w:b/>
                <w:color w:val="000000"/>
                <w:sz w:val="18"/>
              </w:rPr>
              <w:t>H1: CNI → Common prosperity</w:t>
            </w:r>
          </w:p>
        </w:tc>
        <w:tc>
          <w:tcPr>
            <w:tcW w:w="1512" w:type="dxa"/>
            <w:tcBorders>
              <w:bottom w:val="single" w:color="000000" w:sz="4" w:space="0"/>
            </w:tcBorders>
          </w:tcPr>
          <w:p w14:paraId="352CA810">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H2: Indirect effect</w:t>
            </w:r>
          </w:p>
        </w:tc>
        <w:tc>
          <w:tcPr>
            <w:tcW w:w="1638" w:type="dxa"/>
            <w:tcBorders>
              <w:bottom w:val="single" w:color="000000" w:sz="4" w:space="0"/>
            </w:tcBorders>
          </w:tcPr>
          <w:p w14:paraId="63D418C6">
            <w:pPr>
              <w:spacing w:before="0" w:after="0"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b/>
                <w:color w:val="000000"/>
                <w:sz w:val="18"/>
              </w:rPr>
              <w:t>H3: CNI × IIEI → Social capital</w:t>
            </w:r>
          </w:p>
        </w:tc>
        <w:tc>
          <w:tcPr>
            <w:tcW w:w="2263" w:type="dxa"/>
            <w:tcBorders>
              <w:bottom w:val="single" w:color="000000" w:sz="4" w:space="0"/>
            </w:tcBorders>
          </w:tcPr>
          <w:p w14:paraId="0D9FF1A0">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H4: Social capital × IIEI → Common prosperity</w:t>
            </w:r>
          </w:p>
        </w:tc>
      </w:tr>
      <w:tr w14:paraId="580EBC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6543D6FA">
            <w:pPr>
              <w:spacing w:before="0" w:after="0" w:line="240" w:lineRule="auto"/>
              <w:jc w:val="left"/>
              <w:rPr>
                <w:rFonts w:hint="default" w:ascii="Times New Roman" w:hAnsi="Times New Roman" w:eastAsia="宋体" w:cs="Times New Roman"/>
                <w:lang w:eastAsia="zh-CN"/>
              </w:rPr>
            </w:pPr>
            <w:r>
              <w:rPr>
                <w:rFonts w:hint="default" w:ascii="Times New Roman" w:hAnsi="Times New Roman" w:eastAsia="宋体" w:cs="Times New Roman"/>
                <w:b w:val="0"/>
                <w:color w:val="000000"/>
                <w:sz w:val="18"/>
                <w:lang w:eastAsia="zh-CN"/>
              </w:rPr>
              <w:t>Yunnan</w:t>
            </w:r>
          </w:p>
        </w:tc>
        <w:tc>
          <w:tcPr>
            <w:tcW w:w="663" w:type="dxa"/>
          </w:tcPr>
          <w:p w14:paraId="7B78B93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414</w:t>
            </w:r>
          </w:p>
        </w:tc>
        <w:tc>
          <w:tcPr>
            <w:tcW w:w="1825" w:type="dxa"/>
          </w:tcPr>
          <w:p w14:paraId="672AA4BF">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1.863***</w:t>
            </w:r>
          </w:p>
        </w:tc>
        <w:tc>
          <w:tcPr>
            <w:tcW w:w="1512" w:type="dxa"/>
          </w:tcPr>
          <w:p w14:paraId="7A1CDA2B">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1.487(79.8%)</w:t>
            </w:r>
          </w:p>
        </w:tc>
        <w:tc>
          <w:tcPr>
            <w:tcW w:w="1638" w:type="dxa"/>
          </w:tcPr>
          <w:p w14:paraId="602C459E">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1.465</w:t>
            </w:r>
          </w:p>
        </w:tc>
        <w:tc>
          <w:tcPr>
            <w:tcW w:w="2263" w:type="dxa"/>
          </w:tcPr>
          <w:p w14:paraId="0A12AC7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0.600</w:t>
            </w:r>
          </w:p>
        </w:tc>
      </w:tr>
      <w:tr w14:paraId="5CE0316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221" w:hRule="atLeast"/>
          <w:jc w:val="center"/>
        </w:trPr>
        <w:tc>
          <w:tcPr>
            <w:tcW w:w="981" w:type="dxa"/>
          </w:tcPr>
          <w:p w14:paraId="64D046B1">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Guangxi</w:t>
            </w:r>
          </w:p>
        </w:tc>
        <w:tc>
          <w:tcPr>
            <w:tcW w:w="663" w:type="dxa"/>
          </w:tcPr>
          <w:p w14:paraId="29034FE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415</w:t>
            </w:r>
          </w:p>
        </w:tc>
        <w:tc>
          <w:tcPr>
            <w:tcW w:w="1825" w:type="dxa"/>
          </w:tcPr>
          <w:p w14:paraId="2B0356B9">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1.925***</w:t>
            </w:r>
          </w:p>
        </w:tc>
        <w:tc>
          <w:tcPr>
            <w:tcW w:w="1512" w:type="dxa"/>
          </w:tcPr>
          <w:p w14:paraId="79CC40E6">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1.215(63.1%)</w:t>
            </w:r>
          </w:p>
        </w:tc>
        <w:tc>
          <w:tcPr>
            <w:tcW w:w="1638" w:type="dxa"/>
          </w:tcPr>
          <w:p w14:paraId="5C2CB903">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1.960*</w:t>
            </w:r>
          </w:p>
        </w:tc>
        <w:tc>
          <w:tcPr>
            <w:tcW w:w="2263" w:type="dxa"/>
          </w:tcPr>
          <w:p w14:paraId="6EC5BC6B">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3.023</w:t>
            </w:r>
          </w:p>
        </w:tc>
      </w:tr>
      <w:tr w14:paraId="7CA8745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15628689">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Inner Mongolia</w:t>
            </w:r>
          </w:p>
        </w:tc>
        <w:tc>
          <w:tcPr>
            <w:tcW w:w="663" w:type="dxa"/>
          </w:tcPr>
          <w:p w14:paraId="1E3DCBEF">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248</w:t>
            </w:r>
          </w:p>
        </w:tc>
        <w:tc>
          <w:tcPr>
            <w:tcW w:w="1825" w:type="dxa"/>
          </w:tcPr>
          <w:p w14:paraId="381E72F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2.068***</w:t>
            </w:r>
          </w:p>
        </w:tc>
        <w:tc>
          <w:tcPr>
            <w:tcW w:w="1512" w:type="dxa"/>
          </w:tcPr>
          <w:p w14:paraId="4464AE70">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1.318(63.8%)</w:t>
            </w:r>
          </w:p>
        </w:tc>
        <w:tc>
          <w:tcPr>
            <w:tcW w:w="1638" w:type="dxa"/>
          </w:tcPr>
          <w:p w14:paraId="648E0ED9">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0.766</w:t>
            </w:r>
          </w:p>
        </w:tc>
        <w:tc>
          <w:tcPr>
            <w:tcW w:w="2263" w:type="dxa"/>
          </w:tcPr>
          <w:p w14:paraId="5B323F00">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7.944</w:t>
            </w:r>
          </w:p>
        </w:tc>
      </w:tr>
      <w:tr w14:paraId="1B5DB11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0E8059FB">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Guizhou</w:t>
            </w:r>
          </w:p>
        </w:tc>
        <w:tc>
          <w:tcPr>
            <w:tcW w:w="663" w:type="dxa"/>
          </w:tcPr>
          <w:p w14:paraId="3EBFBA44">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333</w:t>
            </w:r>
          </w:p>
        </w:tc>
        <w:tc>
          <w:tcPr>
            <w:tcW w:w="1825" w:type="dxa"/>
          </w:tcPr>
          <w:p w14:paraId="5C1F1A1E">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2.094***</w:t>
            </w:r>
          </w:p>
        </w:tc>
        <w:tc>
          <w:tcPr>
            <w:tcW w:w="1512" w:type="dxa"/>
          </w:tcPr>
          <w:p w14:paraId="00BD16BC">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1.736(82.9%)</w:t>
            </w:r>
          </w:p>
        </w:tc>
        <w:tc>
          <w:tcPr>
            <w:tcW w:w="1638" w:type="dxa"/>
          </w:tcPr>
          <w:p w14:paraId="11E634EE">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1.726</w:t>
            </w:r>
          </w:p>
        </w:tc>
        <w:tc>
          <w:tcPr>
            <w:tcW w:w="2263" w:type="dxa"/>
          </w:tcPr>
          <w:p w14:paraId="6137C396">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2.158</w:t>
            </w:r>
          </w:p>
        </w:tc>
      </w:tr>
      <w:tr w14:paraId="771CCE4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317CAFEC">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Qinghai</w:t>
            </w:r>
          </w:p>
        </w:tc>
        <w:tc>
          <w:tcPr>
            <w:tcW w:w="663" w:type="dxa"/>
          </w:tcPr>
          <w:p w14:paraId="137932FC">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85</w:t>
            </w:r>
          </w:p>
        </w:tc>
        <w:tc>
          <w:tcPr>
            <w:tcW w:w="1825" w:type="dxa"/>
          </w:tcPr>
          <w:p w14:paraId="23EB204A">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2.260***</w:t>
            </w:r>
          </w:p>
        </w:tc>
        <w:tc>
          <w:tcPr>
            <w:tcW w:w="1512" w:type="dxa"/>
          </w:tcPr>
          <w:p w14:paraId="60076622">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0.941(41.6%)</w:t>
            </w:r>
          </w:p>
        </w:tc>
        <w:tc>
          <w:tcPr>
            <w:tcW w:w="1638" w:type="dxa"/>
          </w:tcPr>
          <w:p w14:paraId="3EA94811">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2.515*</w:t>
            </w:r>
          </w:p>
        </w:tc>
        <w:tc>
          <w:tcPr>
            <w:tcW w:w="2263" w:type="dxa"/>
          </w:tcPr>
          <w:p w14:paraId="60C0A703">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-5.447</w:t>
            </w:r>
          </w:p>
        </w:tc>
      </w:tr>
      <w:tr w14:paraId="47C65AC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56EA7FB3">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Ningxia</w:t>
            </w:r>
          </w:p>
        </w:tc>
        <w:tc>
          <w:tcPr>
            <w:tcW w:w="663" w:type="dxa"/>
          </w:tcPr>
          <w:p w14:paraId="14DF2962">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84</w:t>
            </w:r>
          </w:p>
        </w:tc>
        <w:tc>
          <w:tcPr>
            <w:tcW w:w="1825" w:type="dxa"/>
          </w:tcPr>
          <w:p w14:paraId="0924DDED">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2.335***</w:t>
            </w:r>
          </w:p>
        </w:tc>
        <w:tc>
          <w:tcPr>
            <w:tcW w:w="1512" w:type="dxa"/>
          </w:tcPr>
          <w:p w14:paraId="35A2586C">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1.251(53.6%)</w:t>
            </w:r>
          </w:p>
        </w:tc>
        <w:tc>
          <w:tcPr>
            <w:tcW w:w="1638" w:type="dxa"/>
          </w:tcPr>
          <w:p w14:paraId="1068D81D">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1.976</w:t>
            </w:r>
          </w:p>
        </w:tc>
        <w:tc>
          <w:tcPr>
            <w:tcW w:w="2263" w:type="dxa"/>
          </w:tcPr>
          <w:p w14:paraId="6BD4384B">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7.419</w:t>
            </w:r>
          </w:p>
        </w:tc>
      </w:tr>
      <w:tr w14:paraId="38D4E09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49487873">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Xinjiang</w:t>
            </w:r>
          </w:p>
        </w:tc>
        <w:tc>
          <w:tcPr>
            <w:tcW w:w="663" w:type="dxa"/>
          </w:tcPr>
          <w:p w14:paraId="09128AEA">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256</w:t>
            </w:r>
          </w:p>
        </w:tc>
        <w:tc>
          <w:tcPr>
            <w:tcW w:w="1825" w:type="dxa"/>
          </w:tcPr>
          <w:p w14:paraId="7F3B9BA6">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2.534***</w:t>
            </w:r>
          </w:p>
        </w:tc>
        <w:tc>
          <w:tcPr>
            <w:tcW w:w="1512" w:type="dxa"/>
          </w:tcPr>
          <w:p w14:paraId="2D0ADE5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2.015(79.5%)</w:t>
            </w:r>
          </w:p>
        </w:tc>
        <w:tc>
          <w:tcPr>
            <w:tcW w:w="1638" w:type="dxa"/>
          </w:tcPr>
          <w:p w14:paraId="7B7081E9">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3.080***</w:t>
            </w:r>
          </w:p>
        </w:tc>
        <w:tc>
          <w:tcPr>
            <w:tcW w:w="2263" w:type="dxa"/>
          </w:tcPr>
          <w:p w14:paraId="49E8E632">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3.852</w:t>
            </w:r>
          </w:p>
        </w:tc>
      </w:tr>
      <w:tr w14:paraId="4A3F18B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1E8D6229">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Xizang</w:t>
            </w:r>
          </w:p>
        </w:tc>
        <w:tc>
          <w:tcPr>
            <w:tcW w:w="663" w:type="dxa"/>
          </w:tcPr>
          <w:p w14:paraId="6D06D6A8">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81</w:t>
            </w:r>
          </w:p>
        </w:tc>
        <w:tc>
          <w:tcPr>
            <w:tcW w:w="1825" w:type="dxa"/>
          </w:tcPr>
          <w:p w14:paraId="01471C19">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2.833***</w:t>
            </w:r>
          </w:p>
        </w:tc>
        <w:tc>
          <w:tcPr>
            <w:tcW w:w="1512" w:type="dxa"/>
          </w:tcPr>
          <w:p w14:paraId="34E415B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1.949(68.8%)</w:t>
            </w:r>
          </w:p>
        </w:tc>
        <w:tc>
          <w:tcPr>
            <w:tcW w:w="1638" w:type="dxa"/>
          </w:tcPr>
          <w:p w14:paraId="16174D2A">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1.756</w:t>
            </w:r>
          </w:p>
        </w:tc>
        <w:tc>
          <w:tcPr>
            <w:tcW w:w="2263" w:type="dxa"/>
          </w:tcPr>
          <w:p w14:paraId="2CBE706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8.078</w:t>
            </w:r>
          </w:p>
        </w:tc>
      </w:tr>
      <w:tr w14:paraId="2EF71FD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81" w:type="dxa"/>
          </w:tcPr>
          <w:p w14:paraId="01C60684">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Full sample</w:t>
            </w:r>
          </w:p>
        </w:tc>
        <w:tc>
          <w:tcPr>
            <w:tcW w:w="663" w:type="dxa"/>
          </w:tcPr>
          <w:p w14:paraId="4DCDF445">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1916</w:t>
            </w:r>
          </w:p>
        </w:tc>
        <w:tc>
          <w:tcPr>
            <w:tcW w:w="1825" w:type="dxa"/>
          </w:tcPr>
          <w:p w14:paraId="231C36C0">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1.951***</w:t>
            </w:r>
          </w:p>
        </w:tc>
        <w:tc>
          <w:tcPr>
            <w:tcW w:w="1512" w:type="dxa"/>
          </w:tcPr>
          <w:p w14:paraId="26058293">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1.515(77.6%)</w:t>
            </w:r>
          </w:p>
        </w:tc>
        <w:tc>
          <w:tcPr>
            <w:tcW w:w="1638" w:type="dxa"/>
          </w:tcPr>
          <w:p w14:paraId="1CD8ADEC">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1.996***</w:t>
            </w:r>
          </w:p>
        </w:tc>
        <w:tc>
          <w:tcPr>
            <w:tcW w:w="2263" w:type="dxa"/>
          </w:tcPr>
          <w:p w14:paraId="6EAB7F97">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3.767**</w:t>
            </w:r>
          </w:p>
        </w:tc>
      </w:tr>
    </w:tbl>
    <w:p>
      <w:r>
        <w:rPr>
          <w:b w:val="0"/>
        </w:rPr>
        <w:t>Note: All province-level models include the same control variables as the full sample and use heteroskedasticity-robust standard errors; *** p &lt; 0.01, ** p &lt; 0.05, * p &lt; 0.1; the figures in parentheses in the H2 column are the shares of the indirect effect in the total effect, and the indirect effects of all provinces pass the Sobel test (p &lt; 0.01).</w:t>
      </w:r>
    </w:p>
    <w:p>
      <w:r>
        <w:rPr>
          <w:b w:val="0"/>
        </w:rPr>
      </w:r>
    </w:p>
    <w:p>
      <w:r>
        <w:rPr>
          <w:b/>
        </w:rPr>
        <w:t>Supplementary Table S3 Summary of cross-temporal validation of research hypotheses</w:t>
      </w:r>
    </w:p>
    <w:tbl>
      <w:tblPr>
        <w:tblStyle w:val="33"/>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261"/>
        <w:gridCol w:w="1472"/>
        <w:gridCol w:w="1659"/>
        <w:gridCol w:w="1697"/>
        <w:gridCol w:w="1632"/>
      </w:tblGrid>
      <w:tr w14:paraId="71539F7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261" w:type="dxa"/>
            <w:tcBorders>
              <w:bottom w:val="single" w:color="000000" w:sz="4" w:space="0"/>
            </w:tcBorders>
          </w:tcPr>
          <w:p w14:paraId="1DDAE85E">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Research hypothesis</w:t>
            </w:r>
          </w:p>
        </w:tc>
        <w:tc>
          <w:tcPr>
            <w:tcW w:w="1472" w:type="dxa"/>
            <w:tcBorders>
              <w:bottom w:val="single" w:color="000000" w:sz="4" w:space="0"/>
            </w:tcBorders>
          </w:tcPr>
          <w:p w14:paraId="296100CF">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2023 main model</w:t>
            </w:r>
          </w:p>
        </w:tc>
        <w:tc>
          <w:tcPr>
            <w:tcW w:w="1659" w:type="dxa"/>
            <w:tcBorders>
              <w:bottom w:val="single" w:color="000000" w:sz="4" w:space="0"/>
            </w:tcBorders>
          </w:tcPr>
          <w:p w14:paraId="6DBA2CEE">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2021 replication test</w:t>
            </w:r>
          </w:p>
        </w:tc>
        <w:tc>
          <w:tcPr>
            <w:tcW w:w="1697" w:type="dxa"/>
            <w:tcBorders>
              <w:bottom w:val="single" w:color="000000" w:sz="4" w:space="0"/>
            </w:tcBorders>
          </w:tcPr>
          <w:p w14:paraId="0356A51A">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Directional consistency</w:t>
            </w:r>
          </w:p>
        </w:tc>
        <w:tc>
          <w:tcPr>
            <w:tcW w:w="1632" w:type="dxa"/>
            <w:tcBorders>
              <w:bottom w:val="single" w:color="000000" w:sz="4" w:space="0"/>
            </w:tcBorders>
          </w:tcPr>
          <w:p w14:paraId="73C3FD96">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color w:val="000000"/>
                <w:sz w:val="18"/>
              </w:rPr>
              <w:t>Conclusion</w:t>
            </w:r>
          </w:p>
        </w:tc>
      </w:tr>
      <w:tr w14:paraId="58AE0E4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261" w:type="dxa"/>
          </w:tcPr>
          <w:p w14:paraId="3DE9EE88">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H1: CNI significantly and positively promotes common prosperity</w:t>
            </w:r>
          </w:p>
        </w:tc>
        <w:tc>
          <w:tcPr>
            <w:tcW w:w="1472" w:type="dxa"/>
          </w:tcPr>
          <w:p w14:paraId="7E859DF0">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Direct effect 0.5395***</w:t>
            </w:r>
          </w:p>
        </w:tc>
        <w:tc>
          <w:tcPr>
            <w:tcW w:w="1659" w:type="dxa"/>
          </w:tcPr>
          <w:p w14:paraId="63F5D80F">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Direct effect 0.1723***</w:t>
            </w:r>
          </w:p>
        </w:tc>
        <w:tc>
          <w:tcPr>
            <w:tcW w:w="1697" w:type="dxa"/>
          </w:tcPr>
          <w:p w14:paraId="61C2A1E1">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Consistent</w:t>
            </w:r>
          </w:p>
        </w:tc>
        <w:tc>
          <w:tcPr>
            <w:tcW w:w="1632" w:type="dxa"/>
          </w:tcPr>
          <w:p w14:paraId="20F8C783">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Supported again</w:t>
            </w:r>
          </w:p>
        </w:tc>
      </w:tr>
      <w:tr w14:paraId="3AB38AA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261" w:type="dxa"/>
          </w:tcPr>
          <w:p w14:paraId="1F7A603D">
            <w:pPr>
              <w:spacing w:before="0" w:after="0" w:line="240" w:lineRule="auto"/>
              <w:jc w:val="left"/>
              <w:rPr>
                <w:rFonts w:hint="default" w:ascii="Times New Roman" w:hAnsi="Times New Roman" w:cs="Times New Roman"/>
              </w:rPr>
            </w:pPr>
            <w:r>
              <w:rPr>
                <w:rFonts w:hint="default" w:ascii="Times New Roman" w:hAnsi="Times New Roman" w:eastAsia="宋体" w:cs="Times New Roman"/>
                <w:b w:val="0"/>
                <w:color w:val="000000"/>
                <w:sz w:val="18"/>
              </w:rPr>
              <w:t>H2: Social capital plays a mediating role</w:t>
            </w:r>
          </w:p>
        </w:tc>
        <w:tc>
          <w:tcPr>
            <w:tcW w:w="1472" w:type="dxa"/>
          </w:tcPr>
          <w:p w14:paraId="3760A092">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Indirect effect 2.3242***, accounting for 81.16%</w:t>
            </w:r>
          </w:p>
        </w:tc>
        <w:tc>
          <w:tcPr>
            <w:tcW w:w="1659" w:type="dxa"/>
          </w:tcPr>
          <w:p w14:paraId="7BB8F252">
            <w:pPr>
              <w:spacing w:before="0" w:after="0" w:line="240" w:lineRule="auto"/>
              <w:jc w:val="center"/>
              <w:rPr>
                <w:rFonts w:hint="default" w:ascii="Times New Roman" w:hAnsi="Times New Roman" w:cs="Times New Roman"/>
              </w:rPr>
            </w:pPr>
            <w:r>
              <w:rPr>
                <w:rFonts w:hint="default" w:ascii="Times New Roman" w:hAnsi="Times New Roman" w:eastAsia="宋体" w:cs="Times New Roman"/>
                <w:color w:val="000000"/>
                <w:sz w:val="18"/>
              </w:rPr>
              <w:t>Indirect effect 0.0465, CI excludes zero, accounting for 21.2%, Sobel test = 3.16</w:t>
            </w:r>
          </w:p>
        </w:tc>
        <w:tc>
          <w:tcPr>
            <w:tcW w:w="1697" w:type="dxa"/>
          </w:tcPr>
          <w:p w14:paraId="2E3580FD">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Consistent</w:t>
            </w:r>
          </w:p>
        </w:tc>
        <w:tc>
          <w:tcPr>
            <w:tcW w:w="1632" w:type="dxa"/>
          </w:tcPr>
          <w:p w14:paraId="3F59BE9F">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Supported again</w:t>
            </w:r>
          </w:p>
        </w:tc>
      </w:tr>
      <w:tr w14:paraId="3EA523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261" w:type="dxa"/>
          </w:tcPr>
          <w:p w14:paraId="125E480B">
            <w:pPr>
              <w:spacing w:before="0" w:after="0" w:line="240" w:lineRule="auto"/>
              <w:jc w:val="left"/>
              <w:rPr>
                <w:rFonts w:hint="default" w:ascii="Times New Roman" w:hAnsi="Times New Roman" w:cs="Times New Roman"/>
              </w:rPr>
            </w:pPr>
            <w:r>
              <w:rPr>
                <w:rFonts w:hint="default" w:ascii="Times New Roman" w:hAnsi="Times New Roman" w:eastAsia="宋体" w:cs="Times New Roman"/>
                <w:color w:val="000000"/>
                <w:sz w:val="18"/>
              </w:rPr>
              <w:t>H3: IIEI positively moderates CNI → Social capital (first stage)</w:t>
            </w:r>
          </w:p>
        </w:tc>
        <w:tc>
          <w:tcPr>
            <w:tcW w:w="1472" w:type="dxa"/>
          </w:tcPr>
          <w:p w14:paraId="56111AA0">
            <w:pPr>
              <w:spacing w:before="0" w:after="0" w:line="240" w:lineRule="auto"/>
              <w:jc w:val="center"/>
              <w:rPr>
                <w:rFonts w:hint="default" w:ascii="Times New Roman" w:hAnsi="Times New Roman" w:cs="Times New Roman"/>
              </w:rPr>
            </w:pPr>
            <w:r>
              <w:rPr>
                <w:rFonts w:hint="default" w:ascii="Times New Roman" w:hAnsi="Times New Roman" w:eastAsia="宋体" w:cs="Times New Roman"/>
                <w:color w:val="000000"/>
                <w:sz w:val="18"/>
              </w:rPr>
              <w:t>CNI × IIEI = 1.9958***</w:t>
            </w:r>
          </w:p>
        </w:tc>
        <w:tc>
          <w:tcPr>
            <w:tcW w:w="1659" w:type="dxa"/>
          </w:tcPr>
          <w:p w14:paraId="4DCBC239">
            <w:pPr>
              <w:spacing w:before="0" w:after="0" w:line="240" w:lineRule="auto"/>
              <w:jc w:val="center"/>
              <w:rPr>
                <w:rFonts w:hint="default" w:ascii="Times New Roman" w:hAnsi="Times New Roman" w:cs="Times New Roman"/>
              </w:rPr>
            </w:pPr>
            <w:r>
              <w:rPr>
                <w:rFonts w:hint="default" w:ascii="Times New Roman" w:hAnsi="Times New Roman" w:eastAsia="宋体" w:cs="Times New Roman"/>
                <w:color w:val="000000"/>
                <w:sz w:val="18"/>
              </w:rPr>
              <w:t>CNI × IIEI = 0.3399***</w:t>
            </w:r>
          </w:p>
        </w:tc>
        <w:tc>
          <w:tcPr>
            <w:tcW w:w="1697" w:type="dxa"/>
          </w:tcPr>
          <w:p w14:paraId="4E50A5AA">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Consistent and significant</w:t>
            </w:r>
          </w:p>
        </w:tc>
        <w:tc>
          <w:tcPr>
            <w:tcW w:w="1632" w:type="dxa"/>
          </w:tcPr>
          <w:p w14:paraId="4755DC5C">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Supported</w:t>
            </w:r>
          </w:p>
        </w:tc>
      </w:tr>
      <w:tr w14:paraId="49FCAB7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261" w:type="dxa"/>
          </w:tcPr>
          <w:p w14:paraId="060904D1">
            <w:pPr>
              <w:spacing w:before="0" w:after="0" w:line="240" w:lineRule="auto"/>
              <w:jc w:val="left"/>
              <w:rPr>
                <w:rFonts w:hint="default" w:ascii="Times New Roman" w:hAnsi="Times New Roman" w:cs="Times New Roman"/>
              </w:rPr>
            </w:pPr>
            <w:r>
              <w:rPr>
                <w:rFonts w:hint="default" w:ascii="Times New Roman" w:hAnsi="Times New Roman" w:eastAsia="宋体" w:cs="Times New Roman"/>
                <w:color w:val="000000"/>
                <w:sz w:val="18"/>
              </w:rPr>
              <w:t>H4: IIEI positively moderates Social capital → Common prosperity (second stage) and the indirect effect</w:t>
            </w:r>
          </w:p>
        </w:tc>
        <w:tc>
          <w:tcPr>
            <w:tcW w:w="1472" w:type="dxa"/>
          </w:tcPr>
          <w:p w14:paraId="0EF94C96">
            <w:pPr>
              <w:spacing w:before="0" w:after="0" w:line="240" w:lineRule="auto"/>
              <w:jc w:val="center"/>
              <w:rPr>
                <w:rFonts w:hint="default" w:ascii="Times New Roman" w:hAnsi="Times New Roman" w:cs="Times New Roman"/>
              </w:rPr>
            </w:pPr>
            <w:r>
              <w:rPr>
                <w:rFonts w:hint="default" w:ascii="Times New Roman" w:hAnsi="Times New Roman" w:eastAsia="宋体" w:cs="Times New Roman"/>
                <w:color w:val="000000"/>
                <w:sz w:val="18"/>
              </w:rPr>
              <w:t>Social capital × IIEI = 3.7671**</w:t>
            </w:r>
          </w:p>
        </w:tc>
        <w:tc>
          <w:tcPr>
            <w:tcW w:w="1659" w:type="dxa"/>
          </w:tcPr>
          <w:p w14:paraId="496BB6F9">
            <w:pPr>
              <w:spacing w:before="0" w:after="0" w:line="240" w:lineRule="auto"/>
              <w:jc w:val="center"/>
              <w:rPr>
                <w:rFonts w:hint="default" w:ascii="Times New Roman" w:hAnsi="Times New Roman" w:cs="Times New Roman"/>
              </w:rPr>
            </w:pPr>
            <w:r>
              <w:rPr>
                <w:rFonts w:hint="default" w:ascii="Times New Roman" w:hAnsi="Times New Roman" w:eastAsia="宋体" w:cs="Times New Roman"/>
                <w:color w:val="000000"/>
                <w:sz w:val="18"/>
              </w:rPr>
              <w:t>Social capital × IIEI = 0.053*</w:t>
            </w:r>
          </w:p>
        </w:tc>
        <w:tc>
          <w:tcPr>
            <w:tcW w:w="1697" w:type="dxa"/>
          </w:tcPr>
          <w:p w14:paraId="3D8EDFF1">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Directionally consistent and marginally significant</w:t>
            </w:r>
          </w:p>
        </w:tc>
        <w:tc>
          <w:tcPr>
            <w:tcW w:w="1632" w:type="dxa"/>
          </w:tcPr>
          <w:p w14:paraId="6EEA929B">
            <w:pP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color w:val="000000"/>
                <w:sz w:val="18"/>
              </w:rPr>
              <w:t>Supported</w:t>
            </w:r>
          </w:p>
        </w:tc>
      </w:tr>
    </w:tbl>
    <w:p>
      <w:r>
        <w:rPr>
          <w:b w:val="0"/>
        </w:rPr>
        <w:t>Note: *** p &lt; 0.01, ** p &lt; 0.05, * p &lt; 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