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88" w:lineRule="auto"/>
      </w:pPr>
      <w:r>
        <w:rPr>
          <w:b/>
          <w:i w:val="0"/>
          <w:sz w:val="30"/>
        </w:rPr>
        <w:t>Supplementary Information</w:t>
      </w:r>
    </w:p>
    <w:p>
      <w:pPr>
        <w:spacing w:before="0" w:after="120" w:line="288" w:lineRule="auto"/>
      </w:pPr>
      <w:r>
        <w:rPr>
          <w:b/>
          <w:i w:val="0"/>
          <w:sz w:val="24"/>
        </w:rPr>
        <w:t>NISAR offsets measure pre-failure motion but do not single out the Bhote Koshi avalanche source</w:t>
      </w:r>
    </w:p>
    <w:p>
      <w:pPr>
        <w:spacing w:before="0" w:after="40" w:line="240" w:lineRule="auto"/>
      </w:pPr>
      <w:r>
        <w:rPr>
          <w:b w:val="0"/>
          <w:i w:val="0"/>
          <w:sz w:val="22"/>
        </w:rPr>
        <w:t>Sansar Raj Meena</w:t>
      </w:r>
    </w:p>
    <w:p>
      <w:pPr>
        <w:spacing w:before="0" w:after="160" w:line="240" w:lineRule="auto"/>
      </w:pPr>
      <w:r>
        <w:rPr>
          <w:b w:val="0"/>
          <w:i w:val="0"/>
          <w:sz w:val="20"/>
        </w:rPr>
        <w:t>Geophysics Department, SpatioAI Lab, National Institute of Oceanography and Applied Geophysics – OGS, Borgo Grotta Gigante 42/C, 34010 Sgonico, Trieste, Italy</w:t>
      </w:r>
    </w:p>
    <w:p>
      <w:pPr>
        <w:spacing w:before="0" w:after="200" w:line="276" w:lineRule="auto"/>
      </w:pPr>
      <w:r>
        <w:rPr>
          <w:b w:val="0"/>
          <w:i w:val="0"/>
          <w:sz w:val="20"/>
        </w:rPr>
        <w:t>This file contains Supplementary Figs. 1–3 and Supplementary Tables 1–6. Supplementary Fig. 1 and Supplementary Table 5 derive from third-party data licensed CC BY-NC 4.0 (© Geopera / Vantor) and are excluded from the article licence; all other items are CC BY 4.0.</w:t>
      </w:r>
    </w:p>
    <w:p>
      <w:pPr>
        <w:spacing w:before="120" w:after="80"/>
      </w:pPr>
      <w:r>
        <w:rPr>
          <w:b/>
          <w:i w:val="0"/>
          <w:sz w:val="26"/>
        </w:rPr>
        <w:t>Supplementary figures</w:t>
      </w:r>
    </w:p>
    <w:p>
      <w:pPr>
        <w:spacing w:before="120" w:after="120" w:line="276" w:lineRule="auto"/>
        <w:jc w:val="both"/>
      </w:pPr>
      <w:r>
        <w:rPr>
          <w:b/>
          <w:sz w:val="22"/>
        </w:rPr>
        <w:t xml:space="preserve">Supplementary Fig. 1 | Independent stable-ground check of the third-party Geopera v1.1 elevation-change product. </w:t>
      </w:r>
      <w:r>
        <w:rPr>
          <w:i w:val="0"/>
          <w:sz w:val="22"/>
        </w:rPr>
        <w:t>a, Density of elevation change (dh, clipped to ±15 m) on ground outside the release’s own erosion and deposition polygons, for reach A, Rasuwagadhi–Timure (orange), and reach B, Syabrubesi (blue); dashed lines mark the medians and the solid black line zero. A well co-registered product centres on zero. Median and normalised median absolute deviation are −2.33 m and 4.50 m (stated 1σ 3.10 m) for reach A and −0.33 m and 2.19 m (stated 1σ 1.45 m) for reach B. b, Optical cross-check over reach B: the release’s erosion (red) and deposition (yellow) polygons on pre-event PlanetScope imagery of 27 May 2026 (left) and post-event Pelican imagery of 27 August 2026 (right); scale bar 1 km. c, Percentage of pixels whose |dh| exceeds 1σ, 2σ and 3σ of the stated uncertainty, inside the change polygons (solid bars) and on stable ground (hatched, pale bars), for both reaches; the stable-ground fraction is the false-positive rate and the legend gives the signal-to-noise ratio (|median change| / σ). Elevation change is from WorldView-3 stereo (© Vantor, CC BY-NC 4.0) differenced against pre-event NASA HMA terrain, as released by Geopera (Weedman 2026); stable ground includes vegetated slopes against a decade-old reference, so the check is conservative. This is not our measurement and no result in the main text depends on it. Imagery in b © Planet Labs PBC.</w:t>
      </w:r>
    </w:p>
    <w:p>
      <w:pPr>
        <w:spacing w:before="80" w:after="240"/>
        <w:jc w:val="center"/>
      </w:pPr>
      <w:r>
        <w:drawing>
          <wp:inline xmlns:a="http://schemas.openxmlformats.org/drawingml/2006/main" xmlns:pic="http://schemas.openxmlformats.org/drawingml/2006/picture">
            <wp:extent cx="5760720" cy="20467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S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46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120" w:after="120" w:line="276" w:lineRule="auto"/>
        <w:jc w:val="both"/>
      </w:pPr>
      <w:r>
        <w:rPr>
          <w:b/>
          <w:sz w:val="22"/>
        </w:rPr>
        <w:t xml:space="preserve">Supplementary Fig. 2 | The source area before and after failure in optical imagery. </w:t>
      </w:r>
      <w:r>
        <w:rPr>
          <w:i w:val="0"/>
          <w:sz w:val="22"/>
        </w:rPr>
        <w:t>PlanetScope visual scenes (3 m) over the crown, all three reprojected to one grid and stretched jointly (2–98 %): a, 28 December 2025 (pre-event, winter); b, 17 June 2026 (pre-event, three days before the first NISAR acquisition analysed); c, 28 August 2026 (two days after failure). Window 85.516–85.543° E, 28.277–28.304° N, about 2.6 × 3.0 km; yellow circle and cross, detachment at 85.530° E / 28.290° N; white dashed rectangle, the crown analysis polygon of Figs 1b–3 (85.5245–85.5400° E, 28.2847–28.2970° N); grey, no data (scene edge); scale bar 1 km in every panel; north arrow in c. The post-event scene shows the detachment scar and fresh debris. No displacement is measured from optical data in this study, and the imagery is used under a research licence and not redistributed. Imagery © Planet Labs PBC. Fraction of bright (snow/cloud) pixels: a 39 %, b 68 %, c 30 %; 13 % of c is outside the scene (grey).</w:t>
      </w:r>
    </w:p>
    <w:p>
      <w:pPr>
        <w:spacing w:before="80" w:after="240"/>
        <w:jc w:val="center"/>
      </w:pPr>
      <w:r>
        <w:drawing>
          <wp:inline xmlns:a="http://schemas.openxmlformats.org/drawingml/2006/main" xmlns:pic="http://schemas.openxmlformats.org/drawingml/2006/picture">
            <wp:extent cx="5760720" cy="220669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S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066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120" w:after="120" w:line="276" w:lineRule="auto"/>
        <w:jc w:val="both"/>
      </w:pPr>
      <w:r>
        <w:rPr>
          <w:b/>
          <w:sz w:val="22"/>
        </w:rPr>
        <w:t xml:space="preserve">Supplementary Fig. 3 | Coverage of the five GOFF pairs across the footprint. </w:t>
      </w:r>
      <w:r>
        <w:rPr>
          <w:i w:val="0"/>
          <w:sz w:val="22"/>
        </w:rPr>
        <w:t>Statistics computed at the native 80 m posting over the 345 × 339 km footprint and reduced to 640 m cells by block median for display; the projection here uses scene-centre geometry, adequate for coverage but not for the magnitudes of the main analysis. a, Number of pairs (of five) with SNR ≥ 5 at each cell; the screenable area used as denominator in the text is where at least two pairs are valid. b, Median over valid pairs of the displacement-magnitude anomaly after removing a 41-pixel (3.28 km) running mean, in metres. c, Median over valid pairs of directional coherence R in a 5 × 5 window computed on the raw direction field, before the bulk offset is removed; it saturates near 1 almost everywhere, which is why the screen computes R on the residual field (Methods). Red box, the 6 km reference box of the site series (about 1 mm at this scale, beneath the star); yellow star, the Bhote Koshi detachment.</w:t>
      </w:r>
    </w:p>
    <w:p>
      <w:pPr>
        <w:spacing w:before="80" w:after="240"/>
        <w:jc w:val="center"/>
      </w:pPr>
      <w:r>
        <w:drawing>
          <wp:inline xmlns:a="http://schemas.openxmlformats.org/drawingml/2006/main" xmlns:pic="http://schemas.openxmlformats.org/drawingml/2006/picture">
            <wp:extent cx="5760720" cy="159944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99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80"/>
      </w:pPr>
      <w:r>
        <w:rPr>
          <w:b/>
          <w:i w:val="0"/>
          <w:sz w:val="26"/>
        </w:rPr>
        <w:t>Supplementary tables</w:t>
      </w:r>
    </w:p>
    <w:p>
      <w:pPr>
        <w:spacing w:before="240" w:after="120" w:line="276" w:lineRule="auto"/>
        <w:jc w:val="both"/>
      </w:pPr>
      <w:r>
        <w:rPr>
          <w:b/>
          <w:sz w:val="22"/>
        </w:rPr>
        <w:t xml:space="preserve">Supplementary Table 1 | The five NISAR Level-2 GOFF granules (track T098 ascending, L-SAR frequency A, HH) analysed in this study, as distributed by the Alaska Satellite Facility DAAC. </w:t>
      </w:r>
      <w:r>
        <w:rPr>
          <w:i w:val="0"/>
          <w:sz w:val="22"/>
        </w:rPr>
        <w:t>Flag is the processing-flag field of the identifier.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/>
                <w:sz w:val="16"/>
              </w:rPr>
              <w:t>#</w:t>
            </w:r>
          </w:p>
        </w:tc>
        <w:tc>
          <w:tcPr>
            <w:tcW w:type="dxa" w:w="1789"/>
          </w:tcPr>
          <w:p>
            <w:pPr>
              <w:spacing w:line="240" w:lineRule="auto" w:after="20"/>
            </w:pPr>
            <w:r>
              <w:rPr>
                <w:b/>
                <w:sz w:val="16"/>
              </w:rPr>
              <w:t>Interval (2026)</w:t>
            </w:r>
          </w:p>
        </w:tc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/>
                <w:sz w:val="16"/>
              </w:rPr>
              <w:t>Days</w:t>
            </w:r>
          </w:p>
        </w:tc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/>
                <w:sz w:val="16"/>
              </w:rPr>
              <w:t>Flag</w:t>
            </w:r>
          </w:p>
        </w:tc>
        <w:tc>
          <w:tcPr>
            <w:tcW w:type="dxa" w:w="5506"/>
          </w:tcPr>
          <w:p>
            <w:pPr>
              <w:spacing w:line="240" w:lineRule="auto" w:after="20"/>
            </w:pPr>
            <w:r>
              <w:rPr>
                <w:b/>
                <w:sz w:val="16"/>
              </w:rPr>
              <w:t>Granule identifier</w:t>
            </w:r>
          </w:p>
        </w:tc>
      </w:tr>
      <w:tr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1</w:t>
            </w:r>
          </w:p>
        </w:tc>
        <w:tc>
          <w:tcPr>
            <w:tcW w:type="dxa" w:w="1789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20 Jun–2 Jul</w:t>
            </w:r>
          </w:p>
        </w:tc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N_F</w:t>
            </w:r>
          </w:p>
        </w:tc>
        <w:tc>
          <w:tcPr>
            <w:tcW w:type="dxa" w:w="5506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NISAR_L2_PR_GOFF_023_098_A_016_024_4000_SH_20260620T233921_20260620T233956_20260702T233920_20260702T233955_P05023_N_F_J_001</w:t>
            </w:r>
          </w:p>
        </w:tc>
      </w:tr>
      <w:tr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2</w:t>
            </w:r>
          </w:p>
        </w:tc>
        <w:tc>
          <w:tcPr>
            <w:tcW w:type="dxa" w:w="1789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2–14 Jul</w:t>
            </w:r>
          </w:p>
        </w:tc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F_F</w:t>
            </w:r>
          </w:p>
        </w:tc>
        <w:tc>
          <w:tcPr>
            <w:tcW w:type="dxa" w:w="5506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NISAR_L2_PR_GOFF_024_098_A_016_025_4000_SH_20260702T233920_20260702T233955_20260714T233920_20260714T233954_P05023_F_F_J_001</w:t>
            </w:r>
          </w:p>
        </w:tc>
      </w:tr>
      <w:tr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3</w:t>
            </w:r>
          </w:p>
        </w:tc>
        <w:tc>
          <w:tcPr>
            <w:tcW w:type="dxa" w:w="1789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14–26 Jul</w:t>
            </w:r>
          </w:p>
        </w:tc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N_F</w:t>
            </w:r>
          </w:p>
        </w:tc>
        <w:tc>
          <w:tcPr>
            <w:tcW w:type="dxa" w:w="5506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NISAR_L2_PR_GOFF_025_098_A_016_026_4000_SH_20260714T233920_20260714T233954_20260726T233919_20260726T233954_P05023_N_F_J_001</w:t>
            </w:r>
          </w:p>
        </w:tc>
      </w:tr>
      <w:tr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4</w:t>
            </w:r>
          </w:p>
        </w:tc>
        <w:tc>
          <w:tcPr>
            <w:tcW w:type="dxa" w:w="1789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26 Jul–19 Aug</w:t>
            </w:r>
          </w:p>
        </w:tc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24</w:t>
            </w:r>
          </w:p>
        </w:tc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N_F</w:t>
            </w:r>
          </w:p>
        </w:tc>
        <w:tc>
          <w:tcPr>
            <w:tcW w:type="dxa" w:w="5506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NISAR_L2_PR_GOFF_026_098_A_016_028_4000_SH_20260726T233919_20260726T233954_20260819T233918_20260819T233953_P05023_N_F_J_001</w:t>
            </w:r>
          </w:p>
        </w:tc>
      </w:tr>
      <w:tr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5</w:t>
            </w:r>
          </w:p>
        </w:tc>
        <w:tc>
          <w:tcPr>
            <w:tcW w:type="dxa" w:w="1789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19–31 Aug</w:t>
            </w:r>
          </w:p>
        </w:tc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12</w:t>
            </w:r>
          </w:p>
        </w:tc>
        <w:tc>
          <w:tcPr>
            <w:tcW w:type="dxa" w:w="68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N_F</w:t>
            </w:r>
          </w:p>
        </w:tc>
        <w:tc>
          <w:tcPr>
            <w:tcW w:type="dxa" w:w="5506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NISAR_L2_PR_GOFF_028_098_A_016_029_4000_SH_20260819T233918_20260819T233953_20260831T233918_20260831T233952_P05023_N_F_J_001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240" w:after="120" w:line="276" w:lineRule="auto"/>
        <w:jc w:val="both"/>
      </w:pPr>
      <w:r>
        <w:rPr>
          <w:b/>
          <w:sz w:val="22"/>
        </w:rPr>
        <w:t xml:space="preserve">Supplementary Table 2 | Sensitivity of the footprint screen to each threshold, varied one at a time about the default. </w:t>
      </w:r>
      <w:r>
        <w:rPr>
          <w:i w:val="0"/>
          <w:sz w:val="22"/>
        </w:rPr>
        <w:t>The zone count varies by a factor of 25; the directional result does not move.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Parameter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Value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Zones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Validated (&lt; 45°)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Median misfit (°)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% &lt; 45°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anomaly z-score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165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151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17.2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91.5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anomaly z-score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3.5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132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123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20.1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93.2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anomaly z-score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 (default)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106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101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19.0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95.3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anomaly z-score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68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66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18.4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97.1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anomaly z-score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33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30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15.4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90.9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anomaly (m)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0.25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109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103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19.1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94.5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anomaly (m)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0.5 (default)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106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101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19.0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95.3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anomaly (m)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0.75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100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96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19.0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96.0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anomaly (m)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96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93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18.7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96.9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residual coherence R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0.65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136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123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20.5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90.4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residual coherence R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0.7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119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111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18.6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93.3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residual coherence R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0.75 (default)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106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101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19.0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95.3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residual coherence R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0.8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93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88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18.5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94.6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residual coherence R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0.85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77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75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17.4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97.4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epochs (of five)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 (default)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106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101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19.0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95.3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epochs (of five)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46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44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14.3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95.7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epochs (of five)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12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12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15.8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100.0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zone size (px)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198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170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20.2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86.3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zone size (px)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 (default)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106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101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19.0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95.3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zone size (px)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20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47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46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17.4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97.9</w:t>
            </w:r>
          </w:p>
        </w:tc>
      </w:tr>
      <w:tr>
        <w:tc>
          <w:tcPr>
            <w:tcW w:type="dxa" w:w="391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Minimum zone size (px)</w:t>
            </w:r>
          </w:p>
        </w:tc>
        <w:tc>
          <w:tcPr>
            <w:tcW w:type="dxa" w:w="1956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40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</w:t>
            </w:r>
          </w:p>
        </w:tc>
        <w:tc>
          <w:tcPr>
            <w:tcW w:type="dxa" w:w="1257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</w:t>
            </w:r>
          </w:p>
        </w:tc>
        <w:tc>
          <w:tcPr>
            <w:tcW w:type="dxa" w:w="838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18.9</w:t>
            </w:r>
          </w:p>
        </w:tc>
        <w:tc>
          <w:tcPr>
            <w:tcW w:type="dxa" w:w="69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100.0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240" w:after="120" w:line="276" w:lineRule="auto"/>
        <w:jc w:val="both"/>
      </w:pPr>
      <w:r>
        <w:rPr>
          <w:b/>
          <w:sz w:val="22"/>
        </w:rPr>
        <w:t xml:space="preserve">Supplementary Table 3 | The 8 validated zones that do not intersect an RGI 6.0 glacier polygon, ordered by score. </w:t>
      </w:r>
      <w:r>
        <w:rPr>
          <w:i w:val="0"/>
          <w:sz w:val="22"/>
        </w:rPr>
        <w:t>d_glac is the distance to the nearest inventoried glacier; zones within a few hundred metres are more plausibly unmapped debris-covered ice than non-glacial ground.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Lon (°E)</w:t>
            </w:r>
          </w:p>
        </w:tc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Lat (°N)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Area (km²)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Pairs</w:t>
            </w:r>
          </w:p>
        </w:tc>
        <w:tc>
          <w:tcPr>
            <w:tcW w:type="dxa" w:w="1269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Residual disp. (m)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Elev. (m)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Slope (°)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Misfit (°)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d_glac (m)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Score</w:t>
            </w:r>
          </w:p>
        </w:tc>
      </w:tr>
      <w:tr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85.1056</w:t>
            </w:r>
          </w:p>
        </w:tc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28.3911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0.141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26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5.81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4983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37.0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9.4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1384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19.2</w:t>
            </w:r>
          </w:p>
        </w:tc>
      </w:tr>
      <w:tr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85.7318</w:t>
            </w:r>
          </w:p>
        </w:tc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28.3142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0.070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26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4.38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5753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31.3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35.6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349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11.1</w:t>
            </w:r>
          </w:p>
        </w:tc>
      </w:tr>
      <w:tr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84.0482</w:t>
            </w:r>
          </w:p>
        </w:tc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28.5571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0.166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26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4.04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5257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29.5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6.5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985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10.7</w:t>
            </w:r>
          </w:p>
        </w:tc>
      </w:tr>
      <w:tr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84.7145</w:t>
            </w:r>
          </w:p>
        </w:tc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28.6129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0.179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26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3.46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5259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22.3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31.1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1202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9.8</w:t>
            </w:r>
          </w:p>
        </w:tc>
      </w:tr>
      <w:tr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85.1388</w:t>
            </w:r>
          </w:p>
        </w:tc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28.4971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0.122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26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3.60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5406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25.2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0.5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1192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9.2</w:t>
            </w:r>
          </w:p>
        </w:tc>
      </w:tr>
      <w:tr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83.9929</w:t>
            </w:r>
          </w:p>
        </w:tc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28.5233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0.211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26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2.39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3731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13.4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25.7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1001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6.0</w:t>
            </w:r>
          </w:p>
        </w:tc>
      </w:tr>
      <w:tr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84.6697</w:t>
            </w:r>
          </w:p>
        </w:tc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28.6460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0.064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26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2.49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4667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23.7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5.4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966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5.1</w:t>
            </w:r>
          </w:p>
        </w:tc>
      </w:tr>
      <w:tr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85.1082</w:t>
            </w:r>
          </w:p>
        </w:tc>
        <w:tc>
          <w:tcPr>
            <w:tcW w:type="dxa" w:w="111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28.4267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0.083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269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2.56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5271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13.8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27.1</w:t>
            </w:r>
          </w:p>
        </w:tc>
        <w:tc>
          <w:tcPr>
            <w:tcW w:type="dxa" w:w="952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904</w:t>
            </w:r>
          </w:p>
        </w:tc>
        <w:tc>
          <w:tcPr>
            <w:tcW w:type="dxa" w:w="793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4.5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240" w:after="120" w:line="276" w:lineRule="auto"/>
        <w:jc w:val="both"/>
      </w:pPr>
      <w:r>
        <w:rPr>
          <w:b/>
          <w:sz w:val="22"/>
        </w:rPr>
        <w:t xml:space="preserve">Supplementary Table 4 | Per-pair site statistics under every criterion described in Methods. </w:t>
      </w:r>
      <w:r>
        <w:rPr>
          <w:i w:val="0"/>
          <w:sz w:val="22"/>
        </w:rPr>
        <w:t>Columns are the five consecutive NISAR pairs. R is the 5 × 5 directional coherence (mean resultant length of unit displacement vectors). Criterion 1 removes the 6 km box vector mean before computing R; criterion 2 removes the 3.28 km local vector mean; the single-field recomputation applies criterion 1 with the crown excluded from the reference. Percentiles place the crown value among size-matched random samples drawn from the box (polygon scale, 857–996 draws) or from the 6 km box at the 30-pixel core scale (388–395 draws; the tail of this null is over-dispersed and the percentile is descriptive). The GAMMA cross-check is available for the co-event pair only and is not commensurate with the NISAR values (cross-correlation floor 0.05; see Methods).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Statistic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20 Jun–2 Jul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2–14 Jul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14–26 Jul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26 Jul–19 Aug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/>
                <w:sz w:val="14"/>
              </w:rPr>
              <w:t>19–31 Aug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Interval (days)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12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12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12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24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12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GOFF processing flag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N_F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F_F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N_F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N_F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N_F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Crown polygon pixels with valid offsets (after 10 m discard)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302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299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302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298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202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Median crown displacement (m)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0.99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0.54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0.30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0.96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0.33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Median crown rate (cm d⁻¹)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8.3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4.5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2.5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4.0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2.7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Displacement-null: crown median displacement percentile among size-matched box samples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94.9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87.5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81.0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94.7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81.3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Displacement-null: median of null samples (m)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0.17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0.21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0.14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0.14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0.09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Criterion 1 (bulk-reference): crown R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0.750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0.612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0.611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0.871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0.551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Criterion 1: background R (box, crown excluded)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0.641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0.719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0.757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0.687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0.592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Criterion 1: crown − background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0.109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−0.107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−0.146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0.185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−0.041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Criterion 1: crown exceeds background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yes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no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no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yes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no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Single-field, crown-excluded recomputation: crown R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0.739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0.583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0.594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0.848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0.511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Single-field recomputation: background R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0.636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0.726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0.764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0.680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0.595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Single-field recomputation: crown exceeds background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yes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no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no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yes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no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Criterion 2 (local-mean reference): crown R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0.669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0.679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0.726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0.775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0.666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Criterion 2: background R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0.678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0.667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0.697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0.795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0.661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Criterion 2: crown − background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−0.009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0.012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0.029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−0.020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0.005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Criterion 2: crown exceeds background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no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yes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yes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no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yes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Polygon-scale null: crown R percentile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77.2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23.3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39.8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85.2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29.1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Polygon-scale null: samples beating the box mean (%)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47.5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37.7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37.2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46.7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50.2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Polygon-scale null: 5th percentile of null R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0.460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0.485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0.481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0.413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0.412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Polygon-scale null: 95th percentile of null R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0.863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0.891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0.965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0.896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0.814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Polygon-scale null: number of draws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857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887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920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916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996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Core-scale test: core pixels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30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30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30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30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30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Core-scale test: core R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0.969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0.978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0.962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0.973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0.867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Core-scale null: median R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0.628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0.718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0.732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0.679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0.566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Core-scale null: 90th percentile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0.888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0.936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0.964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0.912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0.844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Core-scale null: 99th percentile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0.969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0.989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0.998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0.981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0.931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Core-scale test: core R percentile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99.0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97.0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89.2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97.7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92.6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Core-scale null: number of draws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389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395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389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388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394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GAMMA cross-check: crown R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0.659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GAMMA cross-check: 6 km box R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0.686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GAMMA cross-check: scene R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0.654</w:t>
            </w:r>
          </w:p>
        </w:tc>
      </w:tr>
      <w:tr>
        <w:tc>
          <w:tcPr>
            <w:tcW w:type="dxa" w:w="397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GAMMA cross-check: crown / box pixels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851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1985"/>
          </w:tcPr>
          <w:p>
            <w:pPr>
              <w:spacing w:line="240" w:lineRule="auto" w:after="20"/>
            </w:pPr>
            <w:r>
              <w:rPr>
                <w:b w:val="0"/>
                <w:sz w:val="14"/>
              </w:rPr>
              <w:t>1,398 / 31,703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240" w:after="120" w:line="276" w:lineRule="auto"/>
        <w:jc w:val="both"/>
      </w:pPr>
      <w:r>
        <w:rPr>
          <w:b/>
          <w:sz w:val="22"/>
        </w:rPr>
        <w:t xml:space="preserve">Supplementary Table 5 | Stable-ground check of the Geopera stereo elevation-difference product (Weedman 2026, v1.1) used only in Supplementary Fig. </w:t>
      </w:r>
      <w:r>
        <w:rPr>
          <w:i w:val="0"/>
          <w:sz w:val="22"/>
        </w:rPr>
        <w:t>1. For each reach the elevation difference between the pre-event NASA HMA terrain and the post-event stereo surface is evaluated outside (stable ground) and inside (change mask) the mapped change polygons. NMAD, normalised median absolute deviation. Fractions are pixels whose |difference| exceeds the producer-stated uncertainty σ. The product is third-party data (CC BY-NC 4.0) and no NISAR result depends on it.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/>
                <w:sz w:val="16"/>
              </w:rPr>
              <w:t>Statistic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/>
                <w:sz w:val="16"/>
              </w:rPr>
              <w:t>Reach A (Rasuwagadhi–Timure)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/>
                <w:sz w:val="16"/>
              </w:rPr>
              <w:t>Reach B (Syabrubesi)</w:t>
            </w:r>
          </w:p>
        </w:tc>
      </w:tr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Stated vertical uncertainty σ (m)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3.10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1.45</w:t>
            </w:r>
          </w:p>
        </w:tc>
      </w:tr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Stable-ground pixels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2,689,425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5,755,766</w:t>
            </w:r>
          </w:p>
        </w:tc>
      </w:tr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Change-mask pixels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43,435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26,373</w:t>
            </w:r>
          </w:p>
        </w:tc>
      </w:tr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Stable-ground median elevation difference (m)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−2.33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−0.33</w:t>
            </w:r>
          </w:p>
        </w:tc>
      </w:tr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Stable-ground mean elevation difference (m)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−3.68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−1.11</w:t>
            </w:r>
          </w:p>
        </w:tc>
      </w:tr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Stable-ground NMAD (m)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4.50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2.19</w:t>
            </w:r>
          </w:p>
        </w:tc>
      </w:tr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Change-mask median elevation difference (m)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−6.05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−3.61</w:t>
            </w:r>
          </w:p>
        </w:tc>
      </w:tr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Change-mask median |difference| (m)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6.05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6.29</w:t>
            </w:r>
          </w:p>
        </w:tc>
      </w:tr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Stable-ground fraction beyond 1σ (%)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52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50</w:t>
            </w:r>
          </w:p>
        </w:tc>
      </w:tr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Change-mask fraction beyond 1σ (%)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82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100</w:t>
            </w:r>
          </w:p>
        </w:tc>
      </w:tr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Stable-ground fraction beyond 2σ (%)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27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28</w:t>
            </w:r>
          </w:p>
        </w:tc>
      </w:tr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Change-mask fraction beyond 2σ (%)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49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88</w:t>
            </w:r>
          </w:p>
        </w:tc>
      </w:tr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Stable-ground fraction beyond 3σ (%)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16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18</w:t>
            </w:r>
          </w:p>
        </w:tc>
      </w:tr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Change-mask fraction beyond 3σ (%)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18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66</w:t>
            </w:r>
          </w:p>
        </w:tc>
      </w:tr>
      <w:tr>
        <w:tc>
          <w:tcPr>
            <w:tcW w:type="dxa" w:w="4368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Change-mask median |difference| / stated σ</w:t>
            </w:r>
          </w:p>
        </w:tc>
        <w:tc>
          <w:tcPr>
            <w:tcW w:type="dxa" w:w="312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1.95</w:t>
            </w:r>
          </w:p>
        </w:tc>
        <w:tc>
          <w:tcPr>
            <w:tcW w:type="dxa" w:w="1872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4.33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240" w:after="120" w:line="276" w:lineRule="auto"/>
        <w:jc w:val="both"/>
      </w:pPr>
      <w:r>
        <w:rPr>
          <w:b/>
          <w:sz w:val="22"/>
        </w:rPr>
        <w:t xml:space="preserve">Supplementary Table 6 | Footprint-screen parameters. </w:t>
      </w:r>
      <w:r>
        <w:rPr>
          <w:i w:val="0"/>
          <w:sz w:val="22"/>
        </w:rPr>
        <w:t>All thresholds are fixed before the topographic comparison; their one-at-a-time sensitivity is in Supplementary Table 2.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/>
                <w:sz w:val="16"/>
              </w:rPr>
              <w:t>Parameter</w:t>
            </w:r>
          </w:p>
        </w:tc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/>
                <w:sz w:val="16"/>
              </w:rPr>
              <w:t>Value</w:t>
            </w:r>
          </w:p>
        </w:tc>
      </w:tr>
      <w:tr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Signal-to-noise threshold</w:t>
            </w:r>
          </w:p>
        </w:tc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≥ 5</w:t>
            </w:r>
          </w:p>
        </w:tc>
      </w:tr>
      <w:tr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Displacement magnitude discard</w:t>
            </w:r>
          </w:p>
        </w:tc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&gt; 10 m (applied before referencing)</w:t>
            </w:r>
          </w:p>
        </w:tc>
      </w:tr>
      <w:tr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Local window (ramp removal, scatter)</w:t>
            </w:r>
          </w:p>
        </w:tc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41 px, 3.28 km</w:t>
            </w:r>
          </w:p>
        </w:tc>
      </w:tr>
      <w:tr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Coherence window</w:t>
            </w:r>
          </w:p>
        </w:tc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5 px, 400 m; ≥ 50 % valid</w:t>
            </w:r>
          </w:p>
        </w:tc>
      </w:tr>
      <w:tr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Coherence computed on</w:t>
            </w:r>
          </w:p>
        </w:tc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residual field (local vector mean removed)</w:t>
            </w:r>
          </w:p>
        </w:tc>
      </w:tr>
      <w:tr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Minimum anomaly</w:t>
            </w:r>
          </w:p>
        </w:tc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0.5 m</w:t>
            </w:r>
          </w:p>
        </w:tc>
      </w:tr>
      <w:tr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Minimum anomaly z-score</w:t>
            </w:r>
          </w:p>
        </w:tc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4.0</w:t>
            </w:r>
          </w:p>
        </w:tc>
      </w:tr>
      <w:tr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Minimum residual coherence R</w:t>
            </w:r>
          </w:p>
        </w:tc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0.75</w:t>
            </w:r>
          </w:p>
        </w:tc>
      </w:tr>
      <w:tr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Minimum epochs of five</w:t>
            </w:r>
          </w:p>
        </w:tc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2</w:t>
            </w:r>
          </w:p>
        </w:tc>
      </w:tr>
      <w:tr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Minimum zone size</w:t>
            </w:r>
          </w:p>
        </w:tc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10 px, 0.064 km²</w:t>
            </w:r>
          </w:p>
        </w:tc>
      </w:tr>
      <w:tr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Validation: misfit to downslope</w:t>
            </w:r>
          </w:p>
        </w:tc>
        <w:tc>
          <w:tcPr>
            <w:tcW w:type="dxa" w:w="4680"/>
          </w:tcPr>
          <w:p>
            <w:pPr>
              <w:spacing w:line="240" w:lineRule="auto" w:after="20"/>
            </w:pPr>
            <w:r>
              <w:rPr>
                <w:b w:val="0"/>
                <w:sz w:val="16"/>
              </w:rPr>
              <w:t>&lt; 45°</w:t>
            </w:r>
          </w:p>
        </w:tc>
      </w:tr>
    </w:tbl>
    <w:p>
      <w:pPr>
        <w:spacing w:after="120"/>
      </w:pP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0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