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88C7B"/>
    <w:p w14:paraId="41FE17EF">
      <w:pPr>
        <w:pStyle w:val="19"/>
        <w:keepNext/>
        <w:pBdr>
          <w:top w:val="none" w:color="000000" w:sz="0" w:space="0"/>
          <w:left w:val="none" w:color="000000" w:sz="0" w:space="0"/>
          <w:bottom w:val="none" w:color="000000" w:sz="0" w:space="0"/>
          <w:right w:val="none" w:color="000000" w:sz="0" w:space="0"/>
        </w:pBdr>
        <w:spacing w:before="60" w:after="60" w:line="240" w:lineRule="auto"/>
        <w:ind w:left="60" w:right="60" w:firstLine="0" w:firstLineChars="0"/>
        <w:jc w:val="center"/>
      </w:pPr>
      <w:r>
        <w:t>Additional file 1. Variance inflation factors for the fully adjusted model</w:t>
      </w:r>
      <w:bookmarkStart w:id="0" w:name="_GoBack"/>
      <w:bookmarkEnd w:id="0"/>
    </w:p>
    <w:tbl>
      <w:tblPr>
        <w:tblStyle w:val="8"/>
        <w:tblW w:w="0" w:type="auto"/>
        <w:jc w:val="center"/>
        <w:tblLayout w:type="fixed"/>
        <w:tblCellMar>
          <w:top w:w="0" w:type="dxa"/>
          <w:left w:w="108" w:type="dxa"/>
          <w:bottom w:w="0" w:type="dxa"/>
          <w:right w:w="108" w:type="dxa"/>
        </w:tblCellMar>
      </w:tblPr>
      <w:tblGrid>
        <w:gridCol w:w="5513"/>
        <w:gridCol w:w="2066"/>
      </w:tblGrid>
      <w:tr w14:paraId="19A51904">
        <w:tblPrEx>
          <w:tblCellMar>
            <w:top w:w="0" w:type="dxa"/>
            <w:left w:w="108" w:type="dxa"/>
            <w:bottom w:w="0" w:type="dxa"/>
            <w:right w:w="108" w:type="dxa"/>
          </w:tblCellMar>
        </w:tblPrEx>
        <w:trPr>
          <w:trHeight w:val="499" w:hRule="atLeast"/>
          <w:tblHeader/>
          <w:jc w:val="center"/>
        </w:trPr>
        <w:tc>
          <w:tcPr>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center"/>
          </w:tcPr>
          <w:p w14:paraId="0B6BAD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20"/>
                <w:szCs w:val="20"/>
                <w:u w:val="none"/>
              </w:rPr>
            </w:pPr>
            <w:r>
              <w:rPr>
                <w:rFonts w:ascii="Arial" w:hAnsi="Arial" w:eastAsia="Arial" w:cs="Arial"/>
                <w:b w:val="0"/>
                <w:i w:val="0"/>
                <w:strike w:val="0"/>
                <w:color w:val="000000"/>
                <w:sz w:val="20"/>
                <w:szCs w:val="20"/>
                <w:u w:val="none"/>
              </w:rPr>
              <w:t>Variable</w:t>
            </w:r>
          </w:p>
        </w:tc>
        <w:tc>
          <w:tcPr>
            <w:tcBorders>
              <w:top w:val="single" w:color="000000" w:sz="12" w:space="0"/>
              <w:left w:val="nil"/>
              <w:bottom w:val="single" w:color="000000" w:sz="4" w:space="0"/>
              <w:right w:val="nil"/>
            </w:tcBorders>
            <w:shd w:val="clear" w:color="auto" w:fill="FFFFFF"/>
            <w:tcMar>
              <w:top w:w="0" w:type="dxa"/>
              <w:left w:w="0" w:type="dxa"/>
              <w:bottom w:w="0" w:type="dxa"/>
              <w:right w:w="0" w:type="dxa"/>
            </w:tcMar>
            <w:vAlign w:val="center"/>
          </w:tcPr>
          <w:p w14:paraId="0357E3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20"/>
                <w:szCs w:val="20"/>
                <w:u w:val="none"/>
              </w:rPr>
            </w:pPr>
            <w:r>
              <w:rPr>
                <w:rFonts w:ascii="Arial" w:hAnsi="Arial" w:eastAsia="Arial" w:cs="Arial"/>
                <w:b w:val="0"/>
                <w:i w:val="0"/>
                <w:strike w:val="0"/>
                <w:color w:val="000000"/>
                <w:sz w:val="20"/>
                <w:szCs w:val="20"/>
                <w:u w:val="none"/>
              </w:rPr>
              <w:t>VIF</w:t>
            </w:r>
          </w:p>
        </w:tc>
      </w:tr>
      <w:tr w14:paraId="52692DF3">
        <w:tblPrEx>
          <w:tblCellMar>
            <w:top w:w="0" w:type="dxa"/>
            <w:left w:w="108" w:type="dxa"/>
            <w:bottom w:w="0" w:type="dxa"/>
            <w:right w:w="108" w:type="dxa"/>
          </w:tblCellMar>
        </w:tblPrEx>
        <w:trPr>
          <w:trHeight w:val="436" w:hRule="atLeast"/>
          <w:jc w:val="center"/>
        </w:trPr>
        <w:tc>
          <w:tcPr>
            <w:tcBorders>
              <w:top w:val="single" w:color="000000" w:sz="4" w:space="0"/>
              <w:left w:val="nil"/>
              <w:bottom w:val="nil"/>
              <w:right w:val="nil"/>
            </w:tcBorders>
            <w:shd w:val="clear" w:color="auto" w:fill="FFFFFF"/>
            <w:tcMar>
              <w:top w:w="0" w:type="dxa"/>
              <w:left w:w="0" w:type="dxa"/>
              <w:bottom w:w="0" w:type="dxa"/>
              <w:right w:w="0" w:type="dxa"/>
            </w:tcMar>
            <w:vAlign w:val="center"/>
          </w:tcPr>
          <w:p w14:paraId="50D269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MELD score</w:t>
            </w:r>
          </w:p>
        </w:tc>
        <w:tc>
          <w:tcPr>
            <w:tcBorders>
              <w:top w:val="single" w:color="000000" w:sz="4" w:space="0"/>
              <w:left w:val="nil"/>
              <w:bottom w:val="nil"/>
              <w:right w:val="nil"/>
            </w:tcBorders>
            <w:shd w:val="clear" w:color="auto" w:fill="FFFFFF"/>
            <w:tcMar>
              <w:top w:w="0" w:type="dxa"/>
              <w:left w:w="0" w:type="dxa"/>
              <w:bottom w:w="0" w:type="dxa"/>
              <w:right w:w="0" w:type="dxa"/>
            </w:tcMar>
            <w:vAlign w:val="center"/>
          </w:tcPr>
          <w:p w14:paraId="5F3C59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3.66</w:t>
            </w:r>
          </w:p>
        </w:tc>
      </w:tr>
      <w:tr w14:paraId="01F1408A">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6B8CF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Age, years</w:t>
            </w:r>
          </w:p>
        </w:tc>
        <w:tc>
          <w:tcPr>
            <w:tcBorders>
              <w:top w:val="nil"/>
              <w:left w:val="nil"/>
              <w:bottom w:val="nil"/>
              <w:right w:val="nil"/>
            </w:tcBorders>
            <w:shd w:val="clear" w:color="auto" w:fill="FFFFFF"/>
            <w:tcMar>
              <w:top w:w="0" w:type="dxa"/>
              <w:left w:w="0" w:type="dxa"/>
              <w:bottom w:w="0" w:type="dxa"/>
              <w:right w:w="0" w:type="dxa"/>
            </w:tcMar>
            <w:vAlign w:val="center"/>
          </w:tcPr>
          <w:p w14:paraId="4FD1F8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1.82</w:t>
            </w:r>
          </w:p>
        </w:tc>
      </w:tr>
      <w:tr w14:paraId="7BFBB295">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D7307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Total bilirubin, mg/dL</w:t>
            </w:r>
          </w:p>
        </w:tc>
        <w:tc>
          <w:tcPr>
            <w:tcBorders>
              <w:top w:val="nil"/>
              <w:left w:val="nil"/>
              <w:bottom w:val="nil"/>
              <w:right w:val="nil"/>
            </w:tcBorders>
            <w:shd w:val="clear" w:color="auto" w:fill="FFFFFF"/>
            <w:tcMar>
              <w:top w:w="0" w:type="dxa"/>
              <w:left w:w="0" w:type="dxa"/>
              <w:bottom w:w="0" w:type="dxa"/>
              <w:right w:w="0" w:type="dxa"/>
            </w:tcMar>
            <w:vAlign w:val="center"/>
          </w:tcPr>
          <w:p w14:paraId="133660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1.81</w:t>
            </w:r>
          </w:p>
        </w:tc>
      </w:tr>
      <w:tr w14:paraId="4DB0D918">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9B6FF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INR</w:t>
            </w:r>
          </w:p>
        </w:tc>
        <w:tc>
          <w:tcPr>
            <w:tcBorders>
              <w:top w:val="nil"/>
              <w:left w:val="nil"/>
              <w:bottom w:val="nil"/>
              <w:right w:val="nil"/>
            </w:tcBorders>
            <w:shd w:val="clear" w:color="auto" w:fill="FFFFFF"/>
            <w:tcMar>
              <w:top w:w="0" w:type="dxa"/>
              <w:left w:w="0" w:type="dxa"/>
              <w:bottom w:w="0" w:type="dxa"/>
              <w:right w:w="0" w:type="dxa"/>
            </w:tcMar>
            <w:vAlign w:val="center"/>
          </w:tcPr>
          <w:p w14:paraId="4D53EB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1.79</w:t>
            </w:r>
          </w:p>
        </w:tc>
      </w:tr>
      <w:tr w14:paraId="667B58CC">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11F3D8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Charlson comorbidity index</w:t>
            </w:r>
          </w:p>
        </w:tc>
        <w:tc>
          <w:tcPr>
            <w:tcBorders>
              <w:top w:val="nil"/>
              <w:left w:val="nil"/>
              <w:bottom w:val="nil"/>
              <w:right w:val="nil"/>
            </w:tcBorders>
            <w:shd w:val="clear" w:color="auto" w:fill="FFFFFF"/>
            <w:tcMar>
              <w:top w:w="0" w:type="dxa"/>
              <w:left w:w="0" w:type="dxa"/>
              <w:bottom w:w="0" w:type="dxa"/>
              <w:right w:w="0" w:type="dxa"/>
            </w:tcMar>
            <w:vAlign w:val="center"/>
          </w:tcPr>
          <w:p w14:paraId="0EAA1E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1.76</w:t>
            </w:r>
          </w:p>
        </w:tc>
      </w:tr>
      <w:tr w14:paraId="3980FCA4">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2D37E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Creatinine, mg/dL</w:t>
            </w:r>
          </w:p>
        </w:tc>
        <w:tc>
          <w:tcPr>
            <w:tcBorders>
              <w:top w:val="nil"/>
              <w:left w:val="nil"/>
              <w:bottom w:val="nil"/>
              <w:right w:val="nil"/>
            </w:tcBorders>
            <w:shd w:val="clear" w:color="auto" w:fill="FFFFFF"/>
            <w:tcMar>
              <w:top w:w="0" w:type="dxa"/>
              <w:left w:w="0" w:type="dxa"/>
              <w:bottom w:w="0" w:type="dxa"/>
              <w:right w:w="0" w:type="dxa"/>
            </w:tcMar>
            <w:vAlign w:val="center"/>
          </w:tcPr>
          <w:p w14:paraId="75078F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1.67</w:t>
            </w:r>
          </w:p>
        </w:tc>
      </w:tr>
      <w:tr w14:paraId="046E5148">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77E9A1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SOFA score</w:t>
            </w:r>
          </w:p>
        </w:tc>
        <w:tc>
          <w:tcPr>
            <w:tcBorders>
              <w:top w:val="nil"/>
              <w:left w:val="nil"/>
              <w:bottom w:val="nil"/>
              <w:right w:val="nil"/>
            </w:tcBorders>
            <w:shd w:val="clear" w:color="auto" w:fill="FFFFFF"/>
            <w:tcMar>
              <w:top w:w="0" w:type="dxa"/>
              <w:left w:w="0" w:type="dxa"/>
              <w:bottom w:w="0" w:type="dxa"/>
              <w:right w:w="0" w:type="dxa"/>
            </w:tcMar>
            <w:vAlign w:val="center"/>
          </w:tcPr>
          <w:p w14:paraId="6ECDC0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1.21</w:t>
            </w:r>
          </w:p>
        </w:tc>
      </w:tr>
      <w:tr w14:paraId="38C2EAA8">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D1939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Mechanical ventilation</w:t>
            </w:r>
          </w:p>
        </w:tc>
        <w:tc>
          <w:tcPr>
            <w:tcBorders>
              <w:top w:val="nil"/>
              <w:left w:val="nil"/>
              <w:bottom w:val="nil"/>
              <w:right w:val="nil"/>
            </w:tcBorders>
            <w:shd w:val="clear" w:color="auto" w:fill="FFFFFF"/>
            <w:tcMar>
              <w:top w:w="0" w:type="dxa"/>
              <w:left w:w="0" w:type="dxa"/>
              <w:bottom w:w="0" w:type="dxa"/>
              <w:right w:w="0" w:type="dxa"/>
            </w:tcMar>
            <w:vAlign w:val="center"/>
          </w:tcPr>
          <w:p w14:paraId="732142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1.15</w:t>
            </w:r>
          </w:p>
        </w:tc>
      </w:tr>
      <w:tr w14:paraId="53F9565A">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4EB1A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Ascites</w:t>
            </w:r>
          </w:p>
        </w:tc>
        <w:tc>
          <w:tcPr>
            <w:tcBorders>
              <w:top w:val="nil"/>
              <w:left w:val="nil"/>
              <w:bottom w:val="nil"/>
              <w:right w:val="nil"/>
            </w:tcBorders>
            <w:shd w:val="clear" w:color="auto" w:fill="FFFFFF"/>
            <w:tcMar>
              <w:top w:w="0" w:type="dxa"/>
              <w:left w:w="0" w:type="dxa"/>
              <w:bottom w:w="0" w:type="dxa"/>
              <w:right w:w="0" w:type="dxa"/>
            </w:tcMar>
            <w:vAlign w:val="center"/>
          </w:tcPr>
          <w:p w14:paraId="5E7841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1.12</w:t>
            </w:r>
          </w:p>
        </w:tc>
      </w:tr>
      <w:tr w14:paraId="34F6D54B">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9508B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Vasopressor use</w:t>
            </w:r>
          </w:p>
        </w:tc>
        <w:tc>
          <w:tcPr>
            <w:tcBorders>
              <w:top w:val="nil"/>
              <w:left w:val="nil"/>
              <w:bottom w:val="nil"/>
              <w:right w:val="nil"/>
            </w:tcBorders>
            <w:shd w:val="clear" w:color="auto" w:fill="FFFFFF"/>
            <w:tcMar>
              <w:top w:w="0" w:type="dxa"/>
              <w:left w:w="0" w:type="dxa"/>
              <w:bottom w:w="0" w:type="dxa"/>
              <w:right w:w="0" w:type="dxa"/>
            </w:tcMar>
            <w:vAlign w:val="center"/>
          </w:tcPr>
          <w:p w14:paraId="679A4A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1.07</w:t>
            </w:r>
          </w:p>
        </w:tc>
      </w:tr>
      <w:tr w14:paraId="0EBCC890">
        <w:tblPrEx>
          <w:tblCellMar>
            <w:top w:w="0" w:type="dxa"/>
            <w:left w:w="108" w:type="dxa"/>
            <w:bottom w:w="0" w:type="dxa"/>
            <w:right w:w="108" w:type="dxa"/>
          </w:tblCellMar>
        </w:tblPrEx>
        <w:trPr>
          <w:trHeight w:val="415"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349F4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Albumin, g/dL</w:t>
            </w:r>
          </w:p>
        </w:tc>
        <w:tc>
          <w:tcPr>
            <w:tcBorders>
              <w:top w:val="nil"/>
              <w:left w:val="nil"/>
              <w:bottom w:val="nil"/>
              <w:right w:val="nil"/>
            </w:tcBorders>
            <w:shd w:val="clear" w:color="auto" w:fill="FFFFFF"/>
            <w:tcMar>
              <w:top w:w="0" w:type="dxa"/>
              <w:left w:w="0" w:type="dxa"/>
              <w:bottom w:w="0" w:type="dxa"/>
              <w:right w:w="0" w:type="dxa"/>
            </w:tcMar>
            <w:vAlign w:val="center"/>
          </w:tcPr>
          <w:p w14:paraId="4ADA7E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1.05</w:t>
            </w:r>
          </w:p>
        </w:tc>
      </w:tr>
      <w:tr w14:paraId="0159DD38">
        <w:tblPrEx>
          <w:tblCellMar>
            <w:top w:w="0" w:type="dxa"/>
            <w:left w:w="108" w:type="dxa"/>
            <w:bottom w:w="0" w:type="dxa"/>
            <w:right w:w="108" w:type="dxa"/>
          </w:tblCellMar>
        </w:tblPrEx>
        <w:trPr>
          <w:trHeight w:val="415" w:hRule="atLeast"/>
          <w:jc w:val="center"/>
        </w:trPr>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7C4476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Sex</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304149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right"/>
              <w:rPr>
                <w:rFonts w:ascii="Arial" w:hAnsi="Arial" w:eastAsia="Arial" w:cs="Arial"/>
                <w:b w:val="0"/>
                <w:i w:val="0"/>
                <w:strike w:val="0"/>
                <w:color w:val="000000"/>
                <w:sz w:val="18"/>
                <w:szCs w:val="18"/>
                <w:u w:val="none"/>
              </w:rPr>
            </w:pPr>
            <w:r>
              <w:rPr>
                <w:rFonts w:ascii="Arial" w:hAnsi="Arial" w:eastAsia="Arial" w:cs="Arial"/>
                <w:b w:val="0"/>
                <w:i w:val="0"/>
                <w:strike w:val="0"/>
                <w:color w:val="000000"/>
                <w:sz w:val="18"/>
                <w:szCs w:val="18"/>
                <w:u w:val="none"/>
              </w:rPr>
              <w:t>1.03</w:t>
            </w:r>
          </w:p>
        </w:tc>
      </w:tr>
      <w:tr w14:paraId="0B4BC230">
        <w:tblPrEx>
          <w:tblCellMar>
            <w:top w:w="0" w:type="dxa"/>
            <w:left w:w="108" w:type="dxa"/>
            <w:bottom w:w="0" w:type="dxa"/>
            <w:right w:w="108" w:type="dxa"/>
          </w:tblCellMar>
        </w:tblPrEx>
        <w:trPr>
          <w:trHeight w:val="1018" w:hRule="atLeast"/>
          <w:jc w:val="center"/>
        </w:trPr>
        <w:tc>
          <w:tcPr>
            <w:gridSpan w:val="2"/>
            <w:tcBorders>
              <w:top w:val="single" w:color="000000" w:sz="12" w:space="0"/>
              <w:left w:val="nil"/>
              <w:bottom w:val="nil"/>
              <w:right w:val="nil"/>
            </w:tcBorders>
            <w:shd w:val="clear" w:color="auto" w:fill="FFFFFF"/>
            <w:tcMar>
              <w:top w:w="0" w:type="dxa"/>
              <w:left w:w="0" w:type="dxa"/>
              <w:bottom w:w="0" w:type="dxa"/>
              <w:right w:w="0" w:type="dxa"/>
            </w:tcMar>
            <w:vAlign w:val="center"/>
          </w:tcPr>
          <w:p w14:paraId="3DF3CB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strike w:val="0"/>
                <w:color w:val="000000"/>
                <w:sz w:val="16"/>
                <w:szCs w:val="16"/>
                <w:u w:val="none"/>
              </w:rPr>
            </w:pPr>
            <w:r>
              <w:rPr>
                <w:rFonts w:ascii="Arial" w:hAnsi="Arial" w:eastAsia="Arial" w:cs="Arial"/>
                <w:b w:val="0"/>
                <w:i w:val="0"/>
                <w:strike w:val="0"/>
                <w:color w:val="000000"/>
                <w:sz w:val="16"/>
                <w:szCs w:val="16"/>
                <w:u w:val="none"/>
              </w:rPr>
              <w:t>VIF, variance inflation factor. The fully adjusted model included age, sex, ascites, mechanical ventilation, vasopressor use, total bilirubin, INR, creatinine, albumin, SOFA score, MELD score, and Charlson comorbidity index. All VIF values were &lt; 5, indicating acceptable collinearity.</w:t>
            </w:r>
          </w:p>
        </w:tc>
      </w:tr>
    </w:tbl>
    <w:p w14:paraId="67127464"/>
    <w:sectPr>
      <w:type w:val="continuous"/>
      <w:pgSz w:w="11906" w:h="16838"/>
      <w:pgMar w:top="1417" w:right="1417" w:bottom="1417" w:left="1417"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Lucida Grande">
    <w:altName w:val="Courier New"/>
    <w:panose1 w:val="020B0600040502020204"/>
    <w:charset w:val="00"/>
    <w:family w:val="auto"/>
    <w:pitch w:val="default"/>
    <w:sig w:usb0="00000000" w:usb1="00000000" w:usb2="00000000" w:usb3="00000000" w:csb0="000001B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compat>
    <w:useFELayout/>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 w:val="032B2C63"/>
    <w:rsid w:val="30AE0B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15"/>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16"/>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17"/>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1">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Balloon Text"/>
    <w:basedOn w:val="1"/>
    <w:link w:val="20"/>
    <w:semiHidden/>
    <w:unhideWhenUsed/>
    <w:uiPriority w:val="99"/>
    <w:rPr>
      <w:rFonts w:ascii="Lucida Grande" w:hAnsi="Lucida Grande"/>
      <w:sz w:val="18"/>
      <w:szCs w:val="18"/>
    </w:rPr>
  </w:style>
  <w:style w:type="paragraph" w:styleId="6">
    <w:name w:val="toc 1"/>
    <w:basedOn w:val="1"/>
    <w:next w:val="1"/>
    <w:autoRedefine/>
    <w:unhideWhenUsed/>
    <w:qFormat/>
    <w:uiPriority w:val="39"/>
    <w:pPr>
      <w:spacing w:after="100"/>
    </w:pPr>
  </w:style>
  <w:style w:type="paragraph" w:styleId="7">
    <w:name w:val="toc 2"/>
    <w:basedOn w:val="1"/>
    <w:next w:val="1"/>
    <w:autoRedefine/>
    <w:unhideWhenUsed/>
    <w:qFormat/>
    <w:uiPriority w:val="39"/>
    <w:pPr>
      <w:spacing w:after="100"/>
      <w:ind w:left="240"/>
    </w:pPr>
  </w:style>
  <w:style w:type="table" w:styleId="9">
    <w:name w:val="Table Professional"/>
    <w:basedOn w:val="8"/>
    <w:semiHidden/>
    <w:unhideWhenUsed/>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0">
    <w:name w:val="Light List Accent 2"/>
    <w:basedOn w:val="8"/>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customStyle="1" w:styleId="12">
    <w:name w:val="strong"/>
    <w:basedOn w:val="11"/>
    <w:qFormat/>
    <w:uiPriority w:val="1"/>
    <w:rPr>
      <w:b/>
    </w:rPr>
  </w:style>
  <w:style w:type="paragraph" w:customStyle="1" w:styleId="13">
    <w:name w:val="centered"/>
    <w:basedOn w:val="1"/>
    <w:qFormat/>
    <w:uiPriority w:val="0"/>
    <w:pPr>
      <w:jc w:val="center"/>
    </w:pPr>
  </w:style>
  <w:style w:type="table" w:customStyle="1" w:styleId="14">
    <w:name w:val="table_template"/>
    <w:basedOn w:val="8"/>
    <w:qFormat/>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15">
    <w:name w:val="Titre 1 Car"/>
    <w:basedOn w:val="11"/>
    <w:link w:val="2"/>
    <w:qFormat/>
    <w:uiPriority w:val="9"/>
    <w:rPr>
      <w:rFonts w:asciiTheme="majorHAnsi" w:hAnsiTheme="majorHAnsi" w:eastAsiaTheme="majorEastAsia" w:cstheme="majorBidi"/>
      <w:b/>
      <w:bCs/>
      <w:sz w:val="32"/>
      <w:szCs w:val="32"/>
    </w:rPr>
  </w:style>
  <w:style w:type="character" w:customStyle="1" w:styleId="16">
    <w:name w:val="Titre 2 Car"/>
    <w:basedOn w:val="11"/>
    <w:link w:val="3"/>
    <w:semiHidden/>
    <w:qFormat/>
    <w:uiPriority w:val="9"/>
    <w:rPr>
      <w:rFonts w:asciiTheme="majorHAnsi" w:hAnsiTheme="majorHAnsi" w:eastAsiaTheme="majorEastAsia" w:cstheme="majorBidi"/>
      <w:b/>
      <w:bCs/>
      <w:sz w:val="26"/>
      <w:szCs w:val="26"/>
    </w:rPr>
  </w:style>
  <w:style w:type="character" w:customStyle="1" w:styleId="17">
    <w:name w:val="Titre 3 Car"/>
    <w:basedOn w:val="11"/>
    <w:link w:val="4"/>
    <w:semiHidden/>
    <w:qFormat/>
    <w:uiPriority w:val="9"/>
    <w:rPr>
      <w:rFonts w:asciiTheme="majorHAnsi" w:hAnsiTheme="majorHAnsi" w:eastAsiaTheme="majorEastAsia" w:cstheme="majorBidi"/>
      <w:b/>
      <w:bCs/>
    </w:rPr>
  </w:style>
  <w:style w:type="paragraph" w:customStyle="1" w:styleId="18">
    <w:name w:val="Image Caption"/>
    <w:basedOn w:val="1"/>
    <w:qFormat/>
    <w:uiPriority w:val="0"/>
    <w:pPr>
      <w:jc w:val="center"/>
    </w:pPr>
    <w:rPr>
      <w:b/>
      <w:i/>
    </w:rPr>
  </w:style>
  <w:style w:type="paragraph" w:customStyle="1" w:styleId="19">
    <w:name w:val="Table Caption"/>
    <w:basedOn w:val="18"/>
    <w:qFormat/>
    <w:uiPriority w:val="0"/>
  </w:style>
  <w:style w:type="character" w:customStyle="1" w:styleId="20">
    <w:name w:val="Texte de bulles Car"/>
    <w:basedOn w:val="11"/>
    <w:link w:val="5"/>
    <w:semiHidden/>
    <w:qFormat/>
    <w:uiPriority w:val="99"/>
    <w:rPr>
      <w:rFonts w:ascii="Lucida Grande" w:hAnsi="Lucida Grande"/>
      <w:sz w:val="18"/>
      <w:szCs w:val="18"/>
    </w:rPr>
  </w:style>
  <w:style w:type="character" w:customStyle="1" w:styleId="21">
    <w:name w:val="reference_id"/>
    <w:basedOn w:val="11"/>
    <w:qFormat/>
    <w:uiPriority w:val="1"/>
    <w:rPr>
      <w:vertAlign w:val="superscript"/>
    </w:rPr>
  </w:style>
  <w:style w:type="paragraph" w:customStyle="1" w:styleId="22">
    <w:name w:val="graphic title"/>
    <w:basedOn w:val="18"/>
    <w:next w:val="1"/>
    <w:qFormat/>
    <w:uiPriority w:val="0"/>
  </w:style>
  <w:style w:type="paragraph" w:customStyle="1" w:styleId="23">
    <w:name w:val="table title"/>
    <w:basedOn w:val="19"/>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86</Words>
  <Characters>518</Characters>
  <Lines>0</Lines>
  <Paragraphs>0</Paragraphs>
  <TotalTime>4</TotalTime>
  <ScaleCrop>false</ScaleCrop>
  <LinksUpToDate>false</LinksUpToDate>
  <CharactersWithSpaces>576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2017-02-28T11:18:00Z</dcterms:created>
  <dc:creator>毛燕</dc:creator>
  <cp:lastModifiedBy>毛燕</cp:lastModifiedBy>
  <dcterms:modified xsi:type="dcterms:W3CDTF">2026-09-13T01:04:30Z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eyJoZGlkIjoiMDY5NmFjMmM4ZTljMGJiZDAxN2JmYTc0NGI0NmFiNDgiLCJ1c2VySWQiOiIzNzk2MTcxMTAifQ==</vt:lpwstr>
  </property>
  <property fmtid="{D5CDD505-2E9C-101B-9397-08002B2CF9AE}" pid="3" name="KSOProductBuildVer">
    <vt:lpwstr>2052-12.1.0.28505</vt:lpwstr>
  </property>
  <property fmtid="{D5CDD505-2E9C-101B-9397-08002B2CF9AE}" pid="4" name="ICV">
    <vt:lpwstr>F92FF9C73CE04CB3B4EF52017398D8A5_12</vt:lpwstr>
  </property>
</Properties>
</file>