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Appendix A: </w:t>
      </w:r>
      <w:r w:rsidDel="00000000" w:rsidR="00000000" w:rsidRPr="00000000">
        <w:rPr>
          <w:rFonts w:ascii="Times New Roman" w:cs="Times New Roman" w:eastAsia="Times New Roman" w:hAnsi="Times New Roman"/>
          <w:sz w:val="24"/>
          <w:szCs w:val="24"/>
          <w:rtl w:val="0"/>
        </w:rPr>
        <w:t xml:space="preserve">Statistical Analysis and Variables </w:t>
      </w:r>
      <w:r w:rsidDel="00000000" w:rsidR="00000000" w:rsidRPr="00000000">
        <w:rPr>
          <w:rtl w:val="0"/>
        </w:rPr>
      </w:r>
    </w:p>
    <w:p w:rsidR="00000000" w:rsidDel="00000000" w:rsidP="00000000" w:rsidRDefault="00000000" w:rsidRPr="00000000" w14:paraId="00000002">
      <w:pPr>
        <w:spacing w:after="240" w:before="240"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Statistical Analysis</w:t>
      </w:r>
    </w:p>
    <w:p w:rsidR="00000000" w:rsidDel="00000000" w:rsidP="00000000" w:rsidRDefault="00000000" w:rsidRPr="00000000" w14:paraId="0000000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statistics were used to summarize physician, practice, and patient characteristics overall and stratified by sex. Continuous variables are reported as means with standard deviations (SD), and categorical variables are presented as counts and percentages. Differences between male and female physicians were assessed using Wilcoxon rank-sum tests for continuous variables and Pearson’s chi-squared tests for categorical variables. All descriptive analyses were conducted using physician-year observations across the study period (2018–2023).</w:t>
      </w:r>
    </w:p>
    <w:p w:rsidR="00000000" w:rsidDel="00000000" w:rsidP="00000000" w:rsidRDefault="00000000" w:rsidRPr="00000000" w14:paraId="0000000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conducted a two-part analysis to examine physician earnings from 2018 to 2023, first estimating the overall gender pay gap and then assessing changes in the gap over time. The primary outcome was annual clinical income, inflation-adjusted to 2018 Canadian dollars using the Consumer Price Index and log-transformed to account for skewness in the distribution of income.</w:t>
      </w:r>
    </w:p>
    <w:p w:rsidR="00000000" w:rsidDel="00000000" w:rsidP="00000000" w:rsidRDefault="00000000" w:rsidRPr="00000000" w14:paraId="000000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Multivariable linear mixed-effects models with physician-specific random intercepts were estimated to account for repeated observations within physicians over time. All models adjusted for sex, fiscal year, and a range of physician and practice characteristics, including age, years since graduation, specialty, payment model (fee-for-service vs. alternative payment), rurality as measured by the Rurality Index of Ontario (RIO), practice setting (hospital, office, or mixed), patient volume, academic affiliation, and work patterns (e.g., full-time vs. part-time status), to control for observed differences in physician and practice profiles.</w:t>
      </w:r>
    </w:p>
    <w:p w:rsidR="00000000" w:rsidDel="00000000" w:rsidP="00000000" w:rsidRDefault="00000000" w:rsidRPr="00000000" w14:paraId="0000000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model estimated the overall gender pay gap across the study period. To reduce the influence of extreme values, the main analysis excluded physicians in the top and bottom 1% of the income distribution. A sensitivity analysis was conducted by re-estimating the model using the full sample.</w:t>
      </w:r>
    </w:p>
    <w:p w:rsidR="00000000" w:rsidDel="00000000" w:rsidP="00000000" w:rsidRDefault="00000000" w:rsidRPr="00000000" w14:paraId="0000000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assess changes in the gender pay gap over time, a secondary model was specified with interaction terms between sex and fiscal year. This model was otherwise identical to the primary model and allowed for estimation of year-specific differences in income by sex.</w:t>
      </w:r>
    </w:p>
    <w:p w:rsidR="00000000" w:rsidDel="00000000" w:rsidP="00000000" w:rsidRDefault="00000000" w:rsidRPr="00000000" w14:paraId="0000000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 coefficients were exponentiated and interpreted as percentage differences in income. Statistical significance was assessed using two-sided tests with a significance threshold of p &lt; 0.05. All data management and statistical analyses were conducted using R (R Foundation for Statistical Computing) and SAS version 9.4 (SAS Institute).</w:t>
      </w:r>
    </w:p>
    <w:p w:rsidR="00000000" w:rsidDel="00000000" w:rsidP="00000000" w:rsidRDefault="00000000" w:rsidRPr="00000000" w14:paraId="00000009">
      <w:pPr>
        <w:spacing w:after="240" w:before="24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A">
      <w:pPr>
        <w:spacing w:after="240" w:before="240"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Variables:</w:t>
      </w:r>
    </w:p>
    <w:p w:rsidR="00000000" w:rsidDel="00000000" w:rsidP="00000000" w:rsidRDefault="00000000" w:rsidRPr="00000000" w14:paraId="0000000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outcome variables were gross annual and daily clinical payments. Explanatory variables included:</w:t>
      </w:r>
    </w:p>
    <w:p w:rsidR="00000000" w:rsidDel="00000000" w:rsidP="00000000" w:rsidRDefault="00000000" w:rsidRPr="00000000" w14:paraId="0000000C">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Demographic variables: Age, sex, years since graduation.</w:t>
      </w:r>
    </w:p>
    <w:p w:rsidR="00000000" w:rsidDel="00000000" w:rsidP="00000000" w:rsidRDefault="00000000" w:rsidRPr="00000000" w14:paraId="0000000D">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Practice characteristics: Payment model (alternative payment plan (APP) or fee-for- service (FFS)), academic affiliation, rurality, practice setting (hospital, office, mixed), patient volume, paediatric patient volume (&lt; 17 years of age).</w:t>
      </w:r>
    </w:p>
    <w:p w:rsidR="00000000" w:rsidDel="00000000" w:rsidP="00000000" w:rsidRDefault="00000000" w:rsidRPr="00000000" w14:paraId="0000000E">
      <w:pPr>
        <w:numPr>
          <w:ilvl w:val="0"/>
          <w:numId w:val="1"/>
        </w:numPr>
        <w:spacing w:after="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patterns: Part-time status (full-time or part-time), number of days worked (including weekends, holidays, and after-hours).</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A37184"/>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37184"/>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37184"/>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3718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3718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3718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3718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3718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3718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3718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3718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3718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3718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3718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3718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37184"/>
    <w:rPr>
      <w:i w:val="1"/>
      <w:iCs w:val="1"/>
      <w:color w:val="404040" w:themeColor="text1" w:themeTint="0000BF"/>
    </w:rPr>
  </w:style>
  <w:style w:type="paragraph" w:styleId="ListParagraph">
    <w:name w:val="List Paragraph"/>
    <w:basedOn w:val="Normal"/>
    <w:uiPriority w:val="34"/>
    <w:qFormat w:val="1"/>
    <w:rsid w:val="00A37184"/>
    <w:pPr>
      <w:ind w:left="720"/>
      <w:contextualSpacing w:val="1"/>
    </w:pPr>
  </w:style>
  <w:style w:type="character" w:styleId="IntenseEmphasis">
    <w:name w:val="Intense Emphasis"/>
    <w:basedOn w:val="DefaultParagraphFont"/>
    <w:uiPriority w:val="21"/>
    <w:qFormat w:val="1"/>
    <w:rsid w:val="00A37184"/>
    <w:rPr>
      <w:i w:val="1"/>
      <w:iCs w:val="1"/>
      <w:color w:val="0f4761" w:themeColor="accent1" w:themeShade="0000BF"/>
    </w:rPr>
  </w:style>
  <w:style w:type="paragraph" w:styleId="IntenseQuote">
    <w:name w:val="Intense Quote"/>
    <w:basedOn w:val="Normal"/>
    <w:next w:val="Normal"/>
    <w:link w:val="IntenseQuoteChar"/>
    <w:uiPriority w:val="30"/>
    <w:qFormat w:val="1"/>
    <w:rsid w:val="00A3718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A37184"/>
    <w:rPr>
      <w:i w:val="1"/>
      <w:iCs w:val="1"/>
      <w:color w:val="0f4761" w:themeColor="accent1" w:themeShade="0000BF"/>
    </w:rPr>
  </w:style>
  <w:style w:type="character" w:styleId="IntenseReference">
    <w:name w:val="Intense Reference"/>
    <w:basedOn w:val="DefaultParagraphFont"/>
    <w:uiPriority w:val="32"/>
    <w:qFormat w:val="1"/>
    <w:rsid w:val="00A37184"/>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3pvC3jBduqTDyzt7mOwzE+S2Eg==">CgMxLjA4AGojChRzdWdnZXN0LmZiZWF3cm0yMWZ0dhILRG9ubmEgUGxldHRqJwoUc3VnZ2VzdC5oMHZqdHp1d3p2dmkSD1NhbWluYSBOYXphcmFsaWojChRzdWdnZXN0Lm93c3Y5YXV4dWxsbxILRG9ubmEgUGxldHRqIwoUc3VnZ2VzdC53ZTdlanp1ZTIxNGMSC0Rvbm5hIFBsZXR0aiMKFHN1Z2dlc3QuYTQ4ZTk4Z2tycXBrEgtYaW54aW4gVGFuZ2oiChNzdWdnZXN0Lnl3a3BtNjZwcGRkEgtEb25uYSBQbGV0dHIhMUsyeWVXNEF4NU9vbVFzUjZXVmkxdlBxSEdZeE1SRF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2026-02-09T02:59:00Z</dcterms:created>
  <dc:creator>Tang, Xinxin (MED)</dc:creator>
</cp:coreProperties>
</file>