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3E9204C5" w:rsidR="002D31D2" w:rsidRDefault="00C41078" w:rsidP="00410557">
      <w:pPr>
        <w:spacing w:after="0" w:line="480" w:lineRule="auto"/>
        <w:rPr>
          <w:rFonts w:ascii="Times New Roman" w:eastAsia="Times New Roman" w:hAnsi="Times New Roman" w:cs="Times New Roman"/>
          <w:color w:val="000000"/>
        </w:rPr>
      </w:pPr>
      <w:r w:rsidRPr="00C41078">
        <w:rPr>
          <w:rFonts w:ascii="Times New Roman" w:eastAsia="Times New Roman" w:hAnsi="Times New Roman" w:cs="Times New Roman"/>
          <w:b/>
          <w:bCs/>
          <w:color w:val="000000"/>
        </w:rPr>
        <w:t xml:space="preserve">Appendix D. </w:t>
      </w:r>
      <w:r w:rsidRPr="00C41078">
        <w:rPr>
          <w:rFonts w:ascii="Times New Roman" w:eastAsia="Times New Roman" w:hAnsi="Times New Roman" w:cs="Times New Roman"/>
          <w:color w:val="000000"/>
        </w:rPr>
        <w:t>Sample strategies for Clinical Immunology and Allergy billing standardization using the Ontario Schedule of Benefits, Physician Services Under the Health Insurance Act (effective April 1, 2026)</w:t>
      </w:r>
    </w:p>
    <w:p w14:paraId="2F19D899" w14:textId="77777777" w:rsidR="00C41078" w:rsidRDefault="00C41078" w:rsidP="00410557">
      <w:pPr>
        <w:spacing w:after="0" w:line="480" w:lineRule="auto"/>
        <w:rPr>
          <w:rFonts w:ascii="Times New Roman" w:eastAsia="Times New Roman" w:hAnsi="Times New Roman" w:cs="Times New Roman"/>
        </w:rPr>
      </w:pPr>
    </w:p>
    <w:p w14:paraId="61C62402" w14:textId="77777777" w:rsidR="00C41078" w:rsidRDefault="00C41078" w:rsidP="00410557">
      <w:pPr>
        <w:pStyle w:val="pdq2pgselectionanchorcontainer"/>
        <w:spacing w:line="480" w:lineRule="auto"/>
      </w:pPr>
      <w:r>
        <w:rPr>
          <w:rStyle w:val="Strong"/>
        </w:rPr>
        <w:t>1. Appropriate use of time-based counselling codes</w:t>
      </w:r>
    </w:p>
    <w:p w14:paraId="131F82B3" w14:textId="77777777" w:rsidR="00410557" w:rsidRDefault="00410557" w:rsidP="00410557">
      <w:pPr>
        <w:spacing w:after="0" w:line="480" w:lineRule="auto"/>
        <w:rPr>
          <w:rFonts w:ascii="Times New Roman" w:eastAsia="Times New Roman" w:hAnsi="Times New Roman" w:cs="Times New Roman"/>
        </w:rPr>
      </w:pPr>
      <w:r>
        <w:rPr>
          <w:rFonts w:ascii="Times New Roman" w:eastAsia="Times New Roman" w:hAnsi="Times New Roman" w:cs="Times New Roman"/>
          <w:color w:val="000000"/>
        </w:rPr>
        <w:t>Encourage consistent use of codes like K013 (counseling for 20 minutes or more) for patient education or counseling sessions. Female physicians often report spending more time on these non-procedural aspects of care. </w:t>
      </w:r>
    </w:p>
    <w:p w14:paraId="1526F9F5" w14:textId="77777777" w:rsidR="00C41078" w:rsidRPr="00C41078" w:rsidRDefault="00C41078" w:rsidP="00410557">
      <w:pPr>
        <w:pStyle w:val="NormalWeb"/>
        <w:spacing w:line="480" w:lineRule="auto"/>
      </w:pPr>
    </w:p>
    <w:p w14:paraId="18DB5781" w14:textId="07F0F424" w:rsidR="00C41078" w:rsidRDefault="00C41078" w:rsidP="00410557">
      <w:pPr>
        <w:pStyle w:val="pdq2pgselectionanchorcontainer"/>
        <w:spacing w:line="480" w:lineRule="auto"/>
      </w:pPr>
      <w:r>
        <w:rPr>
          <w:rStyle w:val="Strong"/>
        </w:rPr>
        <w:t xml:space="preserve">2. </w:t>
      </w:r>
      <w:r>
        <w:rPr>
          <w:rStyle w:val="Strong"/>
        </w:rPr>
        <w:t>Consistent use of less commonly used allergy-specific procedure codes</w:t>
      </w:r>
    </w:p>
    <w:p w14:paraId="31B89D6C" w14:textId="77777777" w:rsidR="00C41078" w:rsidRDefault="00C41078" w:rsidP="00410557">
      <w:pPr>
        <w:pStyle w:val="NormalWeb"/>
        <w:spacing w:line="480" w:lineRule="auto"/>
      </w:pPr>
      <w:r>
        <w:t xml:space="preserve">Develop specialty-specific guidance on less frequently used diagnostic codes for services that are </w:t>
      </w:r>
      <w:proofErr w:type="gramStart"/>
      <w:r>
        <w:t>actually performed</w:t>
      </w:r>
      <w:proofErr w:type="gramEnd"/>
      <w:r>
        <w:t>. For example, G213 may be claimed for physical urticaria challenge testing when the Schedule criteria are met, including performance of at least 3 specified physical challenges.</w:t>
      </w:r>
    </w:p>
    <w:p w14:paraId="6971221D" w14:textId="77777777" w:rsidR="00C41078" w:rsidRDefault="00C41078" w:rsidP="00410557">
      <w:pPr>
        <w:spacing w:after="0" w:line="480" w:lineRule="auto"/>
        <w:rPr>
          <w:rFonts w:ascii="Times New Roman" w:eastAsia="Times New Roman" w:hAnsi="Times New Roman" w:cs="Times New Roman"/>
          <w:b/>
          <w:bCs/>
          <w:color w:val="000000"/>
        </w:rPr>
      </w:pPr>
    </w:p>
    <w:p w14:paraId="591F2F44" w14:textId="4E9D1440" w:rsidR="00C41078" w:rsidRDefault="00C41078" w:rsidP="00410557">
      <w:pPr>
        <w:pStyle w:val="pdq2pgselectionanchorcontainer"/>
        <w:spacing w:line="480" w:lineRule="auto"/>
      </w:pPr>
      <w:r>
        <w:rPr>
          <w:rStyle w:val="Strong"/>
        </w:rPr>
        <w:t xml:space="preserve">3. </w:t>
      </w:r>
      <w:r>
        <w:rPr>
          <w:rStyle w:val="Strong"/>
        </w:rPr>
        <w:t>Appropriate billing for immunotherapy, infusions, and injections</w:t>
      </w:r>
    </w:p>
    <w:p w14:paraId="1C651980" w14:textId="77777777" w:rsidR="00C41078" w:rsidRDefault="00C41078" w:rsidP="00410557">
      <w:pPr>
        <w:pStyle w:val="NormalWeb"/>
        <w:spacing w:line="480" w:lineRule="auto"/>
      </w:pPr>
      <w:r>
        <w:t xml:space="preserve">Physicians should consistently apply the appropriate procedural code when an eligible procedure is performed. Examples include G202/G212 for allergen immunotherapy, G205 for venom immunotherapy, G389 for preparation and infusion of gamma globulin, and G372/G373 for </w:t>
      </w:r>
      <w:r>
        <w:lastRenderedPageBreak/>
        <w:t>eligible intramuscular, subcutaneous, or intradermal injections, according to the circumstances and Schedule requirements</w:t>
      </w:r>
    </w:p>
    <w:p w14:paraId="313B3301" w14:textId="77777777" w:rsidR="00410557" w:rsidRDefault="00410557" w:rsidP="00410557">
      <w:pPr>
        <w:pStyle w:val="NormalWeb"/>
        <w:spacing w:line="480" w:lineRule="auto"/>
      </w:pPr>
    </w:p>
    <w:p w14:paraId="06DF3287" w14:textId="49B69A74" w:rsidR="00C41078" w:rsidRDefault="00C41078" w:rsidP="00410557">
      <w:pPr>
        <w:pStyle w:val="pdq2pgselectionanchorcontainer"/>
        <w:spacing w:line="480" w:lineRule="auto"/>
      </w:pPr>
      <w:r>
        <w:rPr>
          <w:rStyle w:val="Strong"/>
        </w:rPr>
        <w:t xml:space="preserve">4. </w:t>
      </w:r>
      <w:r>
        <w:rPr>
          <w:rStyle w:val="Strong"/>
        </w:rPr>
        <w:t>Recognize gaps in remuneration for multidisciplinary and collaborative care</w:t>
      </w:r>
    </w:p>
    <w:p w14:paraId="666635D9" w14:textId="5CB1D21B" w:rsidR="00C41078" w:rsidRDefault="00C41078" w:rsidP="00410557">
      <w:pPr>
        <w:pStyle w:val="NormalWeb"/>
        <w:spacing w:line="480" w:lineRule="auto"/>
      </w:pPr>
      <w:r>
        <w:t>Multidisciplinary care is common in Clinical Immunology and Allergy, particularly for patients with immunodeficiency, severe asthma, eosinophilic disease, complex drug allergy, and food allergy. Where the Schedule requirements for a formal physician-to-physician telephone consultation are met, the relevant telephone consultation codes, such as K730 for the referring physician and K731 for the consultant physician, may apply. The absence of a broadly applicable mechanism to remunerate multidisciplinary outpatient work in Clinical Immunology and Allergy represents a potential area for future fee-schedule advocacy</w:t>
      </w:r>
    </w:p>
    <w:p w14:paraId="457CACBC" w14:textId="77777777" w:rsidR="00410557" w:rsidRDefault="00410557" w:rsidP="00410557">
      <w:pPr>
        <w:pStyle w:val="NormalWeb"/>
        <w:spacing w:line="480" w:lineRule="auto"/>
      </w:pPr>
    </w:p>
    <w:p w14:paraId="504CE21F" w14:textId="068C2EE4" w:rsidR="00C41078" w:rsidRDefault="00C41078" w:rsidP="00410557">
      <w:pPr>
        <w:pStyle w:val="pdq2pgselectionanchorcontainer"/>
        <w:spacing w:line="480" w:lineRule="auto"/>
      </w:pPr>
      <w:r>
        <w:rPr>
          <w:rStyle w:val="Strong"/>
        </w:rPr>
        <w:t xml:space="preserve">5. </w:t>
      </w:r>
      <w:r>
        <w:rPr>
          <w:rStyle w:val="Strong"/>
        </w:rPr>
        <w:t>Regular education on Schedule updates</w:t>
      </w:r>
    </w:p>
    <w:p w14:paraId="308B937B" w14:textId="77777777" w:rsidR="00C41078" w:rsidRDefault="00C41078" w:rsidP="00410557">
      <w:pPr>
        <w:pStyle w:val="NormalWeb"/>
        <w:spacing w:line="480" w:lineRule="auto"/>
      </w:pPr>
      <w:r>
        <w:t xml:space="preserve">Provide physicians with regular updates on changes to the Ontario Schedule of Benefits and specialty-relevant billing rules. Periodic educational sessions may help ensure that physicians are aware of newly introduced or revised codes and apply existing codes consistently when the corresponding services are provided. The Ministry issued substantial Schedule changes effective April 1, 2026. </w:t>
      </w:r>
    </w:p>
    <w:p w14:paraId="0CA5B2E1" w14:textId="77777777" w:rsidR="00C41078" w:rsidRDefault="00C41078" w:rsidP="00410557">
      <w:pPr>
        <w:pStyle w:val="pdq2pgselectionanchorcontainer"/>
        <w:spacing w:line="480" w:lineRule="auto"/>
        <w:rPr>
          <w:rStyle w:val="Strong"/>
        </w:rPr>
      </w:pPr>
    </w:p>
    <w:p w14:paraId="76BE5DD2" w14:textId="0D8E526E" w:rsidR="00C41078" w:rsidRDefault="00C41078" w:rsidP="00410557">
      <w:pPr>
        <w:pStyle w:val="pdq2pgselectionanchorcontainer"/>
        <w:spacing w:line="480" w:lineRule="auto"/>
      </w:pPr>
      <w:r>
        <w:rPr>
          <w:rStyle w:val="Strong"/>
        </w:rPr>
        <w:lastRenderedPageBreak/>
        <w:t xml:space="preserve">6. </w:t>
      </w:r>
      <w:r>
        <w:rPr>
          <w:rStyle w:val="Strong"/>
        </w:rPr>
        <w:t>Billing audits and feedback</w:t>
      </w:r>
    </w:p>
    <w:p w14:paraId="002238A7" w14:textId="27FCFBB0" w:rsidR="00C41078" w:rsidRDefault="00C41078" w:rsidP="00410557">
      <w:pPr>
        <w:pStyle w:val="NormalWeb"/>
        <w:spacing w:line="480" w:lineRule="auto"/>
      </w:pPr>
      <w:r>
        <w:t xml:space="preserve">Consider periodic review of billing patterns against the Schedule of Benefits, with confidential feedback to identify variation in use of appropriate assessment, counselling, and procedural codes. </w:t>
      </w:r>
    </w:p>
    <w:p w14:paraId="3BE30EEC" w14:textId="77777777" w:rsidR="00C41078" w:rsidRDefault="00C41078" w:rsidP="00410557">
      <w:pPr>
        <w:pStyle w:val="pdq2pgselectionanchorcontainer"/>
        <w:spacing w:line="480" w:lineRule="auto"/>
        <w:rPr>
          <w:rStyle w:val="Strong"/>
        </w:rPr>
      </w:pPr>
    </w:p>
    <w:p w14:paraId="2AE2F836" w14:textId="2BA08FA1" w:rsidR="00C41078" w:rsidRDefault="00C41078" w:rsidP="00410557">
      <w:pPr>
        <w:pStyle w:val="pdq2pgselectionanchorcontainer"/>
        <w:spacing w:line="480" w:lineRule="auto"/>
      </w:pPr>
      <w:r>
        <w:rPr>
          <w:rStyle w:val="Strong"/>
        </w:rPr>
        <w:t xml:space="preserve">7. </w:t>
      </w:r>
      <w:r>
        <w:rPr>
          <w:rStyle w:val="Strong"/>
        </w:rPr>
        <w:t>Specialty-specific billing resources</w:t>
      </w:r>
    </w:p>
    <w:p w14:paraId="6059070F" w14:textId="77777777" w:rsidR="00C41078" w:rsidRDefault="00C41078" w:rsidP="00410557">
      <w:pPr>
        <w:pStyle w:val="NormalWeb"/>
        <w:spacing w:line="480" w:lineRule="auto"/>
      </w:pPr>
      <w:r>
        <w:t>Develop concise, regularly updated Clinical Immunology and Allergy billing guides that summarize commonly used assessment and procedural codes, relevant restrictions, and representative clinical scenarios.</w:t>
      </w:r>
    </w:p>
    <w:p w14:paraId="366C7E88" w14:textId="77777777" w:rsidR="00C41078" w:rsidRDefault="00C41078" w:rsidP="00410557">
      <w:pPr>
        <w:pStyle w:val="NormalWeb"/>
        <w:spacing w:line="480" w:lineRule="auto"/>
      </w:pPr>
    </w:p>
    <w:p w14:paraId="00000017" w14:textId="77777777" w:rsidR="002D31D2" w:rsidRDefault="002D31D2" w:rsidP="00410557">
      <w:pPr>
        <w:spacing w:after="0" w:line="480" w:lineRule="auto"/>
        <w:rPr>
          <w:rFonts w:ascii="Times New Roman" w:eastAsia="Times New Roman" w:hAnsi="Times New Roman" w:cs="Times New Roman"/>
        </w:rPr>
      </w:pPr>
    </w:p>
    <w:p w14:paraId="00000018" w14:textId="77777777" w:rsidR="002D31D2" w:rsidRDefault="002D31D2" w:rsidP="00410557">
      <w:pPr>
        <w:spacing w:line="480" w:lineRule="auto"/>
        <w:rPr>
          <w:rFonts w:ascii="Times New Roman" w:eastAsia="Times New Roman" w:hAnsi="Times New Roman" w:cs="Times New Roman"/>
        </w:rPr>
      </w:pPr>
    </w:p>
    <w:sectPr w:rsidR="002D31D2">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88C49F44-ED74-F647-9E2E-59D21F16895B}"/>
    <w:embedItalic r:id="rId2" w:fontKey="{EDD7B705-64C4-3E47-A243-AC070CF09F4D}"/>
  </w:font>
  <w:font w:name="Play">
    <w:charset w:val="00"/>
    <w:family w:val="auto"/>
    <w:pitch w:val="default"/>
    <w:embedRegular r:id="rId3" w:fontKey="{B41886FB-8455-D14A-A46A-601F8FA7F395}"/>
  </w:font>
  <w:font w:name="Times New Roman">
    <w:panose1 w:val="02020603050405020304"/>
    <w:charset w:val="00"/>
    <w:family w:val="roman"/>
    <w:pitch w:val="variable"/>
    <w:sig w:usb0="E0002EFF" w:usb1="C000785B" w:usb2="00000009" w:usb3="00000000" w:csb0="000001FF" w:csb1="00000000"/>
    <w:embedRegular r:id="rId4" w:fontKey="{59448147-25E0-2248-9BBE-82D11040575D}"/>
    <w:embedBold r:id="rId5" w:fontKey="{ACC6FA44-0AB3-DB49-9AAD-BC6F8FAE16BF}"/>
  </w:font>
  <w:font w:name="Calibri">
    <w:panose1 w:val="020F0502020204030204"/>
    <w:charset w:val="00"/>
    <w:family w:val="swiss"/>
    <w:pitch w:val="variable"/>
    <w:sig w:usb0="E0002AFF" w:usb1="C000247B" w:usb2="00000009" w:usb3="00000000" w:csb0="000001FF" w:csb1="00000000"/>
    <w:embedRegular r:id="rId6" w:fontKey="{6B05AB37-EBAA-3C4B-B39E-8DA278DECD44}"/>
  </w:font>
  <w:font w:name="Cambria">
    <w:panose1 w:val="02040503050406030204"/>
    <w:charset w:val="00"/>
    <w:family w:val="roman"/>
    <w:pitch w:val="variable"/>
    <w:sig w:usb0="E00002FF" w:usb1="400004FF" w:usb2="00000000" w:usb3="00000000" w:csb0="0000019F" w:csb1="00000000"/>
    <w:embedRegular r:id="rId7" w:fontKey="{4BAAAC0F-8CB3-C343-BF69-08E8A1FC7D9E}"/>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1D2"/>
    <w:rsid w:val="002D31D2"/>
    <w:rsid w:val="00410557"/>
    <w:rsid w:val="00C41078"/>
    <w:rsid w:val="00CF111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A0A9E51"/>
  <w15:docId w15:val="{94689C54-E0B6-4D40-BF94-95E0B21F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dq2pgselectionanchorcontainer">
    <w:name w:val="pdq2pg_selectionanchorcontainer"/>
    <w:basedOn w:val="Normal"/>
    <w:rsid w:val="00C41078"/>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C41078"/>
    <w:rPr>
      <w:b/>
      <w:bCs/>
    </w:rPr>
  </w:style>
  <w:style w:type="paragraph" w:styleId="NormalWeb">
    <w:name w:val="Normal (Web)"/>
    <w:basedOn w:val="Normal"/>
    <w:uiPriority w:val="99"/>
    <w:unhideWhenUsed/>
    <w:rsid w:val="00C41078"/>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M1KazswhvJgFCMFwthWQn5onuA==">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Samira Jeimy</cp:lastModifiedBy>
  <cp:revision>2</cp:revision>
  <dcterms:created xsi:type="dcterms:W3CDTF">2026-09-08T03:41:00Z</dcterms:created>
  <dcterms:modified xsi:type="dcterms:W3CDTF">2026-09-08T03:53:00Z</dcterms:modified>
</cp:coreProperties>
</file>