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8734" w14:textId="77777777" w:rsidR="001427E1" w:rsidRDefault="001427E1" w:rsidP="001427E1">
      <w:pPr>
        <w:pStyle w:val="Heading1"/>
      </w:pPr>
      <w:r>
        <w:t>Appendix A: Derivation and critical-coupling interpretation</w:t>
      </w:r>
    </w:p>
    <w:p w14:paraId="23EFBCFE" w14:textId="77777777" w:rsidR="001427E1" w:rsidRDefault="001427E1" w:rsidP="001427E1">
      <w:pPr>
        <w:spacing w:after="120"/>
        <w:jc w:val="both"/>
      </w:pPr>
      <w:r>
        <w:t>Equation (1) can be obtained by summing the circulating field as a geometric series. At each encounter with the bus-ring coupler, a fraction of the incident field remains in the bus while the coupled component completes another attenuated and phase-shifted round trip. The resulting through field is the coherent sum of the direct path and all recirculated contributions. For a lossless coupler with a real self-coupling coefficient, the standard field ratio reduces to a rational function of t, a, and exp(-i phi); taking its magnitude squared gives the power expression used in the article.</w:t>
      </w:r>
    </w:p>
    <w:p w14:paraId="3F3233B7" w14:textId="77777777" w:rsidR="001427E1" w:rsidRDefault="001427E1" w:rsidP="001427E1">
      <w:pPr>
        <w:spacing w:after="120"/>
        <w:jc w:val="both"/>
      </w:pPr>
      <w:r>
        <w:t>At exact resonance, cos(phi)=1 and the numerator becomes (t-a)^2 while the denominator becomes (1-at)^2. The through-port transmission therefore approaches zero as t approaches a. This is the familiar critical-coupling condition. It is important that critical coupling is a balance between coupling and internal loss, not simply “strong coupling.” If t is substantially smaller or larger than a, the notch becomes shallower even though a resonance remains. This explains the non-monotonic coupling trends in Fig. 3.</w:t>
      </w:r>
    </w:p>
    <w:p w14:paraId="03F6CC59" w14:textId="77777777" w:rsidR="001427E1" w:rsidRDefault="001427E1" w:rsidP="001427E1">
      <w:pPr>
        <w:spacing w:after="120"/>
        <w:jc w:val="both"/>
      </w:pPr>
      <w:r>
        <w:t>For two cascaded rings, the reduced intensity model multiplies the individual transmissions. The approximation is strongest when parasitic reflections are weak and the bus section between rings does not create a separate resonant feedback cavity. In a fabricated structure with appreciable coherent back-reflection, a complex scattering-matrix description would be preferable. The present formulation is deliberately chosen because its assumptions are explicit and its sensitivity to independent ring parameters can be audited directly.</w:t>
      </w:r>
    </w:p>
    <w:p w14:paraId="2E0A3625" w14:textId="77777777" w:rsidR="001427E1" w:rsidRDefault="001427E1" w:rsidP="001427E1">
      <w:r>
        <w:br w:type="page"/>
      </w:r>
    </w:p>
    <w:p w14:paraId="58CBEBAD" w14:textId="77777777" w:rsidR="001427E1" w:rsidRDefault="001427E1" w:rsidP="001427E1">
      <w:pPr>
        <w:pStyle w:val="Heading1"/>
      </w:pPr>
      <w:r>
        <w:lastRenderedPageBreak/>
        <w:t>Appendix B: Numerical convergence and grid resolution</w:t>
      </w:r>
    </w:p>
    <w:p w14:paraId="221D3B91" w14:textId="77777777" w:rsidR="001427E1" w:rsidRDefault="001427E1" w:rsidP="001427E1">
      <w:pPr>
        <w:spacing w:after="120"/>
        <w:jc w:val="both"/>
      </w:pPr>
      <w:r>
        <w:t>The wavelength grid contains 4001 points across a 4-nm interval, corresponding to 1 pm per sample. This spacing is substantially finer than the linewidths produced by the nominal parameter set and therefore provides multiple samples across the half-depth region used for FWHM extraction. A convergence audit can be performed by repeating the calculation with 2001, 8001, and 16001 points and comparing notch wavelength, extinction, and linewidth. Notch wavelength should converge to within the discretization step when the resonance minimum is well resolved.</w:t>
      </w:r>
    </w:p>
    <w:p w14:paraId="5682FCD8" w14:textId="77777777" w:rsidR="001427E1" w:rsidRDefault="001427E1" w:rsidP="001427E1">
      <w:pPr>
        <w:spacing w:after="120"/>
        <w:jc w:val="both"/>
      </w:pPr>
      <w:r>
        <w:t>Extinction is more sensitive than resonance wavelength to grid resolution when the true minimum is extremely narrow, because a discrete grid can miss the exact resonant phase. This is one reason the article does not claim that the largest computed extinction is a process-ready optimum. For higher-Q designs, a local interpolation or adaptive wavelength refinement around each minimum would be appropriate. The supplied 1-pm grid was selected as a compromise between transparent execution time and stable metric extraction for the investigated parameter range.</w:t>
      </w:r>
    </w:p>
    <w:p w14:paraId="7A2ADC22" w14:textId="77777777" w:rsidR="001427E1" w:rsidRDefault="001427E1" w:rsidP="001427E1">
      <w:pPr>
        <w:spacing w:after="120"/>
        <w:jc w:val="both"/>
      </w:pPr>
      <w:r>
        <w:t>The Monte Carlo ensemble uses the same wavelength grid for every realization. This avoids an additional source of numerical variability. The archive stores the derived metrics rather than all 1000 full spectra, keeping the package compact. A user who requires complete spectra can modify reproduce.py to write each realization to a compressed array; the physical model and random seed are already specified, so doing so does not alter the study definition.</w:t>
      </w:r>
    </w:p>
    <w:p w14:paraId="594BF33F" w14:textId="77777777" w:rsidR="001427E1" w:rsidRDefault="001427E1" w:rsidP="001427E1">
      <w:r>
        <w:br w:type="page"/>
      </w:r>
    </w:p>
    <w:p w14:paraId="51BF8B22" w14:textId="77777777" w:rsidR="001427E1" w:rsidRDefault="001427E1" w:rsidP="001427E1">
      <w:pPr>
        <w:pStyle w:val="Heading1"/>
      </w:pPr>
      <w:r>
        <w:lastRenderedPageBreak/>
        <w:t>Appendix C: Sensitivity decomposition</w:t>
      </w:r>
    </w:p>
    <w:p w14:paraId="3C4969A0" w14:textId="77777777" w:rsidR="001427E1" w:rsidRDefault="001427E1" w:rsidP="001427E1">
      <w:pPr>
        <w:spacing w:after="120"/>
        <w:jc w:val="both"/>
      </w:pPr>
      <w:r>
        <w:t>The uncertainty model contains three conceptually different perturbations. Radius error changes physical path length directly. Effective-index error changes optical path length without changing geometry and can stand in for thickness, width, or material-index variation at the reduced-model level. Coupling error changes the energy exchange between bus and ring and therefore has a particularly strong effect on extinction and linewidth. Treating these perturbations separately makes it possible to identify which fabrication-control variable would most benefit from tighter tolerances.</w:t>
      </w:r>
    </w:p>
    <w:p w14:paraId="6765E388" w14:textId="77777777" w:rsidR="001427E1" w:rsidRDefault="001427E1" w:rsidP="001427E1">
      <w:pPr>
        <w:spacing w:after="120"/>
        <w:jc w:val="both"/>
      </w:pPr>
      <w:r>
        <w:t>A useful local sensitivity calculation is to perturb one parameter at a time around the nominal point and estimate a central finite-difference derivative. For wavelength placement, derivatives with respect to radius and effective index are expected to dominate because both enter the round-trip phase. For extinction, the derivative with respect to self-coupling can become large near the critical-coupling balance. These derivatives are local and should not replace Monte Carlo propagation when the response is nonlinear, but they provide a fast diagnostic of why a distribution broadens.</w:t>
      </w:r>
    </w:p>
    <w:p w14:paraId="4AD6D264" w14:textId="77777777" w:rsidR="001427E1" w:rsidRDefault="001427E1" w:rsidP="001427E1">
      <w:pPr>
        <w:spacing w:after="120"/>
        <w:jc w:val="both"/>
      </w:pPr>
      <w:r>
        <w:t>Correlations can materially change the result. If both ring radii shift together because of a common lithographic scale error, the composite spectrum may translate while preserving relative alignment better than under independent errors. Conversely, differential errors are more damaging to overlap. A process-calibrated extension should therefore estimate a covariance matrix rather than assuming independence. The present independent model is intentionally conservative for differential mismatch and easy to reproduce.</w:t>
      </w:r>
    </w:p>
    <w:p w14:paraId="2E521514" w14:textId="77777777" w:rsidR="001427E1" w:rsidRDefault="001427E1" w:rsidP="001427E1">
      <w:r>
        <w:br w:type="page"/>
      </w:r>
    </w:p>
    <w:p w14:paraId="1DFF7670" w14:textId="77777777" w:rsidR="001427E1" w:rsidRDefault="001427E1" w:rsidP="001427E1">
      <w:pPr>
        <w:pStyle w:val="Heading1"/>
      </w:pPr>
      <w:r>
        <w:lastRenderedPageBreak/>
        <w:t>Appendix D: Alternative robustness objectives</w:t>
      </w:r>
    </w:p>
    <w:p w14:paraId="6C6F55D1" w14:textId="77777777" w:rsidR="001427E1" w:rsidRDefault="001427E1" w:rsidP="001427E1">
      <w:pPr>
        <w:spacing w:after="120"/>
        <w:jc w:val="both"/>
      </w:pPr>
      <w:r>
        <w:t>An optimization based only on maximum nominal extinction can select a fragile point. A tolerance-aware design can instead maximize a lower percentile of extinction, minimize the probability of violating a wavelength-placement limit, or minimize a weighted loss that combines spectral error and insufficient depth. For example, one can define a pass condition requiring extinction above a chosen system threshold and notch wavelength within a specified channel window. The Monte Carlo pass fraction then becomes an estimated computational yield under the assumed distributions.</w:t>
      </w:r>
    </w:p>
    <w:p w14:paraId="063C166F" w14:textId="77777777" w:rsidR="001427E1" w:rsidRDefault="001427E1" w:rsidP="001427E1">
      <w:pPr>
        <w:spacing w:after="120"/>
        <w:jc w:val="both"/>
      </w:pPr>
      <w:r>
        <w:t>Another useful objective is conditional tuning recoverability. If a global heater can shift both rings together, then common wavelength offset may be correctable while differential misalignment is not. A robust metric can therefore separate common-mode wavelength error from shape degradation. This distinction is more physically meaningful than treating every nanometer of resonance displacement as an irreversible failure. The current dataset contains enough information to evaluate extinction and wavelength jointly, while a future extension could explicitly simulate post-fabrication heater correction.</w:t>
      </w:r>
    </w:p>
    <w:p w14:paraId="4A355C31" w14:textId="77777777" w:rsidR="001427E1" w:rsidRDefault="001427E1" w:rsidP="001427E1">
      <w:pPr>
        <w:spacing w:after="120"/>
        <w:jc w:val="both"/>
      </w:pPr>
      <w:r>
        <w:t>Percentile objectives also reduce the temptation to overinterpret isolated extreme values. In a finite grid search, the single deepest notch can be produced by an unusually exact phase coincidence. A broad region with slightly lower nominal extinction can deliver better expected performance under manufacturing variability. Figure 4 is intended to support that broader interpretation rather than to nominate one universal geometry.</w:t>
      </w:r>
    </w:p>
    <w:p w14:paraId="7C1EA2A8" w14:textId="77777777" w:rsidR="001427E1" w:rsidRDefault="001427E1" w:rsidP="001427E1">
      <w:r>
        <w:br w:type="page"/>
      </w:r>
    </w:p>
    <w:p w14:paraId="3E530596" w14:textId="77777777" w:rsidR="001427E1" w:rsidRDefault="001427E1" w:rsidP="001427E1">
      <w:pPr>
        <w:pStyle w:val="Heading1"/>
      </w:pPr>
      <w:r>
        <w:lastRenderedPageBreak/>
        <w:t>Appendix E: Path to full-wave and experimental validation</w:t>
      </w:r>
    </w:p>
    <w:p w14:paraId="120A1D64" w14:textId="77777777" w:rsidR="001427E1" w:rsidRDefault="001427E1" w:rsidP="001427E1">
      <w:pPr>
        <w:spacing w:after="120"/>
        <w:jc w:val="both"/>
      </w:pPr>
      <w:r>
        <w:t>The reduced model should be regarded as the first layer of a multilevel validation workflow. A mode solver can first determine effective and group indices for the actual silicon waveguide cross-section across the wavelength and temperature ranges of interest. A directional-coupler simulation can then provide wavelength-dependent self- and cross-coupling coefficients. Substituting these quantities into the transfer model retains its computational efficiency while removing two of its strongest simplifying assumptions.</w:t>
      </w:r>
    </w:p>
    <w:p w14:paraId="29164D43" w14:textId="77777777" w:rsidR="001427E1" w:rsidRDefault="001427E1" w:rsidP="001427E1">
      <w:pPr>
        <w:spacing w:after="120"/>
        <w:jc w:val="both"/>
      </w:pPr>
      <w:r>
        <w:t>Next, a full-wave or eigenmode-expansion simulation of the complete two-ring layout can test whether inter-ring spacing, bend transitions, back-reflection, and coupler phase introduce effects absent from the product model. Agreement should be assessed for resonance wavelength, extinction, linewidth, and any resonance splitting. Disagreement is informative because it identifies which physical mechanism must be promoted from a neglected effect to an explicit model parameter.</w:t>
      </w:r>
    </w:p>
    <w:p w14:paraId="579EC533" w14:textId="77777777" w:rsidR="001427E1" w:rsidRDefault="001427E1" w:rsidP="001427E1">
      <w:pPr>
        <w:spacing w:after="120"/>
        <w:jc w:val="both"/>
      </w:pPr>
      <w:r>
        <w:t>Experimental validation should use multiple devices rather than a single spectrum. Measurements across dies, wafers, and controlled temperatures can estimate the empirical distribution of wavelength and extinction. Geometric metrology can then connect observed variation to radius or waveguide-dimension error. The strongest validation would compare predicted and measured distributions under the same temperature protocol and would report both successful and unsuccessful devices, avoiding selection bias.</w:t>
      </w:r>
    </w:p>
    <w:p w14:paraId="010028C5" w14:textId="77777777" w:rsidR="001427E1" w:rsidRDefault="001427E1" w:rsidP="001427E1">
      <w:r>
        <w:br w:type="page"/>
      </w:r>
    </w:p>
    <w:p w14:paraId="7E28CEFA" w14:textId="77777777" w:rsidR="001427E1" w:rsidRDefault="001427E1" w:rsidP="001427E1">
      <w:pPr>
        <w:pStyle w:val="Heading1"/>
      </w:pPr>
      <w:r>
        <w:lastRenderedPageBreak/>
        <w:t>Appendix F: Reuse and reporting checklist</w:t>
      </w:r>
    </w:p>
    <w:p w14:paraId="7E993C9C" w14:textId="77777777" w:rsidR="001427E1" w:rsidRDefault="001427E1" w:rsidP="001427E1">
      <w:pPr>
        <w:spacing w:after="120"/>
        <w:jc w:val="both"/>
      </w:pPr>
      <w:r>
        <w:t>To reuse the model for another resonator platform, replace the baseline effective index, thermo-optic coefficient, propagation loss, ring radii, and coupling amplitudes with platform-appropriate values. If the coupler is strongly wavelength dependent, promote t from a constant to a sampled function of wavelength. If the material has appreciable nonlinear response at the intended optical power, the phase model must also include intensity dependence and the calculation becomes self-consistent rather than purely linear.</w:t>
      </w:r>
    </w:p>
    <w:p w14:paraId="57B738B6" w14:textId="77777777" w:rsidR="001427E1" w:rsidRDefault="001427E1" w:rsidP="001427E1">
      <w:pPr>
        <w:spacing w:after="120"/>
        <w:jc w:val="both"/>
      </w:pPr>
      <w:r>
        <w:t>For transparent reporting, a future study should state the wavelength grid, parameter units, loss convention, coupling convention, temperature model, random-number generator, seed, uncertainty distributions, clipping or truncation rules, metric definitions, and any failed or excluded simulations. It should also distinguish measured parameters from assumed parameters. These details often determine whether two apparently similar resonator simulations are actually comparable.</w:t>
      </w:r>
    </w:p>
    <w:p w14:paraId="2B078AB1" w14:textId="77777777" w:rsidR="001427E1" w:rsidRDefault="001427E1" w:rsidP="001427E1">
      <w:pPr>
        <w:spacing w:after="120"/>
        <w:jc w:val="both"/>
      </w:pPr>
      <w:r>
        <w:t>The reproducibility package follows this checklist for the quantities used here. The random seed is fixed; no Monte Carlo samples are removed; the transfer function is visible in source code; and all tabulated outputs are stored in CSV form. Repository deposition with a versioned identifier would further strengthen long-term reproducibility. If the manuscript is revised, the archive should be versioned in parallel so that code, tables, and figures remain synchronized with the submitted text.</w:t>
      </w:r>
    </w:p>
    <w:p w14:paraId="2539501E" w14:textId="77777777" w:rsidR="00DC2479" w:rsidRDefault="00DC2479"/>
    <w:sectPr w:rsidR="00DC2479" w:rsidSect="001427E1">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E1"/>
    <w:rsid w:val="001427E1"/>
    <w:rsid w:val="005B6877"/>
    <w:rsid w:val="008C771F"/>
    <w:rsid w:val="00AA0C39"/>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C4A5"/>
  <w15:chartTrackingRefBased/>
  <w15:docId w15:val="{6AEB4601-EA13-44C7-A660-1A74E97D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7E1"/>
    <w:pPr>
      <w:spacing w:after="80" w:line="252" w:lineRule="auto"/>
    </w:pPr>
    <w:rPr>
      <w:rFonts w:ascii="Times New Roman" w:eastAsiaTheme="minorEastAsia" w:hAnsi="Times New Roman"/>
      <w:kern w:val="0"/>
      <w:sz w:val="20"/>
      <w:szCs w:val="22"/>
      <w:lang w:val="en-US"/>
      <w14:ligatures w14:val="none"/>
    </w:rPr>
  </w:style>
  <w:style w:type="paragraph" w:styleId="Heading1">
    <w:name w:val="heading 1"/>
    <w:basedOn w:val="Normal"/>
    <w:next w:val="Normal"/>
    <w:link w:val="Heading1Char"/>
    <w:uiPriority w:val="9"/>
    <w:qFormat/>
    <w:rsid w:val="001427E1"/>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1427E1"/>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1427E1"/>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1427E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1427E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1427E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1427E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1427E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1427E1"/>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7E1"/>
    <w:rPr>
      <w:rFonts w:eastAsiaTheme="majorEastAsia" w:cstheme="majorBidi"/>
      <w:color w:val="272727" w:themeColor="text1" w:themeTint="D8"/>
    </w:rPr>
  </w:style>
  <w:style w:type="paragraph" w:styleId="Title">
    <w:name w:val="Title"/>
    <w:basedOn w:val="Normal"/>
    <w:next w:val="Normal"/>
    <w:link w:val="TitleChar"/>
    <w:uiPriority w:val="10"/>
    <w:qFormat/>
    <w:rsid w:val="001427E1"/>
    <w:pPr>
      <w:spacing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142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7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142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7E1"/>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1427E1"/>
    <w:rPr>
      <w:i/>
      <w:iCs/>
      <w:color w:val="404040" w:themeColor="text1" w:themeTint="BF"/>
    </w:rPr>
  </w:style>
  <w:style w:type="paragraph" w:styleId="ListParagraph">
    <w:name w:val="List Paragraph"/>
    <w:basedOn w:val="Normal"/>
    <w:uiPriority w:val="34"/>
    <w:qFormat/>
    <w:rsid w:val="001427E1"/>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1427E1"/>
    <w:rPr>
      <w:i/>
      <w:iCs/>
      <w:color w:val="0F4761" w:themeColor="accent1" w:themeShade="BF"/>
    </w:rPr>
  </w:style>
  <w:style w:type="paragraph" w:styleId="IntenseQuote">
    <w:name w:val="Intense Quote"/>
    <w:basedOn w:val="Normal"/>
    <w:next w:val="Normal"/>
    <w:link w:val="IntenseQuoteChar"/>
    <w:uiPriority w:val="30"/>
    <w:qFormat/>
    <w:rsid w:val="001427E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1427E1"/>
    <w:rPr>
      <w:i/>
      <w:iCs/>
      <w:color w:val="0F4761" w:themeColor="accent1" w:themeShade="BF"/>
    </w:rPr>
  </w:style>
  <w:style w:type="character" w:styleId="IntenseReference">
    <w:name w:val="Intense Reference"/>
    <w:basedOn w:val="DefaultParagraphFont"/>
    <w:uiPriority w:val="32"/>
    <w:qFormat/>
    <w:rsid w:val="001427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8382</Characters>
  <Application>Microsoft Office Word</Application>
  <DocSecurity>0</DocSecurity>
  <Lines>69</Lines>
  <Paragraphs>19</Paragraphs>
  <ScaleCrop>false</ScaleCrop>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2026-10-01T18:09:00Z</dcterms:created>
  <dcterms:modified xsi:type="dcterms:W3CDTF">2026-10-01T18:09:00Z</dcterms:modified>
</cp:coreProperties>
</file>