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1"/>
        <w:keepNext w:val="true"/>
        <w:spacing w:lineRule="auto" w:line="480" w:before="120" w:after="0"/>
        <w:ind w:hanging="0" w:start="0"/>
        <w:rPr/>
      </w:pPr>
      <w:r>
        <w:rPr/>
        <w:t>Supplementary information</w:t>
      </w:r>
    </w:p>
    <w:p>
      <w:pPr>
        <w:pStyle w:val="Normal"/>
        <w:spacing w:lineRule="auto" w:line="480"/>
        <w:ind w:hanging="0" w:start="0"/>
        <w:rPr/>
      </w:pPr>
      <w:r>
        <w:rPr/>
      </w:r>
    </w:p>
    <w:p>
      <w:pPr>
        <w:pStyle w:val="BodyText"/>
        <w:spacing w:lineRule="auto" w:line="480"/>
        <w:rPr/>
      </w:pPr>
      <w:r>
        <w:rPr/>
      </w:r>
    </w:p>
    <w:p>
      <w:pPr>
        <w:pStyle w:val="BodyText"/>
        <w:spacing w:lineRule="auto" w:line="480"/>
        <w:rPr/>
      </w:pPr>
      <w:r>
        <w:rPr/>
        <w:drawing>
          <wp:anchor distT="0" distB="0" distL="0" distR="0" simplePos="0" relativeHeight="2" behindDoc="0" locked="0" layoutInCell="0" allowOverlap="1">
            <wp:simplePos x="0" y="0"/>
            <wp:positionH relativeFrom="column">
              <wp:align>center</wp:align>
            </wp:positionH>
            <wp:positionV relativeFrom="paragraph">
              <wp:posOffset>635</wp:posOffset>
            </wp:positionV>
            <wp:extent cx="5943600" cy="5943600"/>
            <wp:effectExtent l="0" t="0" r="0" b="0"/>
            <wp:wrapSquare wrapText="largest"/>
            <wp:docPr id="1"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a:blip r:embed="rId2"/>
                    <a:stretch>
                      <a:fillRect/>
                    </a:stretch>
                  </pic:blipFill>
                  <pic:spPr bwMode="auto">
                    <a:xfrm>
                      <a:off x="0" y="0"/>
                      <a:ext cx="5943600" cy="5943600"/>
                    </a:xfrm>
                    <a:prstGeom prst="rect">
                      <a:avLst/>
                    </a:prstGeom>
                    <a:noFill/>
                  </pic:spPr>
                </pic:pic>
              </a:graphicData>
            </a:graphic>
          </wp:anchor>
        </w:drawing>
      </w:r>
    </w:p>
    <w:p>
      <w:pPr>
        <w:pStyle w:val="BodyText"/>
        <w:spacing w:lineRule="auto" w:line="480"/>
        <w:rPr/>
      </w:pPr>
      <w:r>
        <w:rPr/>
      </w:r>
    </w:p>
    <w:p>
      <w:pPr>
        <w:pStyle w:val="Normal"/>
        <w:keepNext w:val="false"/>
        <w:keepLines/>
        <w:spacing w:lineRule="auto" w:line="480"/>
        <w:rPr/>
      </w:pPr>
      <w:r>
        <w:rPr>
          <w:rStyle w:val="Strong"/>
        </w:rPr>
        <w:t xml:space="preserve">Supplementary Figure S1 (.pdf). </w:t>
      </w:r>
      <w:r>
        <w:rPr>
          <w:rStyle w:val="Strong"/>
          <w:b w:val="false"/>
          <w:bCs w:val="false"/>
        </w:rPr>
        <w:t xml:space="preserve">Pairwise average nucleotide identity among </w:t>
      </w:r>
      <w:r>
        <w:rPr>
          <w:rStyle w:val="Emphasis"/>
          <w:b w:val="false"/>
          <w:bCs w:val="false"/>
        </w:rPr>
        <w:t>Staphylococcus coagulans</w:t>
      </w:r>
      <w:r>
        <w:rPr>
          <w:rStyle w:val="Strong"/>
          <w:b w:val="false"/>
          <w:bCs w:val="false"/>
        </w:rPr>
        <w:t xml:space="preserve"> genomes.</w:t>
      </w:r>
      <w:r>
        <w:rPr>
          <w:b w:val="false"/>
          <w:bCs w:val="false"/>
        </w:rPr>
        <w:t xml:space="preserve"> P</w:t>
      </w:r>
      <w:r>
        <w:rPr/>
        <w:t xml:space="preserve">airwise average nucleotide identity (ANI) values were calculated using FastANI v1.34 for the 102 </w:t>
      </w:r>
      <w:r>
        <w:rPr>
          <w:rStyle w:val="Emphasis"/>
        </w:rPr>
        <w:t>S. coagulans</w:t>
      </w:r>
      <w:r>
        <w:rPr/>
        <w:t xml:space="preserve"> genomes retained following quality control and taxonomic validation. The heatmap represents pairwise ANI values on a 95–100% colour scale. Genome order was determined by hierarchical clustering of the ANI matrix. The resulting dendrogram is provided solely to facilitate visual interpretation of the similarity matrix and should not be interpreted as a phylogenetic reconstruction.</w:t>
      </w:r>
    </w:p>
    <w:p>
      <w:pPr>
        <w:pStyle w:val="Normal"/>
        <w:spacing w:lineRule="auto" w:line="480"/>
        <w:rPr/>
      </w:pPr>
      <w:r>
        <w:rPr/>
      </w:r>
    </w:p>
    <w:p>
      <w:pPr>
        <w:pStyle w:val="Normal"/>
        <w:spacing w:lineRule="auto" w:line="480"/>
        <w:rPr/>
      </w:pPr>
      <w:r>
        <w:rPr/>
      </w:r>
    </w:p>
    <w:p>
      <w:pPr>
        <w:pStyle w:val="Normal"/>
        <w:spacing w:lineRule="auto" w:line="480"/>
        <w:rPr/>
      </w:pPr>
      <w:r>
        <w:rPr/>
        <w:drawing>
          <wp:anchor distT="0" distB="0" distL="0" distR="0" simplePos="0" relativeHeight="3" behindDoc="0" locked="0" layoutInCell="0" allowOverlap="1">
            <wp:simplePos x="0" y="0"/>
            <wp:positionH relativeFrom="column">
              <wp:align>center</wp:align>
            </wp:positionH>
            <wp:positionV relativeFrom="paragraph">
              <wp:posOffset>635</wp:posOffset>
            </wp:positionV>
            <wp:extent cx="5943600" cy="5943600"/>
            <wp:effectExtent l="0" t="0" r="0" b="0"/>
            <wp:wrapSquare wrapText="largest"/>
            <wp:docPr id="2" name="Imag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
                    <pic:cNvPicPr>
                      <a:picLocks noChangeAspect="1" noChangeArrowheads="1"/>
                    </pic:cNvPicPr>
                  </pic:nvPicPr>
                  <pic:blipFill>
                    <a:blip r:embed="rId3"/>
                    <a:stretch>
                      <a:fillRect/>
                    </a:stretch>
                  </pic:blipFill>
                  <pic:spPr bwMode="auto">
                    <a:xfrm>
                      <a:off x="0" y="0"/>
                      <a:ext cx="5943600" cy="5943600"/>
                    </a:xfrm>
                    <a:prstGeom prst="rect">
                      <a:avLst/>
                    </a:prstGeom>
                    <a:noFill/>
                  </pic:spPr>
                </pic:pic>
              </a:graphicData>
            </a:graphic>
          </wp:anchor>
        </w:drawing>
      </w:r>
    </w:p>
    <w:p>
      <w:pPr>
        <w:pStyle w:val="BodyText"/>
        <w:spacing w:lineRule="auto" w:line="480"/>
        <w:rPr>
          <w:rStyle w:val="Strong"/>
        </w:rPr>
      </w:pPr>
      <w:r>
        <w:rPr/>
      </w:r>
    </w:p>
    <w:p>
      <w:pPr>
        <w:pStyle w:val="Normal"/>
        <w:keepNext w:val="false"/>
        <w:keepLines/>
        <w:spacing w:lineRule="auto" w:line="480"/>
        <w:rPr/>
      </w:pPr>
      <w:r>
        <w:rPr>
          <w:rStyle w:val="Strong"/>
        </w:rPr>
        <w:t xml:space="preserve">Supplementary Figure S2 (.pdf). </w:t>
      </w:r>
      <w:r>
        <w:rPr>
          <w:rStyle w:val="Strong"/>
          <w:b w:val="false"/>
          <w:bCs w:val="false"/>
        </w:rPr>
        <w:t xml:space="preserve">Pairwise average nucleotide identity among </w:t>
      </w:r>
      <w:r>
        <w:rPr>
          <w:rStyle w:val="Emphasis"/>
          <w:b w:val="false"/>
          <w:bCs w:val="false"/>
        </w:rPr>
        <w:t>Staphylococcus pseudintermedius</w:t>
      </w:r>
      <w:r>
        <w:rPr>
          <w:rStyle w:val="Strong"/>
          <w:b w:val="false"/>
          <w:bCs w:val="false"/>
        </w:rPr>
        <w:t xml:space="preserve"> genomes.</w:t>
      </w:r>
      <w:r>
        <w:rPr>
          <w:b w:val="false"/>
          <w:bCs w:val="false"/>
        </w:rPr>
        <w:t xml:space="preserve"> P</w:t>
      </w:r>
      <w:r>
        <w:rPr/>
        <w:t xml:space="preserve">airwise ANI values were calculated using FastANI v1.34 for the 340 </w:t>
      </w:r>
      <w:r>
        <w:rPr>
          <w:rStyle w:val="Emphasis"/>
        </w:rPr>
        <w:t>S. pseudintermedius</w:t>
      </w:r>
      <w:r>
        <w:rPr/>
        <w:t xml:space="preserve"> genomes retained following quality control and taxonomic validation. The heatmap represents pairwise ANI values on a 95–100% colour scale. Genome order was determined by hierarchical clustering of the ANI matrix. The resulting dendrogram is provided solely to facilitate visual interpretation of the similarity matrix and should not be interpreted as a phylogenetic reconstruction.</w:t>
      </w:r>
    </w:p>
    <w:p>
      <w:pPr>
        <w:pStyle w:val="Normal"/>
        <w:spacing w:lineRule="auto" w:line="480"/>
        <w:rPr/>
      </w:pPr>
      <w:r>
        <w:rPr/>
      </w:r>
    </w:p>
    <w:p>
      <w:pPr>
        <w:pStyle w:val="Normal"/>
        <w:spacing w:lineRule="auto" w:line="480"/>
        <w:rPr/>
      </w:pPr>
      <w:r>
        <w:rPr/>
        <w:drawing>
          <wp:anchor distT="0" distB="0" distL="0" distR="0" simplePos="0" relativeHeight="4" behindDoc="0" locked="0" layoutInCell="0" allowOverlap="1">
            <wp:simplePos x="0" y="0"/>
            <wp:positionH relativeFrom="column">
              <wp:align>center</wp:align>
            </wp:positionH>
            <wp:positionV relativeFrom="paragraph">
              <wp:posOffset>635</wp:posOffset>
            </wp:positionV>
            <wp:extent cx="5943600" cy="6075045"/>
            <wp:effectExtent l="0" t="0" r="0" b="0"/>
            <wp:wrapSquare wrapText="largest"/>
            <wp:docPr id="3" name="Imag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3"/>
                    <pic:cNvPicPr>
                      <a:picLocks noChangeAspect="1" noChangeArrowheads="1"/>
                    </pic:cNvPicPr>
                  </pic:nvPicPr>
                  <pic:blipFill>
                    <a:blip r:embed="rId4"/>
                    <a:stretch>
                      <a:fillRect/>
                    </a:stretch>
                  </pic:blipFill>
                  <pic:spPr bwMode="auto">
                    <a:xfrm>
                      <a:off x="0" y="0"/>
                      <a:ext cx="5943600" cy="6075045"/>
                    </a:xfrm>
                    <a:prstGeom prst="rect">
                      <a:avLst/>
                    </a:prstGeom>
                    <a:noFill/>
                  </pic:spPr>
                </pic:pic>
              </a:graphicData>
            </a:graphic>
          </wp:anchor>
        </w:drawing>
      </w:r>
      <w:r>
        <w:br w:type="page"/>
      </w:r>
    </w:p>
    <w:p>
      <w:pPr>
        <w:pStyle w:val="BodyText"/>
        <w:spacing w:lineRule="auto" w:line="480" w:before="0" w:after="0"/>
        <w:rPr/>
      </w:pPr>
      <w:r>
        <w:rPr/>
      </w:r>
    </w:p>
    <w:p>
      <w:pPr>
        <w:pStyle w:val="Normal"/>
        <w:keepNext w:val="false"/>
        <w:keepLines/>
        <w:spacing w:lineRule="auto" w:line="480"/>
        <w:rPr/>
      </w:pPr>
      <w:r>
        <w:rPr>
          <w:rStyle w:val="Strong"/>
        </w:rPr>
        <w:t>Supplementary Figure S3 (.pdf).</w:t>
      </w:r>
      <w:r>
        <w:rPr>
          <w:rStyle w:val="Strong"/>
          <w:b w:val="false"/>
          <w:bCs w:val="false"/>
        </w:rPr>
        <w:t xml:space="preserve"> Minimum-spanning tree of 102 </w:t>
      </w:r>
      <w:r>
        <w:rPr>
          <w:rStyle w:val="Emphasis"/>
          <w:b w:val="false"/>
          <w:bCs w:val="false"/>
        </w:rPr>
        <w:t>Staphylococcus coagulans</w:t>
      </w:r>
      <w:r>
        <w:rPr>
          <w:rStyle w:val="Strong"/>
          <w:b w:val="false"/>
          <w:bCs w:val="false"/>
        </w:rPr>
        <w:t xml:space="preserve"> genomes based on the 95% cgMLST schema.</w:t>
      </w:r>
      <w:r>
        <w:rPr>
          <w:b w:val="false"/>
          <w:bCs w:val="false"/>
        </w:rPr>
        <w:t xml:space="preserve"> The network was constructed in GrapeTree from allelic profiles across 1,932 loci. Each node re</w:t>
      </w:r>
      <w:r>
        <w:rPr/>
        <w:t>presents a distinct cgMLST allelic profile; node area and radial sectors indicate the number of genomes sharing that profile. Nodes are coloured according to groups C1 (n = 41), C2a (n = 15), C2b (n = 31), and C3 (n = 15), as defined from the recombination-filtered core-genome SNP tree. Numeric edge labels give the untransformed numbers of allelic differences, whereas edge lengths were logarithmically scaled solely for visualisation.</w:t>
      </w:r>
      <w:r>
        <w:br w:type="page"/>
      </w:r>
    </w:p>
    <w:p>
      <w:pPr>
        <w:pStyle w:val="BodyText"/>
        <w:spacing w:lineRule="auto" w:line="480" w:before="0" w:after="0"/>
        <w:rPr/>
      </w:pPr>
      <w:r>
        <w:rPr/>
      </w:r>
    </w:p>
    <w:p>
      <w:pPr>
        <w:pStyle w:val="Normal"/>
        <w:keepNext w:val="false"/>
        <w:keepLines/>
        <w:spacing w:lineRule="auto" w:line="480"/>
        <w:rPr>
          <w:b/>
          <w:bCs/>
        </w:rPr>
      </w:pPr>
      <w:r>
        <w:rPr>
          <w:b/>
          <w:bCs/>
        </w:rPr>
      </w:r>
    </w:p>
    <w:p>
      <w:pPr>
        <w:pStyle w:val="Normal"/>
        <w:spacing w:lineRule="auto" w:line="480"/>
        <w:rPr>
          <w:b/>
          <w:bCs/>
        </w:rPr>
      </w:pPr>
      <w:r>
        <w:rPr>
          <w:b/>
          <w:bCs/>
        </w:rPr>
        <w:drawing>
          <wp:anchor distT="0" distB="0" distL="0" distR="0" simplePos="0" relativeHeight="5" behindDoc="0" locked="0" layoutInCell="0" allowOverlap="1">
            <wp:simplePos x="0" y="0"/>
            <wp:positionH relativeFrom="column">
              <wp:align>center</wp:align>
            </wp:positionH>
            <wp:positionV relativeFrom="paragraph">
              <wp:posOffset>635</wp:posOffset>
            </wp:positionV>
            <wp:extent cx="5943600" cy="4146550"/>
            <wp:effectExtent l="0" t="0" r="0" b="0"/>
            <wp:wrapSquare wrapText="largest"/>
            <wp:docPr id="4" name="Imag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4"/>
                    <pic:cNvPicPr>
                      <a:picLocks noChangeAspect="1" noChangeArrowheads="1"/>
                    </pic:cNvPicPr>
                  </pic:nvPicPr>
                  <pic:blipFill>
                    <a:blip r:embed="rId5"/>
                    <a:stretch>
                      <a:fillRect/>
                    </a:stretch>
                  </pic:blipFill>
                  <pic:spPr bwMode="auto">
                    <a:xfrm>
                      <a:off x="0" y="0"/>
                      <a:ext cx="5943600" cy="4146550"/>
                    </a:xfrm>
                    <a:prstGeom prst="rect">
                      <a:avLst/>
                    </a:prstGeom>
                    <a:noFill/>
                  </pic:spPr>
                </pic:pic>
              </a:graphicData>
            </a:graphic>
          </wp:anchor>
        </w:drawing>
      </w:r>
    </w:p>
    <w:p>
      <w:pPr>
        <w:pStyle w:val="Normal"/>
        <w:spacing w:lineRule="auto" w:line="480"/>
        <w:rPr/>
      </w:pPr>
      <w:r>
        <w:rPr>
          <w:b/>
          <w:bCs/>
        </w:rPr>
        <w:t>Supplementary Figure S4 (.pdf).</w:t>
      </w:r>
      <w:r>
        <w:rPr>
          <w:b w:val="false"/>
          <w:bCs w:val="false"/>
        </w:rPr>
        <w:t xml:space="preserve"> Between-species differences in the frequency of detected determinants. P</w:t>
      </w:r>
      <w:r>
        <w:rPr/>
        <w:t xml:space="preserve">anels show selected AMR-associated genes </w:t>
      </w:r>
      <w:r>
        <w:rPr>
          <w:b/>
          <w:bCs/>
        </w:rPr>
        <w:t>(A)</w:t>
      </w:r>
      <w:r>
        <w:rPr/>
        <w:t xml:space="preserve">, stress-response genes </w:t>
      </w:r>
      <w:r>
        <w:rPr>
          <w:b/>
          <w:bCs/>
        </w:rPr>
        <w:t>(B)</w:t>
      </w:r>
      <w:r>
        <w:rPr/>
        <w:t xml:space="preserve">, and virulence-associated genes detected using VFDB </w:t>
      </w:r>
      <w:r>
        <w:rPr>
          <w:b/>
          <w:bCs/>
        </w:rPr>
        <w:t>(C)</w:t>
      </w:r>
      <w:r>
        <w:rPr/>
        <w:t xml:space="preserve"> in 102 S</w:t>
      </w:r>
      <w:r>
        <w:rPr>
          <w:i/>
        </w:rPr>
        <w:t>. coagulans</w:t>
      </w:r>
      <w:r>
        <w:rPr/>
        <w:t>and 340 S</w:t>
      </w:r>
      <w:r>
        <w:rPr>
          <w:i/>
        </w:rPr>
        <w:t>. pseudintermedius</w:t>
      </w:r>
      <w:r>
        <w:rPr/>
        <w:t>genomes. Circles and squares denote species-specific detection percentages; connecting lines indicate the between-species difference. Asterisks indicate Benjamini–Hochberg-adjusted q &lt; 0.05 within the corresponding determinant family. Features were selected by the largest absolute frequency differences, not by statistical significance alone. Frequencies describe the analysed collections and are not population-prevalence estimates.</w:t>
      </w:r>
    </w:p>
    <w:p>
      <w:pPr>
        <w:pStyle w:val="Normal"/>
        <w:spacing w:lineRule="auto" w:line="480"/>
        <w:rPr/>
      </w:pPr>
      <w:r>
        <w:rPr/>
      </w:r>
    </w:p>
    <w:p>
      <w:pPr>
        <w:pStyle w:val="Normal"/>
        <w:spacing w:lineRule="auto" w:line="480"/>
        <w:rPr/>
      </w:pPr>
      <w:r>
        <w:rPr/>
        <w:drawing>
          <wp:anchor distT="0" distB="0" distL="0" distR="0" simplePos="0" relativeHeight="6" behindDoc="0" locked="0" layoutInCell="0" allowOverlap="1">
            <wp:simplePos x="0" y="0"/>
            <wp:positionH relativeFrom="column">
              <wp:align>center</wp:align>
            </wp:positionH>
            <wp:positionV relativeFrom="paragraph">
              <wp:posOffset>635</wp:posOffset>
            </wp:positionV>
            <wp:extent cx="5943600" cy="2375535"/>
            <wp:effectExtent l="0" t="0" r="0" b="0"/>
            <wp:wrapSquare wrapText="largest"/>
            <wp:docPr id="5"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5"/>
                    <pic:cNvPicPr>
                      <a:picLocks noChangeAspect="1" noChangeArrowheads="1"/>
                    </pic:cNvPicPr>
                  </pic:nvPicPr>
                  <pic:blipFill>
                    <a:blip r:embed="rId6"/>
                    <a:stretch>
                      <a:fillRect/>
                    </a:stretch>
                  </pic:blipFill>
                  <pic:spPr bwMode="auto">
                    <a:xfrm>
                      <a:off x="0" y="0"/>
                      <a:ext cx="5943600" cy="2375535"/>
                    </a:xfrm>
                    <a:prstGeom prst="rect">
                      <a:avLst/>
                    </a:prstGeom>
                    <a:noFill/>
                  </pic:spPr>
                </pic:pic>
              </a:graphicData>
            </a:graphic>
          </wp:anchor>
        </w:drawing>
      </w:r>
    </w:p>
    <w:p>
      <w:pPr>
        <w:pStyle w:val="Normal"/>
        <w:keepNext w:val="false"/>
        <w:keepLines/>
        <w:spacing w:lineRule="auto" w:line="480"/>
        <w:rPr/>
      </w:pPr>
      <w:r>
        <w:rPr>
          <w:b/>
          <w:bCs/>
        </w:rPr>
        <w:t>Supplementary Figure S5 (.pdf).</w:t>
      </w:r>
      <w:r>
        <w:rPr>
          <w:b w:val="false"/>
          <w:bCs w:val="false"/>
        </w:rPr>
        <w:t xml:space="preserve"> Descriptive </w:t>
      </w:r>
      <w:r>
        <w:rPr>
          <w:b w:val="false"/>
          <w:bCs w:val="false"/>
          <w:i/>
        </w:rPr>
        <w:t>mecA</w:t>
      </w:r>
      <w:r>
        <w:rPr>
          <w:b w:val="false"/>
          <w:bCs w:val="false"/>
        </w:rPr>
        <w:t xml:space="preserve"> detection and computational SCC</w:t>
      </w:r>
      <w:r>
        <w:rPr>
          <w:b w:val="false"/>
          <w:bCs w:val="false"/>
          <w:i/>
          <w:iCs/>
        </w:rPr>
        <w:t>mec</w:t>
      </w:r>
      <w:r>
        <w:rPr>
          <w:b w:val="false"/>
          <w:bCs w:val="false"/>
        </w:rPr>
        <w:t xml:space="preserve"> assignments.</w:t>
      </w:r>
      <w:r>
        <w:rPr>
          <w:b w:val="false"/>
          <w:bCs w:val="false"/>
        </w:rPr>
        <w:t xml:space="preserve"> </w:t>
      </w:r>
      <w:r>
        <w:rPr>
          <w:b/>
          <w:bCs/>
        </w:rPr>
        <w:t>(A)</w:t>
      </w:r>
      <w:r>
        <w:rPr/>
        <w:t xml:space="preserve"> Number and percentage of </w:t>
      </w:r>
      <w:r>
        <w:rPr>
          <w:i/>
        </w:rPr>
        <w:t>mecA</w:t>
      </w:r>
      <w:r>
        <w:rPr/>
        <w:t>-positive genomes in each species.</w:t>
      </w:r>
      <w:r>
        <w:rPr>
          <w:b/>
          <w:bCs/>
        </w:rPr>
        <w:t xml:space="preserve"> (B)</w:t>
      </w:r>
      <w:r>
        <w:rPr/>
        <w:t xml:space="preserve"> SCC</w:t>
      </w:r>
      <w:r>
        <w:rPr>
          <w:i/>
          <w:iCs/>
        </w:rPr>
        <w:t>mec</w:t>
      </w:r>
      <w:r>
        <w:rPr/>
        <w:t xml:space="preserve"> composition among the 49 </w:t>
      </w:r>
      <w:r>
        <w:rPr>
          <w:i/>
        </w:rPr>
        <w:t>mecA</w:t>
      </w:r>
      <w:r>
        <w:rPr/>
        <w:t xml:space="preserve">-positive </w:t>
      </w:r>
      <w:r>
        <w:rPr>
          <w:i/>
        </w:rPr>
        <w:t>S. coagulans</w:t>
      </w:r>
      <w:r>
        <w:rPr/>
        <w:t xml:space="preserve"> and 254 </w:t>
      </w:r>
      <w:r>
        <w:rPr>
          <w:i/>
        </w:rPr>
        <w:t>mecA</w:t>
      </w:r>
      <w:r>
        <w:rPr/>
        <w:t xml:space="preserve">-positive </w:t>
      </w:r>
      <w:r>
        <w:rPr>
          <w:i/>
        </w:rPr>
        <w:t>S. pseudintermedius</w:t>
      </w:r>
      <w:r>
        <w:rPr/>
        <w:t xml:space="preserve"> genomes. These counts provide the respective denominators for panel B. “Multiple” indicates multiple SCC</w:t>
      </w:r>
      <w:r>
        <w:rPr>
          <w:i/>
          <w:iCs/>
        </w:rPr>
        <w:t>mec</w:t>
      </w:r>
      <w:r>
        <w:rPr/>
        <w:t>-associated signatures, not independently confirmed complete cassettes. Genomes without an assigned type are grouped as unknown/non-typeable, including unavailable assignments. Frequencies describe the selected datasets; PCR-informed selection of Peruvian isolates precludes interpreting them as population or geographic prevalence estimates.</w:t>
      </w:r>
    </w:p>
    <w:p>
      <w:pPr>
        <w:pStyle w:val="Normal"/>
        <w:spacing w:lineRule="auto" w:line="480"/>
        <w:rPr/>
      </w:pPr>
      <w:r>
        <w:rPr/>
      </w:r>
    </w:p>
    <w:p>
      <w:pPr>
        <w:pStyle w:val="Normal"/>
        <w:spacing w:lineRule="auto" w:line="480"/>
        <w:rPr>
          <w:b/>
          <w:bCs/>
          <w:kern w:val="0"/>
          <w:lang w:val="en-US" w:eastAsia="en-US" w:bidi="ar-SA"/>
        </w:rPr>
      </w:pPr>
      <w:r>
        <w:rPr>
          <w:b/>
          <w:bCs/>
          <w:kern w:val="0"/>
          <w:lang w:val="en-US" w:eastAsia="en-US" w:bidi="ar-SA"/>
        </w:rPr>
      </w:r>
    </w:p>
    <w:sectPr>
      <w:footerReference w:type="even" r:id="rId7"/>
      <w:footerReference w:type="default" r:id="rId8"/>
      <w:footerReference w:type="first" r:id="rId9"/>
      <w:type w:val="nextPage"/>
      <w:pgSz w:w="12240" w:h="15840"/>
      <w:pgMar w:left="1440" w:right="1440" w:gutter="0" w:header="0" w:top="1440" w:footer="720" w:bottom="1440"/>
      <w:lnNumType w:countBy="1" w:restart="continuous" w:distance="283"/>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mbria">
    <w:charset w:val="00" w:characterSet="windows-1252"/>
    <w:family w:val="roman"/>
    <w:pitch w:val="variable"/>
  </w:font>
  <w:font w:name="Calibri">
    <w:charset w:val="00" w:characterSet="windows-1252"/>
    <w:family w:val="roman"/>
    <w:pitch w:val="variable"/>
  </w:font>
  <w:font w:name="Courier">
    <w:altName w:val="Courier New"/>
    <w:charset w:val="00" w:characterSet="windows-1252"/>
    <w:family w:val="roman"/>
    <w:pitch w:val="variable"/>
  </w:font>
  <w:font w:name="Liberation Mono">
    <w:altName w:val="Courier New"/>
    <w:charset w:val="00" w:characterSet="windows-125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8</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8</w:t>
    </w:r>
    <w:r>
      <w:rPr/>
      <w:fldChar w:fldCharType="end"/>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start"/>
      <w:pPr>
        <w:tabs>
          <w:tab w:val="num" w:pos="360"/>
        </w:tabs>
        <w:ind w:start="36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bullet"/>
      <w:lvlText w:val=""/>
      <w:lvlJc w:val="start"/>
      <w:pPr>
        <w:tabs>
          <w:tab w:val="num" w:pos="720"/>
        </w:tabs>
        <w:ind w:start="72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3">
    <w:lvl w:ilvl="0">
      <w:start w:val="1"/>
      <w:numFmt w:val="bullet"/>
      <w:lvlText w:val=""/>
      <w:lvlJc w:val="start"/>
      <w:pPr>
        <w:tabs>
          <w:tab w:val="num" w:pos="1080"/>
        </w:tabs>
        <w:ind w:start="1080" w:hanging="360"/>
      </w:pPr>
      <w:rPr>
        <w:rFonts w:ascii="Symbol" w:hAnsi="Symbol" w:cs="Symbol"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4">
    <w:lvl w:ilvl="0">
      <w:start w:val="1"/>
      <w:numFmt w:val="decimal"/>
      <w:lvlText w:val="%1."/>
      <w:lvlJc w:val="start"/>
      <w:pPr>
        <w:tabs>
          <w:tab w:val="num" w:pos="360"/>
        </w:tabs>
        <w:ind w:start="36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5">
    <w:lvl w:ilvl="0">
      <w:start w:val="1"/>
      <w:numFmt w:val="decimal"/>
      <w:lvlText w:val="%1."/>
      <w:lvlJc w:val="start"/>
      <w:pPr>
        <w:tabs>
          <w:tab w:val="num" w:pos="720"/>
        </w:tabs>
        <w:ind w:start="72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6">
    <w:lvl w:ilvl="0">
      <w:start w:val="1"/>
      <w:numFmt w:val="decimal"/>
      <w:lvlText w:val="%1."/>
      <w:lvlJc w:val="start"/>
      <w:pPr>
        <w:tabs>
          <w:tab w:val="num" w:pos="1080"/>
        </w:tabs>
        <w:ind w:start="1080" w:hanging="360"/>
      </w:pPr>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7">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w="http://schemas.openxmlformats.org/wordprocessingml/2006/main">
  <w:zoom w:percent="180"/>
  <w:defaultTabStop w:val="720"/>
  <w:autoHyphenation w:val="true"/>
  <w:hyphenationZone w:val="0"/>
  <w:compat>
    <w:doNotBreakWrappedTables/>
    <w:compatSetting w:name="compatibilityMode" w:uri="http://schemas.microsoft.com/office/word" w:val="15"/>
    <w:compatSetting w:name="useWord2013TrackBottomHyphenation"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Segoe UI" w:cs="Tahoma"/>
        <w:sz w:val="22"/>
        <w:szCs w:val="22"/>
        <w:lang w:val="en-US"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480" w:before="0" w:after="0"/>
      <w:jc w:val="start"/>
    </w:pPr>
    <w:rPr>
      <w:rFonts w:ascii="Arial" w:hAnsi="Arial" w:eastAsia="Arial" w:cs="Tahoma"/>
      <w:color w:val="auto"/>
      <w:kern w:val="0"/>
      <w:sz w:val="22"/>
      <w:szCs w:val="22"/>
      <w:lang w:val="en-US" w:eastAsia="en-US" w:bidi="ar-SA"/>
    </w:rPr>
  </w:style>
  <w:style w:type="paragraph" w:styleId="Heading1">
    <w:name w:val="heading 1"/>
    <w:basedOn w:val="Normal"/>
    <w:next w:val="Normal"/>
    <w:link w:val="Heading1Char"/>
    <w:qFormat/>
    <w:pPr>
      <w:keepNext w:val="true"/>
      <w:keepLines/>
      <w:numPr>
        <w:ilvl w:val="0"/>
        <w:numId w:val="0"/>
      </w:numPr>
      <w:spacing w:lineRule="auto" w:line="480" w:before="120" w:after="0"/>
      <w:outlineLvl w:val="0"/>
    </w:pPr>
    <w:rPr>
      <w:rFonts w:ascii="Calibri" w:hAnsi="Calibri" w:eastAsia="Segoe UI" w:cs="Tahoma"/>
      <w:b/>
      <w:bCs/>
      <w:color w:themeColor="accent1" w:themeShade="bf" w:val="365F91"/>
      <w:sz w:val="24"/>
      <w:szCs w:val="28"/>
    </w:rPr>
  </w:style>
  <w:style w:type="paragraph" w:styleId="Heading2">
    <w:name w:val="heading 2"/>
    <w:basedOn w:val="Normal"/>
    <w:next w:val="Normal"/>
    <w:link w:val="Heading2Char"/>
    <w:qFormat/>
    <w:pPr>
      <w:keepNext w:val="true"/>
      <w:keepLines/>
      <w:numPr>
        <w:ilvl w:val="0"/>
        <w:numId w:val="0"/>
      </w:numPr>
      <w:spacing w:lineRule="auto" w:line="480" w:before="120" w:after="0"/>
      <w:outlineLvl w:val="1"/>
    </w:pPr>
    <w:rPr>
      <w:rFonts w:ascii="Calibri" w:hAnsi="Calibri" w:eastAsia="Segoe UI" w:cs="Tahoma"/>
      <w:b/>
      <w:bCs/>
      <w:color w:themeColor="accent1" w:val="4F81BD"/>
      <w:sz w:val="22"/>
      <w:szCs w:val="26"/>
    </w:rPr>
  </w:style>
  <w:style w:type="paragraph" w:styleId="Heading3">
    <w:name w:val="heading 3"/>
    <w:basedOn w:val="Normal"/>
    <w:next w:val="Normal"/>
    <w:link w:val="Heading3Char"/>
    <w:qFormat/>
    <w:pPr>
      <w:keepNext w:val="true"/>
      <w:keepLines/>
      <w:numPr>
        <w:ilvl w:val="0"/>
        <w:numId w:val="0"/>
      </w:numPr>
      <w:spacing w:lineRule="auto" w:line="480" w:before="200" w:after="0"/>
      <w:outlineLvl w:val="2"/>
    </w:pPr>
    <w:rPr>
      <w:rFonts w:ascii="Calibri" w:hAnsi="Calibri" w:eastAsia="Segoe UI" w:cs="Tahoma"/>
      <w:b/>
      <w:bCs/>
      <w:color w:themeColor="accent1" w:val="4F81BD"/>
    </w:rPr>
  </w:style>
  <w:style w:type="paragraph" w:styleId="Heading4">
    <w:name w:val="heading 4"/>
    <w:basedOn w:val="Normal"/>
    <w:next w:val="Normal"/>
    <w:link w:val="Heading4Char"/>
    <w:qFormat/>
    <w:pPr>
      <w:keepNext w:val="true"/>
      <w:keepLines/>
      <w:numPr>
        <w:ilvl w:val="0"/>
        <w:numId w:val="0"/>
      </w:numPr>
      <w:spacing w:lineRule="auto" w:line="480" w:before="200" w:after="0"/>
      <w:outlineLvl w:val="3"/>
    </w:pPr>
    <w:rPr>
      <w:rFonts w:ascii="Calibri" w:hAnsi="Calibri" w:eastAsia="Segoe UI" w:cs="Tahoma"/>
      <w:b/>
      <w:bCs/>
      <w:i/>
      <w:iCs/>
      <w:color w:themeColor="accent1" w:val="4F81BD"/>
    </w:rPr>
  </w:style>
  <w:style w:type="paragraph" w:styleId="Heading5">
    <w:name w:val="heading 5"/>
    <w:basedOn w:val="Normal"/>
    <w:next w:val="Normal"/>
    <w:link w:val="Heading5Char"/>
    <w:qFormat/>
    <w:pPr>
      <w:keepNext w:val="true"/>
      <w:keepLines/>
      <w:numPr>
        <w:ilvl w:val="0"/>
        <w:numId w:val="0"/>
      </w:numPr>
      <w:spacing w:lineRule="auto" w:line="480" w:before="200" w:after="0"/>
      <w:outlineLvl w:val="4"/>
    </w:pPr>
    <w:rPr>
      <w:rFonts w:ascii="Calibri" w:hAnsi="Calibri" w:eastAsia="Segoe UI" w:cs="Tahoma"/>
      <w:color w:themeColor="accent1" w:themeShade="7f" w:val="243F60"/>
    </w:rPr>
  </w:style>
  <w:style w:type="paragraph" w:styleId="Heading6">
    <w:name w:val="heading 6"/>
    <w:basedOn w:val="Normal"/>
    <w:next w:val="Normal"/>
    <w:link w:val="Heading6Char"/>
    <w:qFormat/>
    <w:pPr>
      <w:keepNext w:val="true"/>
      <w:keepLines/>
      <w:numPr>
        <w:ilvl w:val="0"/>
        <w:numId w:val="0"/>
      </w:numPr>
      <w:spacing w:lineRule="auto" w:line="480" w:before="200" w:after="0"/>
      <w:outlineLvl w:val="5"/>
    </w:pPr>
    <w:rPr>
      <w:rFonts w:ascii="Calibri" w:hAnsi="Calibri" w:eastAsia="Segoe UI" w:cs="Tahoma"/>
      <w:i/>
      <w:iCs/>
      <w:color w:themeColor="accent1" w:themeShade="7f" w:val="243F60"/>
    </w:rPr>
  </w:style>
  <w:style w:type="paragraph" w:styleId="Heading7">
    <w:name w:val="heading 7"/>
    <w:basedOn w:val="Normal"/>
    <w:next w:val="Normal"/>
    <w:link w:val="Heading7Char"/>
    <w:qFormat/>
    <w:pPr>
      <w:keepNext w:val="true"/>
      <w:keepLines/>
      <w:numPr>
        <w:ilvl w:val="0"/>
        <w:numId w:val="0"/>
      </w:numPr>
      <w:spacing w:lineRule="auto" w:line="480" w:before="200" w:after="0"/>
      <w:outlineLvl w:val="6"/>
    </w:pPr>
    <w:rPr>
      <w:rFonts w:ascii="Calibri" w:hAnsi="Calibri" w:eastAsia="Segoe UI" w:cs="Tahoma"/>
      <w:i/>
      <w:iCs/>
      <w:color w:themeColor="text1" w:themeTint="bf" w:val="404040"/>
    </w:rPr>
  </w:style>
  <w:style w:type="paragraph" w:styleId="Heading8">
    <w:name w:val="heading 8"/>
    <w:basedOn w:val="Normal"/>
    <w:next w:val="Normal"/>
    <w:link w:val="Heading8Char"/>
    <w:qFormat/>
    <w:pPr>
      <w:keepNext w:val="true"/>
      <w:keepLines/>
      <w:numPr>
        <w:ilvl w:val="0"/>
        <w:numId w:val="0"/>
      </w:numPr>
      <w:spacing w:lineRule="auto" w:line="480" w:before="200" w:after="0"/>
      <w:outlineLvl w:val="7"/>
    </w:pPr>
    <w:rPr>
      <w:rFonts w:ascii="Calibri" w:hAnsi="Calibri" w:eastAsia="Segoe UI" w:cs="Tahoma"/>
      <w:color w:themeColor="accent1" w:val="4F81BD"/>
      <w:sz w:val="20"/>
      <w:szCs w:val="20"/>
    </w:rPr>
  </w:style>
  <w:style w:type="paragraph" w:styleId="Heading9">
    <w:name w:val="heading 9"/>
    <w:basedOn w:val="Normal"/>
    <w:next w:val="Normal"/>
    <w:link w:val="Heading9Char"/>
    <w:qFormat/>
    <w:pPr>
      <w:keepNext w:val="true"/>
      <w:keepLines/>
      <w:numPr>
        <w:ilvl w:val="0"/>
        <w:numId w:val="0"/>
      </w:numPr>
      <w:spacing w:lineRule="auto" w:line="480" w:before="200" w:after="0"/>
      <w:outlineLvl w:val="8"/>
    </w:pPr>
    <w:rPr>
      <w:rFonts w:ascii="Calibri" w:hAnsi="Calibri" w:eastAsia="Segoe UI" w:cs="Tahoma"/>
      <w:i/>
      <w:iCs/>
      <w:color w:themeColor="text1" w:themeTint="bf" w:val="404040"/>
      <w:sz w:val="20"/>
      <w:szCs w:val="20"/>
    </w:rPr>
  </w:style>
  <w:style w:type="character" w:styleId="HeaderChar">
    <w:name w:val="Header Char"/>
    <w:basedOn w:val="DefaultParagraphFont"/>
    <w:qFormat/>
    <w:rPr/>
  </w:style>
  <w:style w:type="character" w:styleId="FooterChar">
    <w:name w:val="Footer Char"/>
    <w:basedOn w:val="DefaultParagraphFont"/>
    <w:qFormat/>
    <w:rPr/>
  </w:style>
  <w:style w:type="character" w:styleId="DefaultParagraphFont">
    <w:name w:val="Default Paragraph Font"/>
    <w:qFormat/>
    <w:rPr/>
  </w:style>
  <w:style w:type="character" w:styleId="Heading1Char">
    <w:name w:val="Heading 1 Char"/>
    <w:basedOn w:val="DefaultParagraphFont"/>
    <w:qFormat/>
    <w:rPr>
      <w:rFonts w:ascii="Calibri" w:hAnsi="Calibri" w:eastAsia="Segoe UI" w:cs="Tahoma"/>
      <w:b/>
      <w:bCs/>
      <w:color w:themeColor="accent1" w:themeShade="bf" w:val="365F91"/>
      <w:sz w:val="28"/>
      <w:szCs w:val="28"/>
    </w:rPr>
  </w:style>
  <w:style w:type="character" w:styleId="Heading2Char">
    <w:name w:val="Heading 2 Char"/>
    <w:basedOn w:val="DefaultParagraphFont"/>
    <w:qFormat/>
    <w:rPr>
      <w:rFonts w:ascii="Calibri" w:hAnsi="Calibri" w:eastAsia="Segoe UI" w:cs="Tahoma"/>
      <w:b/>
      <w:bCs/>
      <w:color w:themeColor="accent1" w:val="4F81BD"/>
      <w:sz w:val="26"/>
      <w:szCs w:val="26"/>
    </w:rPr>
  </w:style>
  <w:style w:type="character" w:styleId="Heading3Char">
    <w:name w:val="Heading 3 Char"/>
    <w:basedOn w:val="DefaultParagraphFont"/>
    <w:qFormat/>
    <w:rPr>
      <w:rFonts w:ascii="Calibri" w:hAnsi="Calibri" w:eastAsia="Segoe UI" w:cs="Tahoma"/>
      <w:b/>
      <w:bCs/>
      <w:color w:themeColor="accent1" w:val="4F81BD"/>
    </w:rPr>
  </w:style>
  <w:style w:type="character" w:styleId="TitleChar">
    <w:name w:val="Title Char"/>
    <w:basedOn w:val="DefaultParagraphFont"/>
    <w:qFormat/>
    <w:rPr>
      <w:rFonts w:ascii="Calibri" w:hAnsi="Calibri" w:eastAsia="Segoe UI" w:cs="Tahoma"/>
      <w:color w:themeColor="text2" w:themeShade="bf" w:val="17365D"/>
      <w:spacing w:val="5"/>
      <w:kern w:val="2"/>
      <w:sz w:val="52"/>
      <w:szCs w:val="52"/>
    </w:rPr>
  </w:style>
  <w:style w:type="character" w:styleId="SubtitleChar">
    <w:name w:val="Subtitle Char"/>
    <w:basedOn w:val="DefaultParagraphFont"/>
    <w:qFormat/>
    <w:rPr>
      <w:rFonts w:ascii="Calibri" w:hAnsi="Calibri" w:eastAsia="Segoe UI" w:cs="Tahoma"/>
      <w:i/>
      <w:iCs/>
      <w:color w:themeColor="accent1" w:val="4F81BD"/>
      <w:spacing w:val="15"/>
      <w:sz w:val="24"/>
      <w:szCs w:val="24"/>
    </w:rPr>
  </w:style>
  <w:style w:type="character" w:styleId="BodyTextChar">
    <w:name w:val="Body Text Char"/>
    <w:basedOn w:val="DefaultParagraphFont"/>
    <w:qFormat/>
    <w:rPr/>
  </w:style>
  <w:style w:type="character" w:styleId="BodyText2Char">
    <w:name w:val="Body Text 2 Char"/>
    <w:basedOn w:val="DefaultParagraphFont"/>
    <w:link w:val="BodyText2"/>
    <w:qFormat/>
    <w:rPr/>
  </w:style>
  <w:style w:type="character" w:styleId="BodyText3Char">
    <w:name w:val="Body Text 3 Char"/>
    <w:basedOn w:val="DefaultParagraphFont"/>
    <w:link w:val="BodyText3"/>
    <w:qFormat/>
    <w:rPr>
      <w:sz w:val="16"/>
      <w:szCs w:val="16"/>
    </w:rPr>
  </w:style>
  <w:style w:type="character" w:styleId="MacroTextChar">
    <w:name w:val="Macro Text Char"/>
    <w:basedOn w:val="DefaultParagraphFont"/>
    <w:link w:val="MacroText"/>
    <w:qFormat/>
    <w:rPr>
      <w:rFonts w:ascii="Courier" w:hAnsi="Courier"/>
      <w:sz w:val="20"/>
      <w:szCs w:val="20"/>
    </w:rPr>
  </w:style>
  <w:style w:type="character" w:styleId="QuoteChar">
    <w:name w:val="Quote Char"/>
    <w:basedOn w:val="DefaultParagraphFont"/>
    <w:link w:val="Quote"/>
    <w:qFormat/>
    <w:rPr>
      <w:i/>
      <w:iCs/>
      <w:color w:themeColor="text1" w:val="000000"/>
    </w:rPr>
  </w:style>
  <w:style w:type="character" w:styleId="Heading4Char">
    <w:name w:val="Heading 4 Char"/>
    <w:basedOn w:val="DefaultParagraphFont"/>
    <w:qFormat/>
    <w:rPr>
      <w:rFonts w:ascii="Calibri" w:hAnsi="Calibri" w:eastAsia="Segoe UI" w:cs="Tahoma"/>
      <w:b/>
      <w:bCs/>
      <w:i/>
      <w:iCs/>
      <w:color w:themeColor="accent1" w:val="4F81BD"/>
    </w:rPr>
  </w:style>
  <w:style w:type="character" w:styleId="Heading5Char">
    <w:name w:val="Heading 5 Char"/>
    <w:basedOn w:val="DefaultParagraphFont"/>
    <w:qFormat/>
    <w:rPr>
      <w:rFonts w:ascii="Calibri" w:hAnsi="Calibri" w:eastAsia="Segoe UI" w:cs="Tahoma"/>
      <w:color w:themeColor="accent1" w:themeShade="7f" w:val="243F60"/>
    </w:rPr>
  </w:style>
  <w:style w:type="character" w:styleId="Heading6Char">
    <w:name w:val="Heading 6 Char"/>
    <w:basedOn w:val="DefaultParagraphFont"/>
    <w:qFormat/>
    <w:rPr>
      <w:rFonts w:ascii="Calibri" w:hAnsi="Calibri" w:eastAsia="Segoe UI" w:cs="Tahoma"/>
      <w:i/>
      <w:iCs/>
      <w:color w:themeColor="accent1" w:themeShade="7f" w:val="243F60"/>
    </w:rPr>
  </w:style>
  <w:style w:type="character" w:styleId="Heading7Char">
    <w:name w:val="Heading 7 Char"/>
    <w:basedOn w:val="DefaultParagraphFont"/>
    <w:qFormat/>
    <w:rPr>
      <w:rFonts w:ascii="Calibri" w:hAnsi="Calibri" w:eastAsia="Segoe UI" w:cs="Tahoma"/>
      <w:i/>
      <w:iCs/>
      <w:color w:themeColor="text1" w:themeTint="bf" w:val="404040"/>
    </w:rPr>
  </w:style>
  <w:style w:type="character" w:styleId="Heading8Char">
    <w:name w:val="Heading 8 Char"/>
    <w:basedOn w:val="DefaultParagraphFont"/>
    <w:qFormat/>
    <w:rPr>
      <w:rFonts w:ascii="Calibri" w:hAnsi="Calibri" w:eastAsia="Segoe UI" w:cs="Tahoma"/>
      <w:color w:themeColor="accent1" w:val="4F81BD"/>
      <w:sz w:val="20"/>
      <w:szCs w:val="20"/>
    </w:rPr>
  </w:style>
  <w:style w:type="character" w:styleId="Heading9Char">
    <w:name w:val="Heading 9 Char"/>
    <w:basedOn w:val="DefaultParagraphFont"/>
    <w:qFormat/>
    <w:rPr>
      <w:rFonts w:ascii="Calibri" w:hAnsi="Calibri" w:eastAsia="Segoe UI" w:cs="Tahoma"/>
      <w:i/>
      <w:iCs/>
      <w:color w:themeColor="text1" w:themeTint="bf" w:val="404040"/>
      <w:sz w:val="20"/>
      <w:szCs w:val="20"/>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IntenseQuoteChar">
    <w:name w:val="Intense Quote Char"/>
    <w:basedOn w:val="DefaultParagraphFont"/>
    <w:link w:val="IntenseQuote"/>
    <w:qFormat/>
    <w:rPr>
      <w:b/>
      <w:bCs/>
      <w:i/>
      <w:iCs/>
      <w:color w:themeColor="accent1" w:val="4F81BD"/>
    </w:rPr>
  </w:style>
  <w:style w:type="character" w:styleId="SubtleEmphasis">
    <w:name w:val="Subtle Emphasis"/>
    <w:basedOn w:val="DefaultParagraphFont"/>
    <w:qFormat/>
    <w:rPr>
      <w:i/>
      <w:iCs/>
      <w:color w:themeColor="text1" w:themeTint="7f" w:val="808080"/>
    </w:rPr>
  </w:style>
  <w:style w:type="character" w:styleId="IntenseEmphasis">
    <w:name w:val="Intense Emphasis"/>
    <w:basedOn w:val="DefaultParagraphFont"/>
    <w:qFormat/>
    <w:rPr>
      <w:b/>
      <w:bCs/>
      <w:i/>
      <w:iCs/>
      <w:color w:themeColor="accent1" w:val="4F81BD"/>
    </w:rPr>
  </w:style>
  <w:style w:type="character" w:styleId="SubtleReference">
    <w:name w:val="Subtle Reference"/>
    <w:basedOn w:val="DefaultParagraphFont"/>
    <w:qFormat/>
    <w:rPr>
      <w:smallCaps/>
      <w:color w:themeColor="accent2" w:val="C0504D"/>
      <w:u w:val="single"/>
    </w:rPr>
  </w:style>
  <w:style w:type="character" w:styleId="IntenseReference">
    <w:name w:val="Intense Reference"/>
    <w:basedOn w:val="DefaultParagraphFont"/>
    <w:qFormat/>
    <w:rPr>
      <w:b/>
      <w:bCs/>
      <w:smallCaps/>
      <w:color w:themeColor="accent2" w:val="C0504D"/>
      <w:spacing w:val="5"/>
      <w:u w:val="single"/>
    </w:rPr>
  </w:style>
  <w:style w:type="character" w:styleId="BookTitle">
    <w:name w:val="Book Title"/>
    <w:basedOn w:val="DefaultParagraphFont"/>
    <w:qFormat/>
    <w:rPr>
      <w:b/>
      <w:bCs/>
      <w:smallCaps/>
      <w:spacing w:val="5"/>
    </w:rPr>
  </w:style>
  <w:style w:type="character" w:styleId="LineNumber">
    <w:name w:val="line number"/>
    <w:rPr/>
  </w:style>
  <w:style w:type="character" w:styleId="Hyperlink">
    <w:name w:val="Hyperlink"/>
    <w:rPr>
      <w:color w:val="000080"/>
      <w:u w:val="single"/>
    </w:rPr>
  </w:style>
  <w:style w:type="character" w:styleId="Textooriginal">
    <w:name w:val="Texto original"/>
    <w:qFormat/>
    <w:rPr>
      <w:rFonts w:ascii="Liberation Mono" w:hAnsi="Liberation Mono" w:eastAsia="Liberation Mono" w:cs="Liberation Mono"/>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pPr>
      <w:spacing w:lineRule="auto" w:line="480" w:before="0" w:after="0"/>
    </w:pPr>
    <w:rPr/>
  </w:style>
  <w:style w:type="paragraph" w:styleId="List">
    <w:name w:val="List"/>
    <w:basedOn w:val="Normal"/>
    <w:pPr>
      <w:spacing w:lineRule="auto" w:line="480" w:before="0" w:after="0"/>
      <w:ind w:hanging="360" w:start="360"/>
      <w:contextualSpacing/>
    </w:pPr>
    <w:rPr/>
  </w:style>
  <w:style w:type="paragraph" w:styleId="Caption">
    <w:name w:val="caption"/>
    <w:basedOn w:val="Normal"/>
    <w:next w:val="Normal"/>
    <w:qFormat/>
    <w:pPr>
      <w:spacing w:lineRule="auto" w:line="480" w:before="0" w:after="0"/>
    </w:pPr>
    <w:rPr>
      <w:b/>
      <w:bCs/>
      <w:color w:themeColor="accent1" w:val="4F81BD"/>
      <w:sz w:val="18"/>
      <w:szCs w:val="18"/>
    </w:rPr>
  </w:style>
  <w:style w:type="paragraph" w:styleId="Index">
    <w:name w:val="Index"/>
    <w:basedOn w:val="Normal"/>
    <w:qFormat/>
    <w:pPr>
      <w:suppressLineNumbers/>
    </w:pPr>
    <w:rPr>
      <w:rFonts w:cs="Arial"/>
    </w:rPr>
  </w:style>
  <w:style w:type="paragraph" w:styleId="Ttulo">
    <w:name w:val="Título"/>
    <w:basedOn w:val="Normal"/>
    <w:next w:val="BodyText"/>
    <w:qFormat/>
    <w:pPr>
      <w:keepNext w:val="true"/>
      <w:spacing w:lineRule="auto" w:line="480" w:before="240" w:after="0"/>
    </w:pPr>
    <w:rPr>
      <w:rFonts w:ascii="Liberation Sans" w:hAnsi="Liberation Sans" w:eastAsia="Microsoft YaHei" w:cs="Arial"/>
      <w:sz w:val="28"/>
      <w:szCs w:val="28"/>
    </w:rPr>
  </w:style>
  <w:style w:type="paragraph" w:styleId="ndice">
    <w:name w:val="Índice"/>
    <w:basedOn w:val="Normal"/>
    <w:qFormat/>
    <w:pPr>
      <w:suppressLineNumbers/>
      <w:spacing w:lineRule="auto" w:line="480" w:before="0" w:after="0"/>
    </w:pPr>
    <w:rPr>
      <w:rFonts w:cs="Arial"/>
    </w:rPr>
  </w:style>
  <w:style w:type="paragraph" w:styleId="Cabeceraypie">
    <w:name w:val="Cabecera y pie"/>
    <w:basedOn w:val="Normal"/>
    <w:qFormat/>
    <w:pPr/>
    <w:rPr/>
  </w:style>
  <w:style w:type="paragraph" w:styleId="HeaderandFooter">
    <w:name w:val="Header and Footer"/>
    <w:basedOn w:val="Normal"/>
    <w:qFormat/>
    <w:pPr/>
    <w:rPr/>
  </w:style>
  <w:style w:type="paragraph" w:styleId="Header">
    <w:name w:val="header"/>
    <w:basedOn w:val="Normal"/>
    <w:link w:val="HeaderChar"/>
    <w:pPr>
      <w:suppressLineNumbers/>
      <w:tabs>
        <w:tab w:val="clear" w:pos="720"/>
        <w:tab w:val="center" w:pos="4680" w:leader="none"/>
        <w:tab w:val="right" w:pos="9360" w:leader="none"/>
      </w:tabs>
      <w:spacing w:lineRule="auto" w:line="480" w:before="0" w:after="0"/>
    </w:pPr>
    <w:rPr/>
  </w:style>
  <w:style w:type="paragraph" w:styleId="Footer">
    <w:name w:val="footer"/>
    <w:basedOn w:val="Normal"/>
    <w:link w:val="FooterChar"/>
    <w:pPr>
      <w:suppressLineNumbers/>
      <w:tabs>
        <w:tab w:val="clear" w:pos="720"/>
        <w:tab w:val="center" w:pos="4680" w:leader="none"/>
        <w:tab w:val="right" w:pos="9360" w:leader="none"/>
      </w:tabs>
      <w:spacing w:lineRule="auto" w:line="480" w:before="0" w:after="0"/>
    </w:pPr>
    <w:rPr/>
  </w:style>
  <w:style w:type="paragraph" w:styleId="NoSpacing">
    <w:name w:val="No Spacing"/>
    <w:qFormat/>
    <w:pPr>
      <w:widowControl/>
      <w:suppressAutoHyphens w:val="true"/>
      <w:overflowPunct w:val="true"/>
      <w:bidi w:val="0"/>
      <w:spacing w:lineRule="auto" w:line="480" w:before="0" w:after="0"/>
      <w:jc w:val="start"/>
    </w:pPr>
    <w:rPr>
      <w:rFonts w:ascii="Cambria" w:hAnsi="Cambria" w:eastAsia="Segoe UI" w:cs="Tahoma"/>
      <w:color w:val="auto"/>
      <w:kern w:val="0"/>
      <w:sz w:val="22"/>
      <w:szCs w:val="22"/>
      <w:lang w:val="en-US" w:eastAsia="en-US" w:bidi="ar-SA"/>
    </w:rPr>
  </w:style>
  <w:style w:type="paragraph" w:styleId="Title">
    <w:name w:val="Title"/>
    <w:basedOn w:val="Normal"/>
    <w:next w:val="Normal"/>
    <w:link w:val="TitleChar"/>
    <w:qFormat/>
    <w:pPr>
      <w:pBdr>
        <w:bottom w:val="single" w:sz="8" w:space="4" w:color="4F81BD"/>
      </w:pBdr>
      <w:spacing w:lineRule="auto" w:line="480" w:before="0" w:after="0"/>
      <w:contextualSpacing/>
    </w:pPr>
    <w:rPr>
      <w:rFonts w:ascii="Calibri" w:hAnsi="Calibri" w:eastAsia="Segoe UI" w:cs="Tahoma"/>
      <w:b/>
      <w:color w:themeColor="text2" w:themeShade="bf" w:val="17365D"/>
      <w:spacing w:val="5"/>
      <w:kern w:val="2"/>
      <w:sz w:val="28"/>
      <w:szCs w:val="52"/>
    </w:rPr>
  </w:style>
  <w:style w:type="paragraph" w:styleId="Subtitle">
    <w:name w:val="Subtitle"/>
    <w:basedOn w:val="Normal"/>
    <w:next w:val="Normal"/>
    <w:link w:val="SubtitleChar"/>
    <w:qFormat/>
    <w:pPr>
      <w:spacing w:lineRule="auto" w:line="480" w:before="0" w:after="0"/>
    </w:pPr>
    <w:rPr>
      <w:rFonts w:ascii="Calibri" w:hAnsi="Calibri" w:eastAsia="Segoe UI" w:cs="Tahoma"/>
      <w:i/>
      <w:iCs/>
      <w:color w:themeColor="accent1" w:val="4F81BD"/>
      <w:spacing w:val="15"/>
      <w:sz w:val="24"/>
      <w:szCs w:val="24"/>
    </w:rPr>
  </w:style>
  <w:style w:type="paragraph" w:styleId="ListParagraph">
    <w:name w:val="List Paragraph"/>
    <w:basedOn w:val="Normal"/>
    <w:qFormat/>
    <w:pPr>
      <w:spacing w:lineRule="auto" w:line="480" w:before="0" w:after="0"/>
      <w:ind w:start="720"/>
      <w:contextualSpacing/>
    </w:pPr>
    <w:rPr/>
  </w:style>
  <w:style w:type="paragraph" w:styleId="BodyText2">
    <w:name w:val="Body Text 2"/>
    <w:basedOn w:val="Normal"/>
    <w:link w:val="BodyText2Char"/>
    <w:qFormat/>
    <w:pPr>
      <w:spacing w:lineRule="auto" w:line="480" w:before="0" w:after="0"/>
    </w:pPr>
    <w:rPr/>
  </w:style>
  <w:style w:type="paragraph" w:styleId="BodyText3">
    <w:name w:val="Body Text 3"/>
    <w:basedOn w:val="Normal"/>
    <w:link w:val="BodyText3Char"/>
    <w:qFormat/>
    <w:pPr>
      <w:spacing w:lineRule="auto" w:line="480" w:before="0" w:after="0"/>
    </w:pPr>
    <w:rPr>
      <w:sz w:val="16"/>
      <w:szCs w:val="16"/>
    </w:rPr>
  </w:style>
  <w:style w:type="paragraph" w:styleId="List2">
    <w:name w:val="List 2"/>
    <w:basedOn w:val="Normal"/>
    <w:qFormat/>
    <w:pPr>
      <w:spacing w:lineRule="auto" w:line="480" w:before="0" w:after="0"/>
      <w:ind w:hanging="360" w:start="720"/>
      <w:contextualSpacing/>
    </w:pPr>
    <w:rPr/>
  </w:style>
  <w:style w:type="paragraph" w:styleId="List3">
    <w:name w:val="List 3"/>
    <w:basedOn w:val="Normal"/>
    <w:qFormat/>
    <w:pPr>
      <w:spacing w:lineRule="auto" w:line="480" w:before="0" w:after="0"/>
      <w:ind w:hanging="360" w:start="1080"/>
      <w:contextualSpacing/>
    </w:pPr>
    <w:rPr/>
  </w:style>
  <w:style w:type="paragraph" w:styleId="ListBullet">
    <w:name w:val="List Bullet"/>
    <w:basedOn w:val="Normal"/>
    <w:pPr>
      <w:numPr>
        <w:ilvl w:val="0"/>
        <w:numId w:val="1"/>
      </w:numPr>
      <w:spacing w:lineRule="auto" w:line="480" w:before="0" w:after="0"/>
      <w:contextualSpacing/>
    </w:pPr>
    <w:rPr/>
  </w:style>
  <w:style w:type="paragraph" w:styleId="ListBullet2">
    <w:name w:val="List Bullet 2"/>
    <w:basedOn w:val="Normal"/>
    <w:pPr>
      <w:numPr>
        <w:ilvl w:val="0"/>
        <w:numId w:val="2"/>
      </w:numPr>
      <w:spacing w:lineRule="auto" w:line="480" w:before="0" w:after="0"/>
      <w:contextualSpacing/>
    </w:pPr>
    <w:rPr/>
  </w:style>
  <w:style w:type="paragraph" w:styleId="ListBullet3">
    <w:name w:val="List Bullet 3"/>
    <w:basedOn w:val="Normal"/>
    <w:pPr>
      <w:numPr>
        <w:ilvl w:val="0"/>
        <w:numId w:val="3"/>
      </w:numPr>
      <w:spacing w:lineRule="auto" w:line="480" w:before="0" w:after="0"/>
      <w:contextualSpacing/>
    </w:pPr>
    <w:rPr/>
  </w:style>
  <w:style w:type="paragraph" w:styleId="ListNumber">
    <w:name w:val="List Number"/>
    <w:basedOn w:val="Normal"/>
    <w:pPr>
      <w:numPr>
        <w:ilvl w:val="0"/>
        <w:numId w:val="4"/>
      </w:numPr>
      <w:spacing w:lineRule="auto" w:line="480" w:before="0" w:after="0"/>
      <w:contextualSpacing/>
    </w:pPr>
    <w:rPr/>
  </w:style>
  <w:style w:type="paragraph" w:styleId="ListNumber2">
    <w:name w:val="List Number 2"/>
    <w:basedOn w:val="Normal"/>
    <w:pPr>
      <w:numPr>
        <w:ilvl w:val="0"/>
        <w:numId w:val="5"/>
      </w:numPr>
      <w:spacing w:lineRule="auto" w:line="480" w:before="0" w:after="0"/>
      <w:contextualSpacing/>
    </w:pPr>
    <w:rPr/>
  </w:style>
  <w:style w:type="paragraph" w:styleId="ListNumber3">
    <w:name w:val="List Number 3"/>
    <w:basedOn w:val="Normal"/>
    <w:pPr>
      <w:numPr>
        <w:ilvl w:val="0"/>
        <w:numId w:val="6"/>
      </w:numPr>
      <w:spacing w:lineRule="auto" w:line="480" w:before="0" w:after="0"/>
      <w:contextualSpacing/>
    </w:pPr>
    <w:rPr/>
  </w:style>
  <w:style w:type="paragraph" w:styleId="ListContinue">
    <w:name w:val="List Continue"/>
    <w:basedOn w:val="Normal"/>
    <w:pPr>
      <w:spacing w:lineRule="auto" w:line="480" w:before="0" w:after="0"/>
      <w:ind w:start="360"/>
      <w:contextualSpacing/>
    </w:pPr>
    <w:rPr/>
  </w:style>
  <w:style w:type="paragraph" w:styleId="ListContinue2">
    <w:name w:val="List Continue 2"/>
    <w:basedOn w:val="Normal"/>
    <w:pPr>
      <w:spacing w:lineRule="auto" w:line="480" w:before="0" w:after="0"/>
      <w:ind w:start="720"/>
      <w:contextualSpacing/>
    </w:pPr>
    <w:rPr/>
  </w:style>
  <w:style w:type="paragraph" w:styleId="ListContinue3">
    <w:name w:val="List Continue 3"/>
    <w:basedOn w:val="Normal"/>
    <w:pPr>
      <w:spacing w:lineRule="auto" w:line="480" w:before="0" w:after="0"/>
      <w:ind w:start="1080"/>
      <w:contextualSpacing/>
    </w:pPr>
    <w:rPr/>
  </w:style>
  <w:style w:type="paragraph" w:styleId="MacroText">
    <w:name w:val="macro"/>
    <w:link w:val="MacroTextChar"/>
    <w:qFormat/>
    <w:pPr>
      <w:widowControl/>
      <w:tabs>
        <w:tab w:val="clear" w:pos="720"/>
        <w:tab w:val="left" w:pos="576" w:leader="none"/>
        <w:tab w:val="left" w:pos="1152" w:leader="none"/>
        <w:tab w:val="left" w:pos="1728" w:leader="none"/>
        <w:tab w:val="left" w:pos="2304" w:leader="none"/>
        <w:tab w:val="left" w:pos="2880" w:leader="none"/>
        <w:tab w:val="left" w:pos="3456" w:leader="none"/>
        <w:tab w:val="left" w:pos="4032" w:leader="none"/>
      </w:tabs>
      <w:suppressAutoHyphens w:val="true"/>
      <w:overflowPunct w:val="true"/>
      <w:bidi w:val="0"/>
      <w:spacing w:lineRule="auto" w:line="480" w:before="0" w:after="0"/>
      <w:jc w:val="start"/>
    </w:pPr>
    <w:rPr>
      <w:rFonts w:ascii="Courier" w:hAnsi="Courier" w:eastAsia="Segoe UI" w:cs="Tahoma"/>
      <w:color w:val="auto"/>
      <w:kern w:val="0"/>
      <w:sz w:val="20"/>
      <w:szCs w:val="20"/>
      <w:lang w:val="en-US" w:eastAsia="en-US" w:bidi="ar-SA"/>
    </w:rPr>
  </w:style>
  <w:style w:type="paragraph" w:styleId="Quote">
    <w:name w:val="Quote"/>
    <w:basedOn w:val="Normal"/>
    <w:next w:val="Normal"/>
    <w:link w:val="QuoteChar"/>
    <w:qFormat/>
    <w:pPr>
      <w:spacing w:lineRule="auto" w:line="480" w:before="0" w:after="0"/>
    </w:pPr>
    <w:rPr>
      <w:i/>
      <w:iCs/>
      <w:color w:themeColor="text1" w:val="000000"/>
    </w:rPr>
  </w:style>
  <w:style w:type="paragraph" w:styleId="IntenseQuote">
    <w:name w:val="Intense Quote"/>
    <w:basedOn w:val="Normal"/>
    <w:next w:val="Normal"/>
    <w:link w:val="IntenseQuoteChar"/>
    <w:qFormat/>
    <w:pPr>
      <w:pBdr>
        <w:bottom w:val="single" w:sz="4" w:space="4" w:color="4F81BD"/>
      </w:pBdr>
      <w:spacing w:lineRule="auto" w:line="480" w:before="200" w:after="0"/>
      <w:ind w:start="936" w:end="936"/>
    </w:pPr>
    <w:rPr>
      <w:b/>
      <w:bCs/>
      <w:i/>
      <w:iCs/>
      <w:color w:themeColor="accent1" w:val="4F81BD"/>
    </w:rPr>
  </w:style>
  <w:style w:type="paragraph" w:styleId="IndexHeading">
    <w:name w:val="index heading"/>
    <w:basedOn w:val="Ttulo"/>
    <w:pPr>
      <w:spacing w:lineRule="auto" w:line="480" w:before="240" w:after="0"/>
    </w:pPr>
    <w:rPr/>
  </w:style>
  <w:style w:type="paragraph" w:styleId="TOCHeading">
    <w:name w:val="TOC Heading"/>
    <w:basedOn w:val="Heading1"/>
    <w:next w:val="Normal"/>
    <w:qFormat/>
    <w:pPr>
      <w:spacing w:lineRule="auto" w:line="480" w:before="120" w:after="0"/>
      <w:outlineLvl w:val="9"/>
    </w:pPr>
    <w:rPr/>
  </w:style>
  <w:style w:type="paragraph" w:styleId="BlockQuotationuser">
    <w:name w:val="Block Quotation (user)"/>
    <w:basedOn w:val="Normal"/>
    <w:qFormat/>
    <w:pPr>
      <w:spacing w:lineRule="auto" w:line="480" w:before="0" w:after="0"/>
      <w:ind w:hanging="0" w:start="567" w:end="567"/>
    </w:pPr>
    <w:rPr/>
  </w:style>
  <w:style w:type="paragraph" w:styleId="Citaenbloque">
    <w:name w:val="Cita en bloque"/>
    <w:basedOn w:val="Normal"/>
    <w:qFormat/>
    <w:pPr>
      <w:spacing w:lineRule="auto" w:line="480" w:before="0" w:after="0"/>
      <w:ind w:hanging="0" w:start="567" w:end="567"/>
    </w:pPr>
    <w:rPr/>
  </w:style>
  <w:style w:type="paragraph" w:styleId="Bibliografa1">
    <w:name w:val="Bibliografía 1"/>
    <w:basedOn w:val="ndice"/>
    <w:qFormat/>
    <w:pPr>
      <w:tabs>
        <w:tab w:val="clear" w:pos="720"/>
        <w:tab w:val="right" w:pos="9360" w:leader="dot"/>
      </w:tabs>
      <w:ind w:hanging="0" w:start="0"/>
    </w:pPr>
    <w:rPr/>
  </w:style>
  <w:style w:type="paragraph" w:styleId="Comentario">
    <w:name w:val="Comentario"/>
    <w:basedOn w:val="Normal"/>
    <w:qFormat/>
    <w:pPr>
      <w:spacing w:lineRule="auto" w:line="480" w:before="56" w:after="0"/>
      <w:ind w:hanging="0" w:start="57" w:end="57"/>
    </w:pPr>
    <w:rPr>
      <w:color w:val="auto"/>
      <w:sz w:val="20"/>
      <w:szCs w:val="20"/>
    </w:rPr>
  </w:style>
  <w:style w:type="numbering" w:styleId="Ningunalista">
    <w:name w:val="Ninguna lista"/>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image" Target="media/image4.png"/><Relationship Id="rId6" Type="http://schemas.openxmlformats.org/officeDocument/2006/relationships/image" Target="media/image5.png"/><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5946</TotalTime>
  <Application>LibreOffice/26.2.5.2$Windows_X86_64 LibreOffice_project/cd7284b4cbbfeb507e630c1aac019f4157393acb</Application>
  <AppVersion>15.0000</AppVersion>
  <Pages>8</Pages>
  <Words>435</Words>
  <Characters>2877</Characters>
  <CharactersWithSpaces>3301</CharactersWithSpaces>
  <Paragraphs>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keywords>Staphylococcus coagulans Staphylococcus pseudintermedius QUAST CheckM rMLST FastANI ANI</cp:keywords>
  <dc:language>en-US</dc:language>
  <cp:lastModifiedBy/>
  <dcterms:modified xsi:type="dcterms:W3CDTF">2026-09-12T17:36:12Z</dcterms:modified>
  <cp:revision>166</cp:revision>
  <dc:subject>BMC Genomics manuscript section</dc:subject>
  <dc:title>Genome dataset selection, quality control, taxonomic validation, and ANI analysis</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id="QlyunULm"/&gt;&lt;style id="http://www.zotero.org/styles/bmc-genomics" hasBibliography="1" bibliographyStyleHasBeenSet="1"/&gt;&lt;prefs&gt;&lt;pref name="fieldType" value="ReferenceMark"/&gt;&lt;/prefs&gt;&lt;/data&gt;</vt:lpwstr>
  </property>
</Properties>
</file>