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4C10" w14:textId="77777777" w:rsidR="00602745" w:rsidRDefault="00602745" w:rsidP="00602745">
      <w:pPr>
        <w:pBdr>
          <w:bottom w:val="single" w:sz="6" w:space="1" w:color="999999"/>
        </w:pBdr>
        <w:spacing w:before="40" w:after="40"/>
      </w:pPr>
      <w:r>
        <w:rPr>
          <w:b/>
          <w:sz w:val="26"/>
        </w:rPr>
        <w:t>Supplementary Material</w:t>
      </w:r>
    </w:p>
    <w:p w14:paraId="5311F414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 xml:space="preserve">S1. </w:t>
      </w:r>
      <w:r>
        <w:rPr>
          <w:rFonts w:hint="eastAsia"/>
        </w:rPr>
        <w:t>Threshold-sensitivity table for the eligibility rule</w:t>
      </w:r>
      <w:r>
        <w:rPr>
          <w:rFonts w:eastAsia="SimSun" w:hint="eastAsia"/>
          <w:lang w:eastAsia="zh-CN"/>
        </w:rPr>
        <w:t>.</w:t>
      </w:r>
    </w:p>
    <w:p w14:paraId="72CD7D40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 xml:space="preserve">S2. </w:t>
      </w:r>
      <w:r>
        <w:rPr>
          <w:rFonts w:hint="eastAsia"/>
        </w:rPr>
        <w:t>Placebo interruption analyses and Fourier seasonal control</w:t>
      </w:r>
      <w:r>
        <w:t>.</w:t>
      </w:r>
    </w:p>
    <w:p w14:paraId="504B0639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>S3. Full ITS coefficient tables .</w:t>
      </w:r>
    </w:p>
    <w:p w14:paraId="693A89DA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>S4. Sentiment agreement matrices .</w:t>
      </w:r>
    </w:p>
    <w:p w14:paraId="05C76589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>S5. P9 flagging regular-expression rules.</w:t>
      </w:r>
    </w:p>
    <w:p w14:paraId="4D8EFD7A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 xml:space="preserve">S6. </w:t>
      </w:r>
      <w:r>
        <w:rPr>
          <w:rFonts w:hint="eastAsia"/>
        </w:rPr>
        <w:t>In-time placebo (breakpoint) distributions</w:t>
      </w:r>
      <w:r>
        <w:t>.</w:t>
      </w:r>
    </w:p>
    <w:p w14:paraId="019F20D1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 xml:space="preserve">S7. </w:t>
      </w:r>
      <w:r>
        <w:rPr>
          <w:rFonts w:hint="eastAsia"/>
        </w:rPr>
        <w:t>Moving-block bootstrap of the excluded-term discontinuity</w:t>
      </w:r>
      <w:r>
        <w:t>.</w:t>
      </w:r>
    </w:p>
    <w:p w14:paraId="50BAB031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>S8.</w:t>
      </w:r>
      <w:r>
        <w:rPr>
          <w:rFonts w:hint="eastAsia"/>
        </w:rPr>
        <w:t>Per-term, per-period retrieval yield</w:t>
      </w:r>
      <w:r>
        <w:t>.</w:t>
      </w:r>
    </w:p>
    <w:p w14:paraId="25061F78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t>S9. Analysis code (Python, statsmodels 0.14).</w:t>
      </w:r>
    </w:p>
    <w:p w14:paraId="76F21176" w14:textId="77777777" w:rsidR="00602745" w:rsidRDefault="00602745" w:rsidP="00602745">
      <w:pPr>
        <w:pStyle w:val="ListBullet"/>
        <w:tabs>
          <w:tab w:val="left" w:pos="360"/>
        </w:tabs>
        <w:spacing w:after="60"/>
        <w:ind w:left="360" w:hanging="360"/>
      </w:pPr>
      <w:r>
        <w:rPr>
          <w:rFonts w:hint="eastAsia"/>
        </w:rPr>
        <w:t>S10. STROBE 2009 checklist (observational reporting compliance), with each item mapped to the corresponding section of this manuscript.</w:t>
      </w:r>
    </w:p>
    <w:p w14:paraId="70559832" w14:textId="77777777" w:rsidR="00E023F9" w:rsidRDefault="00E023F9"/>
    <w:sectPr w:rsidR="00E023F9" w:rsidSect="006027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568BED4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30064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45"/>
    <w:rsid w:val="000C4033"/>
    <w:rsid w:val="00173ED8"/>
    <w:rsid w:val="002F50B1"/>
    <w:rsid w:val="004B42CB"/>
    <w:rsid w:val="005F2B46"/>
    <w:rsid w:val="00602745"/>
    <w:rsid w:val="006E1731"/>
    <w:rsid w:val="00866D74"/>
    <w:rsid w:val="00882A73"/>
    <w:rsid w:val="00906905"/>
    <w:rsid w:val="0095305D"/>
    <w:rsid w:val="00B10170"/>
    <w:rsid w:val="00B260B7"/>
    <w:rsid w:val="00B85331"/>
    <w:rsid w:val="00C244D7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09B90"/>
  <w15:chartTrackingRefBased/>
  <w15:docId w15:val="{E9C956AC-C06E-465A-9CE0-25B6FC8DC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745"/>
    <w:pPr>
      <w:spacing w:after="200" w:line="276" w:lineRule="auto"/>
    </w:pPr>
    <w:rPr>
      <w:rFonts w:ascii="Times New Roman" w:eastAsia="Times New Roman" w:hAnsi="Times New Roman"/>
      <w:kern w:val="0"/>
      <w:sz w:val="21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7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7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7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7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7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7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7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7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745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qFormat/>
    <w:rsid w:val="00602745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2026-11-04T08:54:00Z</dcterms:created>
  <dcterms:modified xsi:type="dcterms:W3CDTF">2026-11-04T08:54:00Z</dcterms:modified>
</cp:coreProperties>
</file>