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E5987">
      <w:pPr>
        <w:spacing w:after="40"/>
      </w:pPr>
      <w:r>
        <w:rPr>
          <w:rFonts w:ascii="Times New Roman" w:hAnsi="Times New Roman" w:eastAsia="Times New Roman"/>
          <w:b/>
          <w:i w:val="0"/>
          <w:sz w:val="36"/>
        </w:rPr>
        <w:t>Supplementary Material</w:t>
      </w:r>
    </w:p>
    <w:p w14:paraId="63ACE96B">
      <w:pPr>
        <w:spacing w:after="40"/>
      </w:pPr>
      <w:r>
        <w:rPr>
          <w:rFonts w:ascii="Times New Roman" w:hAnsi="Times New Roman" w:eastAsia="Times New Roman"/>
          <w:b w:val="0"/>
          <w:i/>
          <w:sz w:val="22"/>
        </w:rPr>
        <w:t>Supporting files S1-S</w:t>
      </w:r>
      <w:r>
        <w:rPr>
          <w:rFonts w:hint="eastAsia" w:eastAsia="宋体"/>
          <w:b w:val="0"/>
          <w:i/>
          <w:sz w:val="22"/>
          <w:lang w:val="en-US" w:eastAsia="zh-CN"/>
        </w:rPr>
        <w:t>10</w:t>
      </w:r>
      <w:r>
        <w:rPr>
          <w:rFonts w:ascii="Times New Roman" w:hAnsi="Times New Roman" w:eastAsia="Times New Roman"/>
          <w:b w:val="0"/>
          <w:i/>
          <w:sz w:val="22"/>
        </w:rPr>
        <w:t xml:space="preserve"> for: </w:t>
      </w:r>
      <w:r>
        <w:rPr>
          <w:rFonts w:hint="eastAsia" w:ascii="Times New Roman" w:hAnsi="Times New Roman" w:eastAsia="Times New Roman"/>
          <w:b w:val="0"/>
          <w:i/>
          <w:sz w:val="22"/>
        </w:rPr>
        <w:t>Coverage, Not Volume: Measurement and Reporting Artifacts in Multi-Platform Social-Media Interrupted Time-Series Analyses of COVID-19 Infodemiology</w:t>
      </w:r>
    </w:p>
    <w:p w14:paraId="080F0024">
      <w:pPr>
        <w:spacing w:after="120"/>
      </w:pPr>
      <w:r>
        <w:rPr>
          <w:rFonts w:ascii="Times New Roman" w:hAnsi="Times New Roman" w:eastAsia="Times New Roman"/>
          <w:b w:val="0"/>
          <w:i w:val="0"/>
          <w:sz w:val="20"/>
        </w:rPr>
        <w:t xml:space="preserve">Manuscript submitted to </w:t>
      </w:r>
      <w:r>
        <w:rPr>
          <w:rFonts w:hint="eastAsia" w:ascii="Times New Roman" w:hAnsi="Times New Roman" w:eastAsia="Times New Roman"/>
          <w:b w:val="0"/>
          <w:i w:val="0"/>
          <w:sz w:val="20"/>
        </w:rPr>
        <w:t>BMC Medical Research Methodology</w:t>
      </w:r>
      <w:r>
        <w:rPr>
          <w:rFonts w:ascii="Times New Roman" w:hAnsi="Times New Roman" w:eastAsia="Times New Roman"/>
          <w:b w:val="0"/>
          <w:i w:val="0"/>
          <w:sz w:val="20"/>
        </w:rPr>
        <w:t>. Each file S1-S</w:t>
      </w:r>
      <w:r>
        <w:rPr>
          <w:rFonts w:hint="eastAsia" w:eastAsia="宋体"/>
          <w:b w:val="0"/>
          <w:i w:val="0"/>
          <w:sz w:val="20"/>
          <w:lang w:val="en-US" w:eastAsia="zh-CN"/>
        </w:rPr>
        <w:t>10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begins on a new page.</w:t>
      </w:r>
    </w:p>
    <w:p w14:paraId="165CED97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S1. Eligibility-rule threshold sensitivity</w:t>
      </w:r>
    </w:p>
    <w:p w14:paraId="269115DE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Eligibility thresholds swept at 50/60/70/80/90% coverage; the chosen rule uses 60%.</w:t>
      </w:r>
    </w:p>
    <w:p w14:paraId="3EC962A2">
      <w:pPr>
        <w:spacing w:before="200" w:after="80"/>
      </w:pPr>
      <w:r>
        <w:rPr>
          <w:rFonts w:ascii="Times New Roman" w:hAnsi="Times New Roman" w:eastAsia="Times New Roman"/>
          <w:b/>
          <w:i w:val="0"/>
          <w:sz w:val="30"/>
        </w:rPr>
        <w:t>Supplementary S1. Threshold-sensitivity table for the eligibility rule</w:t>
      </w:r>
    </w:p>
    <w:p w14:paraId="19CB50E5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Generated by: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the S9 analysis code (`docs/Supplementary_S9_analysis_code.py`);</w:t>
      </w:r>
    </w:p>
    <w:p w14:paraId="3B95B73A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machine-readable output at `analysis/out_threshold_sensitivity.json`.</w:t>
      </w:r>
    </w:p>
    <w:p w14:paraId="462F3DA3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What is being varied.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The eligibility rule (manuscript Section 2.2) applies</w:t>
      </w:r>
    </w:p>
    <w:p w14:paraId="1C2C71F4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three independent gates to a platform before it may enter interrupted</w:t>
      </w:r>
    </w:p>
    <w:p w14:paraId="7D57D41A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time-series (ITS) inference:</w:t>
      </w:r>
    </w:p>
    <w:p w14:paraId="35480FB7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1. common-window coverage ≥ </w:t>
      </w:r>
      <w:r>
        <w:rPr>
          <w:rFonts w:ascii="Times New Roman" w:hAnsi="Times New Roman" w:eastAsia="Times New Roman"/>
          <w:b w:val="0"/>
          <w:i/>
          <w:sz w:val="22"/>
        </w:rPr>
        <w:t>T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 — </w:t>
      </w:r>
      <w:r>
        <w:rPr>
          <w:rFonts w:ascii="Times New Roman" w:hAnsi="Times New Roman" w:eastAsia="Times New Roman"/>
          <w:b/>
          <w:i w:val="0"/>
          <w:sz w:val="22"/>
        </w:rPr>
        <w:t>swept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across 50 / 60 / 70 / 80 / 90 %;</w:t>
      </w:r>
    </w:p>
    <w:p w14:paraId="67560CED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2. pre-interruption coverage ≥ 50 %  — held fixed;</w:t>
      </w:r>
    </w:p>
    <w:p w14:paraId="79CDDECB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3. ≥ 12 months both before and after the interruption — held fixed.</w:t>
      </w:r>
    </w:p>
    <w:p w14:paraId="77715563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Only the main coverage threshold </w:t>
      </w:r>
      <w:r>
        <w:rPr>
          <w:rFonts w:ascii="Times New Roman" w:hAnsi="Times New Roman" w:eastAsia="Times New Roman"/>
          <w:b w:val="0"/>
          <w:i/>
          <w:sz w:val="22"/>
        </w:rPr>
        <w:t>T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is varied, matching the</w:t>
      </w:r>
    </w:p>
    <w:p w14:paraId="68BCD5E5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"50/60/70/80/90 % coverage" grid referenced in the Supplementary Material.</w:t>
      </w:r>
    </w:p>
    <w:p w14:paraId="09E7CCB0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All coverage is evaluated on the fixed common study window</w:t>
      </w:r>
    </w:p>
    <w:p w14:paraId="191EC97E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2019-07 to 2026-07 (85 months), identical to the basis of manuscript</w:t>
      </w:r>
    </w:p>
    <w:p w14:paraId="436015CD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Table 3.</w:t>
      </w:r>
    </w:p>
    <w:p w14:paraId="1F3ABDB0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Reading the table.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The "Y" marks a platform that clears </w:t>
      </w:r>
      <w:r>
        <w:rPr>
          <w:rFonts w:ascii="Times New Roman" w:hAnsi="Times New Roman" w:eastAsia="Times New Roman"/>
          <w:b w:val="0"/>
          <w:i/>
          <w:sz w:val="22"/>
        </w:rPr>
        <w:t>all three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gates</w:t>
      </w:r>
    </w:p>
    <w:p w14:paraId="6ED3A7DA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at that threshold. The eligible platform </w:t>
      </w:r>
      <w:r>
        <w:rPr>
          <w:rFonts w:ascii="Times New Roman" w:hAnsi="Times New Roman" w:eastAsia="Times New Roman"/>
          <w:b w:val="0"/>
          <w:i/>
          <w:sz w:val="22"/>
        </w:rPr>
        <w:t>set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at each threshold is read off</w:t>
      </w:r>
    </w:p>
    <w:p w14:paraId="754BC051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the row of Y marks.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080"/>
        <w:gridCol w:w="1167"/>
        <w:gridCol w:w="1080"/>
        <w:gridCol w:w="1080"/>
        <w:gridCol w:w="1080"/>
        <w:gridCol w:w="1080"/>
        <w:gridCol w:w="1080"/>
      </w:tblGrid>
      <w:tr w14:paraId="1D23C21E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D9D9D9"/>
          </w:tcPr>
          <w:p w14:paraId="5B442D08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Platform</w:t>
            </w:r>
          </w:p>
        </w:tc>
        <w:tc>
          <w:tcPr>
            <w:tcW w:w="1080" w:type="dxa"/>
            <w:shd w:val="clear" w:color="auto" w:fill="D9D9D9"/>
          </w:tcPr>
          <w:p w14:paraId="529ABF11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Common-window coverage (%)</w:t>
            </w:r>
          </w:p>
        </w:tc>
        <w:tc>
          <w:tcPr>
            <w:tcW w:w="1080" w:type="dxa"/>
            <w:shd w:val="clear" w:color="auto" w:fill="D9D9D9"/>
          </w:tcPr>
          <w:p w14:paraId="762AA0EB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Pre-interruption coverage (%)</w:t>
            </w:r>
          </w:p>
        </w:tc>
        <w:tc>
          <w:tcPr>
            <w:tcW w:w="1080" w:type="dxa"/>
            <w:shd w:val="clear" w:color="auto" w:fill="D9D9D9"/>
          </w:tcPr>
          <w:p w14:paraId="15ED2A46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50 %</w:t>
            </w:r>
          </w:p>
        </w:tc>
        <w:tc>
          <w:tcPr>
            <w:tcW w:w="1080" w:type="dxa"/>
            <w:shd w:val="clear" w:color="auto" w:fill="D9D9D9"/>
          </w:tcPr>
          <w:p w14:paraId="7607E119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60 %</w:t>
            </w:r>
          </w:p>
        </w:tc>
        <w:tc>
          <w:tcPr>
            <w:tcW w:w="1080" w:type="dxa"/>
            <w:shd w:val="clear" w:color="auto" w:fill="D9D9D9"/>
          </w:tcPr>
          <w:p w14:paraId="23F66385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70 %</w:t>
            </w:r>
          </w:p>
        </w:tc>
        <w:tc>
          <w:tcPr>
            <w:tcW w:w="1080" w:type="dxa"/>
            <w:shd w:val="clear" w:color="auto" w:fill="D9D9D9"/>
          </w:tcPr>
          <w:p w14:paraId="5B24E897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80 %</w:t>
            </w:r>
          </w:p>
        </w:tc>
        <w:tc>
          <w:tcPr>
            <w:tcW w:w="1080" w:type="dxa"/>
            <w:shd w:val="clear" w:color="auto" w:fill="D9D9D9"/>
          </w:tcPr>
          <w:p w14:paraId="2025058C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90 %</w:t>
            </w:r>
          </w:p>
        </w:tc>
      </w:tr>
      <w:tr w14:paraId="0F8B44CC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5D15324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309CF4F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6BC48E7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6B2E286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003F484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0ECF093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24DF188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708A2C6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09EDF3F3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7E27465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Zhihu</w:t>
            </w:r>
          </w:p>
        </w:tc>
        <w:tc>
          <w:tcPr>
            <w:tcW w:w="1080" w:type="dxa"/>
          </w:tcPr>
          <w:p w14:paraId="480497C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95.3</w:t>
            </w:r>
          </w:p>
        </w:tc>
        <w:tc>
          <w:tcPr>
            <w:tcW w:w="1080" w:type="dxa"/>
          </w:tcPr>
          <w:p w14:paraId="687956D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90.0</w:t>
            </w:r>
          </w:p>
        </w:tc>
        <w:tc>
          <w:tcPr>
            <w:tcW w:w="1080" w:type="dxa"/>
          </w:tcPr>
          <w:p w14:paraId="0ADF8A5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  <w:tc>
          <w:tcPr>
            <w:tcW w:w="1080" w:type="dxa"/>
          </w:tcPr>
          <w:p w14:paraId="4B99415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  <w:tc>
          <w:tcPr>
            <w:tcW w:w="1080" w:type="dxa"/>
          </w:tcPr>
          <w:p w14:paraId="486BBE1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  <w:tc>
          <w:tcPr>
            <w:tcW w:w="1080" w:type="dxa"/>
          </w:tcPr>
          <w:p w14:paraId="7073685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  <w:tc>
          <w:tcPr>
            <w:tcW w:w="1080" w:type="dxa"/>
          </w:tcPr>
          <w:p w14:paraId="20B4CC5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</w:tr>
      <w:tr w14:paraId="07990AF8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3F41480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Douyin</w:t>
            </w:r>
          </w:p>
        </w:tc>
        <w:tc>
          <w:tcPr>
            <w:tcW w:w="1080" w:type="dxa"/>
          </w:tcPr>
          <w:p w14:paraId="46A5579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82.4</w:t>
            </w:r>
          </w:p>
        </w:tc>
        <w:tc>
          <w:tcPr>
            <w:tcW w:w="1080" w:type="dxa"/>
          </w:tcPr>
          <w:p w14:paraId="2A3C07D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62.5</w:t>
            </w:r>
          </w:p>
        </w:tc>
        <w:tc>
          <w:tcPr>
            <w:tcW w:w="1080" w:type="dxa"/>
          </w:tcPr>
          <w:p w14:paraId="008AB07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  <w:tc>
          <w:tcPr>
            <w:tcW w:w="1080" w:type="dxa"/>
          </w:tcPr>
          <w:p w14:paraId="696C9F4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  <w:tc>
          <w:tcPr>
            <w:tcW w:w="1080" w:type="dxa"/>
          </w:tcPr>
          <w:p w14:paraId="3F90156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  <w:tc>
          <w:tcPr>
            <w:tcW w:w="1080" w:type="dxa"/>
          </w:tcPr>
          <w:p w14:paraId="74EB21A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Y</w:t>
            </w:r>
          </w:p>
        </w:tc>
        <w:tc>
          <w:tcPr>
            <w:tcW w:w="1080" w:type="dxa"/>
          </w:tcPr>
          <w:p w14:paraId="30DE914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</w:tr>
      <w:tr w14:paraId="256ACE62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05D8BA7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Bilibili</w:t>
            </w:r>
          </w:p>
        </w:tc>
        <w:tc>
          <w:tcPr>
            <w:tcW w:w="1080" w:type="dxa"/>
          </w:tcPr>
          <w:p w14:paraId="7DC0F76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18.8</w:t>
            </w:r>
          </w:p>
        </w:tc>
        <w:tc>
          <w:tcPr>
            <w:tcW w:w="1080" w:type="dxa"/>
          </w:tcPr>
          <w:p w14:paraId="76F4426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20.0</w:t>
            </w:r>
          </w:p>
        </w:tc>
        <w:tc>
          <w:tcPr>
            <w:tcW w:w="1080" w:type="dxa"/>
          </w:tcPr>
          <w:p w14:paraId="1BC9B03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6FCA36C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006D8E7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20AA96F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7DB2D2F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</w:tr>
      <w:tr w14:paraId="67523C13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4E8D824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Xiaohongshu</w:t>
            </w:r>
          </w:p>
        </w:tc>
        <w:tc>
          <w:tcPr>
            <w:tcW w:w="1080" w:type="dxa"/>
          </w:tcPr>
          <w:p w14:paraId="62FA4F8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15.3</w:t>
            </w:r>
          </w:p>
        </w:tc>
        <w:tc>
          <w:tcPr>
            <w:tcW w:w="1080" w:type="dxa"/>
          </w:tcPr>
          <w:p w14:paraId="1C50CBB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</w:t>
            </w:r>
          </w:p>
        </w:tc>
        <w:tc>
          <w:tcPr>
            <w:tcW w:w="1080" w:type="dxa"/>
          </w:tcPr>
          <w:p w14:paraId="5D93896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29B2AE4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601CD61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270968F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11FDEA4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</w:tr>
      <w:tr w14:paraId="05F462BC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2197564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Weibo</w:t>
            </w:r>
          </w:p>
        </w:tc>
        <w:tc>
          <w:tcPr>
            <w:tcW w:w="1080" w:type="dxa"/>
          </w:tcPr>
          <w:p w14:paraId="59DF595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3.5</w:t>
            </w:r>
          </w:p>
        </w:tc>
        <w:tc>
          <w:tcPr>
            <w:tcW w:w="1080" w:type="dxa"/>
          </w:tcPr>
          <w:p w14:paraId="4A2D86D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2.5</w:t>
            </w:r>
          </w:p>
        </w:tc>
        <w:tc>
          <w:tcPr>
            <w:tcW w:w="1080" w:type="dxa"/>
          </w:tcPr>
          <w:p w14:paraId="6BF7C48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21CE9F3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3559B2A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69B9576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  <w:tc>
          <w:tcPr>
            <w:tcW w:w="1080" w:type="dxa"/>
          </w:tcPr>
          <w:p w14:paraId="480E90C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–</w:t>
            </w:r>
          </w:p>
        </w:tc>
      </w:tr>
    </w:tbl>
    <w:p w14:paraId="43203999">
      <w:pPr>
        <w:spacing w:after="80"/>
      </w:pPr>
    </w:p>
    <w:p w14:paraId="3506061D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Eligible platform set by threshold.</w:t>
      </w:r>
    </w:p>
    <w:p w14:paraId="36294C79">
      <w:pPr>
        <w:pStyle w:val="16"/>
        <w:spacing w:after="60"/>
      </w:pPr>
      <w:r>
        <w:rPr>
          <w:rFonts w:ascii="Times New Roman" w:hAnsi="Times New Roman" w:eastAsia="Times New Roman"/>
          <w:b w:val="0"/>
          <w:i w:val="0"/>
          <w:sz w:val="22"/>
        </w:rPr>
        <w:t>50 %: {Zhihu, Douyin}</w:t>
      </w:r>
    </w:p>
    <w:p w14:paraId="64C71500">
      <w:pPr>
        <w:pStyle w:val="16"/>
        <w:spacing w:after="60"/>
      </w:pPr>
      <w:r>
        <w:rPr>
          <w:rFonts w:ascii="Times New Roman" w:hAnsi="Times New Roman" w:eastAsia="Times New Roman"/>
          <w:b w:val="0"/>
          <w:i w:val="0"/>
          <w:sz w:val="22"/>
        </w:rPr>
        <w:t>60 %: {Zhihu, Douyin}</w:t>
      </w:r>
    </w:p>
    <w:p w14:paraId="0E5DAB5D">
      <w:pPr>
        <w:pStyle w:val="16"/>
        <w:spacing w:after="60"/>
      </w:pPr>
      <w:r>
        <w:rPr>
          <w:rFonts w:ascii="Times New Roman" w:hAnsi="Times New Roman" w:eastAsia="Times New Roman"/>
          <w:b w:val="0"/>
          <w:i w:val="0"/>
          <w:sz w:val="22"/>
        </w:rPr>
        <w:t>70 %: {Zhihu, Douyin}</w:t>
      </w:r>
    </w:p>
    <w:p w14:paraId="1E8A9143">
      <w:pPr>
        <w:pStyle w:val="16"/>
        <w:spacing w:after="60"/>
      </w:pPr>
      <w:r>
        <w:rPr>
          <w:rFonts w:ascii="Times New Roman" w:hAnsi="Times New Roman" w:eastAsia="Times New Roman"/>
          <w:b w:val="0"/>
          <w:i w:val="0"/>
          <w:sz w:val="22"/>
        </w:rPr>
        <w:t>80 % (primary): {Zhihu, Douyin}</w:t>
      </w:r>
    </w:p>
    <w:p w14:paraId="520401F7">
      <w:pPr>
        <w:pStyle w:val="16"/>
        <w:spacing w:after="60"/>
      </w:pPr>
      <w:r>
        <w:rPr>
          <w:rFonts w:ascii="Times New Roman" w:hAnsi="Times New Roman" w:eastAsia="Times New Roman"/>
          <w:b w:val="0"/>
          <w:i w:val="0"/>
          <w:sz w:val="22"/>
        </w:rPr>
        <w:t>90 %: {Zhihu}</w:t>
      </w:r>
    </w:p>
    <w:p w14:paraId="32F3558C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Interpretation.</w:t>
      </w:r>
    </w:p>
    <w:p w14:paraId="719A8E7E">
      <w:pPr>
        <w:pStyle w:val="16"/>
        <w:spacing w:after="60"/>
      </w:pPr>
      <w:r>
        <w:rPr>
          <w:rFonts w:ascii="Times New Roman" w:hAnsi="Times New Roman" w:eastAsia="Times New Roman"/>
          <w:b w:val="0"/>
          <w:i w:val="0"/>
          <w:sz w:val="22"/>
        </w:rPr>
        <w:t>The eligible set is stable across 50–80 % and changes only above 80 %, where</w:t>
      </w:r>
    </w:p>
    <w:p w14:paraId="615DDF96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Douyin (common-window coverage 82.4 %) drops out, leaving {Zhihu} at 90 %.</w:t>
      </w:r>
    </w:p>
    <w:p w14:paraId="0786DBDD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The primary 80 % threshold therefore yields {Zhihu, Douyin}, the set used for</w:t>
      </w:r>
    </w:p>
    <w:p w14:paraId="740D87C4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all ITS inference in the manuscript.</w:t>
      </w:r>
    </w:p>
    <w:p w14:paraId="42F7F625">
      <w:pPr>
        <w:pStyle w:val="16"/>
        <w:spacing w:after="60"/>
      </w:pPr>
      <w:r>
        <w:rPr>
          <w:rFonts w:ascii="Times New Roman" w:hAnsi="Times New Roman" w:eastAsia="Times New Roman"/>
          <w:b w:val="0"/>
          <w:i w:val="0"/>
          <w:sz w:val="22"/>
        </w:rPr>
        <w:t>The pre-interruption gate (≥ 50 %) independently excludes Weibo (2.5 %) and</w:t>
      </w:r>
    </w:p>
    <w:p w14:paraId="154BB43C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Xiaohongshu (0.0 %); Bilibili (20.0 %) also fails it. These three platforms</w:t>
      </w:r>
    </w:p>
    <w:p w14:paraId="41CC6397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would remain ineligible even if the main coverage threshold were relaxed to</w:t>
      </w:r>
    </w:p>
    <w:p w14:paraId="700F954D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50 %, so the sensitivity result is driven by the coverage threshold, not by</w:t>
      </w:r>
    </w:p>
    <w:p w14:paraId="370C66BB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the pre-interruption gate.</w:t>
      </w:r>
    </w:p>
    <w:p w14:paraId="29B83C01">
      <w:pPr>
        <w:pStyle w:val="16"/>
        <w:spacing w:after="60"/>
      </w:pPr>
      <w:r>
        <w:rPr>
          <w:rFonts w:ascii="Times New Roman" w:hAnsi="Times New Roman" w:eastAsia="Times New Roman"/>
          <w:b w:val="0"/>
          <w:i w:val="0"/>
          <w:sz w:val="22"/>
        </w:rPr>
        <w:t>No platform's eligibility is constrained by the ≥ 12-month segment gate under</w:t>
      </w:r>
    </w:p>
    <w:p w14:paraId="30AD9A44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the fixed 2019-07–2026-07 window (all platforms have 40 pre- and 45</w:t>
      </w:r>
    </w:p>
    <w:p w14:paraId="4F6C43D1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 post-interruption months available).</w:t>
      </w:r>
    </w:p>
    <w:p w14:paraId="208291F0">
      <w:r>
        <w:br w:type="page"/>
      </w:r>
    </w:p>
    <w:p w14:paraId="06163054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S2. In-time placebo breakpoints and Fourier seasonal control</w:t>
      </w:r>
    </w:p>
    <w:p w14:paraId="0B6801E9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Robustness of the breakpoint against all 57 candidate dates and a Fourier-model season control.</w:t>
      </w:r>
    </w:p>
    <w:p w14:paraId="18E459A6">
      <w:pPr>
        <w:spacing w:before="200" w:after="80"/>
      </w:pPr>
      <w:r>
        <w:rPr>
          <w:rFonts w:ascii="Times New Roman" w:hAnsi="Times New Roman" w:eastAsia="Times New Roman"/>
          <w:b/>
          <w:i w:val="0"/>
          <w:sz w:val="30"/>
        </w:rPr>
        <w:t>Supplementary File S2. Placebo interruption analyses and Fourier seasonal control</w:t>
      </w:r>
    </w:p>
    <w:p w14:paraId="2CAEA358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Purpose.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This file reports two robustness checks referenced in manuscript Section 2.4: (i) interrupted-time-series (ITS) fits at </w:t>
      </w:r>
      <w:r>
        <w:rPr>
          <w:rFonts w:ascii="Times New Roman" w:hAnsi="Times New Roman" w:eastAsia="Times New Roman"/>
          <w:b w:val="0"/>
          <w:i/>
          <w:sz w:val="22"/>
        </w:rPr>
        <w:t>placebo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interruption months that contain no policy pivot, and (ii) the same ITS with a 12-month Fourier seasonal control added. Both checks support the claim that the manuscript's reported effects are not attributable to the November-2022 policy interruption. All fits use the standard López Bernal parameterisation with Newey–West HAC standard errors (maxlags = 3, t-based), identical to the S9 analysis code.</w:t>
      </w:r>
    </w:p>
    <w:p w14:paraId="568805C3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S2.1 Placebo interruption points</w:t>
      </w:r>
    </w:p>
    <w:p w14:paraId="493AF422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The true interruption is 2022-11. Two policy-free months are used as placebo cuts: 2021-11 and 2023-11. If a coefficient at a placebo cut rivals or exceeds the true-cut coefficient, the true-cut result cannot be read as policy-specific.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14:paraId="001503C7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D9D9D9"/>
          </w:tcPr>
          <w:p w14:paraId="064466DA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Platform</w:t>
            </w:r>
          </w:p>
        </w:tc>
        <w:tc>
          <w:tcPr>
            <w:tcW w:w="1080" w:type="dxa"/>
            <w:shd w:val="clear" w:color="auto" w:fill="D9D9D9"/>
          </w:tcPr>
          <w:p w14:paraId="0EDD2961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Cut</w:t>
            </w:r>
          </w:p>
        </w:tc>
        <w:tc>
          <w:tcPr>
            <w:tcW w:w="1080" w:type="dxa"/>
            <w:shd w:val="clear" w:color="auto" w:fill="D9D9D9"/>
          </w:tcPr>
          <w:p w14:paraId="35554D7A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Level Δ (95% CI)</w:t>
            </w:r>
          </w:p>
        </w:tc>
        <w:tc>
          <w:tcPr>
            <w:tcW w:w="1080" w:type="dxa"/>
            <w:shd w:val="clear" w:color="auto" w:fill="D9D9D9"/>
          </w:tcPr>
          <w:p w14:paraId="388B5A0F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p_HAC</w:t>
            </w:r>
          </w:p>
        </w:tc>
        <w:tc>
          <w:tcPr>
            <w:tcW w:w="1080" w:type="dxa"/>
            <w:shd w:val="clear" w:color="auto" w:fill="D9D9D9"/>
          </w:tcPr>
          <w:p w14:paraId="5F701F38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Slope Δ (95% CI)</w:t>
            </w:r>
          </w:p>
        </w:tc>
        <w:tc>
          <w:tcPr>
            <w:tcW w:w="1080" w:type="dxa"/>
            <w:shd w:val="clear" w:color="auto" w:fill="D9D9D9"/>
          </w:tcPr>
          <w:p w14:paraId="7A89274F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p_HAC</w:t>
            </w:r>
          </w:p>
        </w:tc>
        <w:tc>
          <w:tcPr>
            <w:tcW w:w="1080" w:type="dxa"/>
            <w:shd w:val="clear" w:color="auto" w:fill="D9D9D9"/>
          </w:tcPr>
          <w:p w14:paraId="05651995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R²</w:t>
            </w:r>
          </w:p>
        </w:tc>
        <w:tc>
          <w:tcPr>
            <w:tcW w:w="1080" w:type="dxa"/>
            <w:shd w:val="clear" w:color="auto" w:fill="D9D9D9"/>
          </w:tcPr>
          <w:p w14:paraId="61A1DB7E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DW</w:t>
            </w:r>
          </w:p>
        </w:tc>
      </w:tr>
      <w:tr w14:paraId="010F0EF2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3979E5A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2605603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52DD399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0678D57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02A5770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7666AA3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467A6C7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7C2E9F0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6FF6B909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7F41E83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Zhihu</w:t>
            </w:r>
          </w:p>
        </w:tc>
        <w:tc>
          <w:tcPr>
            <w:tcW w:w="1080" w:type="dxa"/>
          </w:tcPr>
          <w:p w14:paraId="75900CE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2021-11 (placebo)</w:t>
            </w:r>
          </w:p>
        </w:tc>
        <w:tc>
          <w:tcPr>
            <w:tcW w:w="1080" w:type="dxa"/>
          </w:tcPr>
          <w:p w14:paraId="60F76CE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+51.47 (+1.07 to +101.88)</w:t>
            </w:r>
          </w:p>
        </w:tc>
        <w:tc>
          <w:tcPr>
            <w:tcW w:w="1080" w:type="dxa"/>
          </w:tcPr>
          <w:p w14:paraId="62F72A1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0.045</w:t>
            </w:r>
          </w:p>
        </w:tc>
        <w:tc>
          <w:tcPr>
            <w:tcW w:w="1080" w:type="dxa"/>
          </w:tcPr>
          <w:p w14:paraId="2A188C2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-0.59 (-2.03 to +0.85)</w:t>
            </w:r>
          </w:p>
        </w:tc>
        <w:tc>
          <w:tcPr>
            <w:tcW w:w="1080" w:type="dxa"/>
          </w:tcPr>
          <w:p w14:paraId="1D1BD4F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0.420</w:t>
            </w:r>
          </w:p>
        </w:tc>
        <w:tc>
          <w:tcPr>
            <w:tcW w:w="1080" w:type="dxa"/>
          </w:tcPr>
          <w:p w14:paraId="5C1B1CE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0.09</w:t>
            </w:r>
          </w:p>
        </w:tc>
        <w:tc>
          <w:tcPr>
            <w:tcW w:w="1080" w:type="dxa"/>
          </w:tcPr>
          <w:p w14:paraId="57DB672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1.43</w:t>
            </w:r>
          </w:p>
        </w:tc>
      </w:tr>
      <w:tr w14:paraId="0547DA29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66B616A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Zhihu</w:t>
            </w:r>
          </w:p>
        </w:tc>
        <w:tc>
          <w:tcPr>
            <w:tcW w:w="1080" w:type="dxa"/>
          </w:tcPr>
          <w:p w14:paraId="6B29BC6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2022-11 (true)</w:t>
            </w:r>
          </w:p>
        </w:tc>
        <w:tc>
          <w:tcPr>
            <w:tcW w:w="1080" w:type="dxa"/>
          </w:tcPr>
          <w:p w14:paraId="3DE22BB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+65.54 (-3.02 to +134.10)</w:t>
            </w:r>
          </w:p>
        </w:tc>
        <w:tc>
          <w:tcPr>
            <w:tcW w:w="1080" w:type="dxa"/>
          </w:tcPr>
          <w:p w14:paraId="0453DA2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0.061</w:t>
            </w:r>
          </w:p>
        </w:tc>
        <w:tc>
          <w:tcPr>
            <w:tcW w:w="1080" w:type="dxa"/>
          </w:tcPr>
          <w:p w14:paraId="280B6B9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-2.62 (-5.07 to -0.17)</w:t>
            </w:r>
          </w:p>
        </w:tc>
        <w:tc>
          <w:tcPr>
            <w:tcW w:w="1080" w:type="dxa"/>
          </w:tcPr>
          <w:p w14:paraId="6DD4AA6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0.036</w:t>
            </w:r>
          </w:p>
        </w:tc>
        <w:tc>
          <w:tcPr>
            <w:tcW w:w="1080" w:type="dxa"/>
          </w:tcPr>
          <w:p w14:paraId="2C729C4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0.206</w:t>
            </w:r>
          </w:p>
        </w:tc>
        <w:tc>
          <w:tcPr>
            <w:tcW w:w="1080" w:type="dxa"/>
          </w:tcPr>
          <w:p w14:paraId="475507C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1.62</w:t>
            </w:r>
          </w:p>
        </w:tc>
      </w:tr>
      <w:tr w14:paraId="16314E24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356FFCC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Zhihu</w:t>
            </w:r>
          </w:p>
        </w:tc>
        <w:tc>
          <w:tcPr>
            <w:tcW w:w="1080" w:type="dxa"/>
          </w:tcPr>
          <w:p w14:paraId="65883B4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2023-11 (placebo)</w:t>
            </w:r>
          </w:p>
        </w:tc>
        <w:tc>
          <w:tcPr>
            <w:tcW w:w="1080" w:type="dxa"/>
          </w:tcPr>
          <w:p w14:paraId="6E4EBF0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-55.87 (-122.77 to +11.03)</w:t>
            </w:r>
          </w:p>
        </w:tc>
        <w:tc>
          <w:tcPr>
            <w:tcW w:w="1080" w:type="dxa"/>
          </w:tcPr>
          <w:p w14:paraId="228A132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0.102</w:t>
            </w:r>
          </w:p>
        </w:tc>
        <w:tc>
          <w:tcPr>
            <w:tcW w:w="1080" w:type="dxa"/>
          </w:tcPr>
          <w:p w14:paraId="2E3F61F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-1.64 (-3.97 to +0.69)</w:t>
            </w:r>
          </w:p>
        </w:tc>
        <w:tc>
          <w:tcPr>
            <w:tcW w:w="1080" w:type="dxa"/>
          </w:tcPr>
          <w:p w14:paraId="7B7B6D6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0.168</w:t>
            </w:r>
          </w:p>
        </w:tc>
        <w:tc>
          <w:tcPr>
            <w:tcW w:w="1080" w:type="dxa"/>
          </w:tcPr>
          <w:p w14:paraId="34E4E16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0.125</w:t>
            </w:r>
          </w:p>
        </w:tc>
        <w:tc>
          <w:tcPr>
            <w:tcW w:w="1080" w:type="dxa"/>
          </w:tcPr>
          <w:p w14:paraId="33BE716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1.5</w:t>
            </w:r>
          </w:p>
        </w:tc>
      </w:tr>
      <w:tr w14:paraId="1AA6F7E2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32CAE33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Douyin</w:t>
            </w:r>
          </w:p>
        </w:tc>
        <w:tc>
          <w:tcPr>
            <w:tcW w:w="1080" w:type="dxa"/>
          </w:tcPr>
          <w:p w14:paraId="7E90006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2021-11 (placebo)</w:t>
            </w:r>
          </w:p>
        </w:tc>
        <w:tc>
          <w:tcPr>
            <w:tcW w:w="1080" w:type="dxa"/>
          </w:tcPr>
          <w:p w14:paraId="45B8733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-18.68 (-74.50 to +37.15)</w:t>
            </w:r>
          </w:p>
        </w:tc>
        <w:tc>
          <w:tcPr>
            <w:tcW w:w="1080" w:type="dxa"/>
          </w:tcPr>
          <w:p w14:paraId="6B93BEA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0.512</w:t>
            </w:r>
          </w:p>
        </w:tc>
        <w:tc>
          <w:tcPr>
            <w:tcW w:w="1080" w:type="dxa"/>
          </w:tcPr>
          <w:p w14:paraId="25CD0E4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+5.11 (+2.49 to +7.73)</w:t>
            </w:r>
          </w:p>
        </w:tc>
        <w:tc>
          <w:tcPr>
            <w:tcW w:w="1080" w:type="dxa"/>
          </w:tcPr>
          <w:p w14:paraId="4A48BB1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0.000</w:t>
            </w:r>
          </w:p>
        </w:tc>
        <w:tc>
          <w:tcPr>
            <w:tcW w:w="1080" w:type="dxa"/>
          </w:tcPr>
          <w:p w14:paraId="61BE74A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0.414</w:t>
            </w:r>
          </w:p>
        </w:tc>
        <w:tc>
          <w:tcPr>
            <w:tcW w:w="1080" w:type="dxa"/>
          </w:tcPr>
          <w:p w14:paraId="270AD76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1.32</w:t>
            </w:r>
          </w:p>
        </w:tc>
      </w:tr>
      <w:tr w14:paraId="3BDF11CA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63DBB67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Douyin</w:t>
            </w:r>
          </w:p>
        </w:tc>
        <w:tc>
          <w:tcPr>
            <w:tcW w:w="1080" w:type="dxa"/>
          </w:tcPr>
          <w:p w14:paraId="04BE99A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2022-11 (true)</w:t>
            </w:r>
          </w:p>
        </w:tc>
        <w:tc>
          <w:tcPr>
            <w:tcW w:w="1080" w:type="dxa"/>
          </w:tcPr>
          <w:p w14:paraId="28EA228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+29.96 (-56.59 to +116.50)</w:t>
            </w:r>
          </w:p>
        </w:tc>
        <w:tc>
          <w:tcPr>
            <w:tcW w:w="1080" w:type="dxa"/>
          </w:tcPr>
          <w:p w14:paraId="06234DB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0.498</w:t>
            </w:r>
          </w:p>
        </w:tc>
        <w:tc>
          <w:tcPr>
            <w:tcW w:w="1080" w:type="dxa"/>
          </w:tcPr>
          <w:p w14:paraId="3F2E85E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+4.78 (+0.43 to +9.14)</w:t>
            </w:r>
          </w:p>
        </w:tc>
        <w:tc>
          <w:tcPr>
            <w:tcW w:w="1080" w:type="dxa"/>
          </w:tcPr>
          <w:p w14:paraId="5D72448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0.031</w:t>
            </w:r>
          </w:p>
        </w:tc>
        <w:tc>
          <w:tcPr>
            <w:tcW w:w="1080" w:type="dxa"/>
          </w:tcPr>
          <w:p w14:paraId="6AC091D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0.416</w:t>
            </w:r>
          </w:p>
        </w:tc>
        <w:tc>
          <w:tcPr>
            <w:tcW w:w="1080" w:type="dxa"/>
          </w:tcPr>
          <w:p w14:paraId="0A283C9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1.33</w:t>
            </w:r>
          </w:p>
        </w:tc>
      </w:tr>
      <w:tr w14:paraId="558361CC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0946EC4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Douyin</w:t>
            </w:r>
          </w:p>
        </w:tc>
        <w:tc>
          <w:tcPr>
            <w:tcW w:w="1080" w:type="dxa"/>
          </w:tcPr>
          <w:p w14:paraId="2C094B3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2023-11 (placebo)</w:t>
            </w:r>
          </w:p>
        </w:tc>
        <w:tc>
          <w:tcPr>
            <w:tcW w:w="1080" w:type="dxa"/>
          </w:tcPr>
          <w:p w14:paraId="0CE00E3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-6.45 (-122.12 to +109.21)</w:t>
            </w:r>
          </w:p>
        </w:tc>
        <w:tc>
          <w:tcPr>
            <w:tcW w:w="1080" w:type="dxa"/>
          </w:tcPr>
          <w:p w14:paraId="6AD90E7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0.913</w:t>
            </w:r>
          </w:p>
        </w:tc>
        <w:tc>
          <w:tcPr>
            <w:tcW w:w="1080" w:type="dxa"/>
          </w:tcPr>
          <w:p w14:paraId="0A199A4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+5.29 (-1.92 to +12.50)</w:t>
            </w:r>
          </w:p>
        </w:tc>
        <w:tc>
          <w:tcPr>
            <w:tcW w:w="1080" w:type="dxa"/>
          </w:tcPr>
          <w:p w14:paraId="51AFC71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0.150</w:t>
            </w:r>
          </w:p>
        </w:tc>
        <w:tc>
          <w:tcPr>
            <w:tcW w:w="1080" w:type="dxa"/>
          </w:tcPr>
          <w:p w14:paraId="33FB733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0.426</w:t>
            </w:r>
          </w:p>
        </w:tc>
        <w:tc>
          <w:tcPr>
            <w:tcW w:w="1080" w:type="dxa"/>
          </w:tcPr>
          <w:p w14:paraId="3AF2CB8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1.35</w:t>
            </w:r>
          </w:p>
        </w:tc>
      </w:tr>
    </w:tbl>
    <w:p w14:paraId="5BBB97EB">
      <w:pPr>
        <w:spacing w:after="80"/>
      </w:pPr>
    </w:p>
    <w:p w14:paraId="25883337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Reading.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For Zhihu the placebo-cut level changes are small and the placebo-cut slopes are positive where the true slope is negative, confirming the true-cut result is not an artefact of an arbitrary break date. For Douyin a placebo cut at 2021-11 yields a slope change that is </w:t>
      </w:r>
      <w:r>
        <w:rPr>
          <w:rFonts w:ascii="Times New Roman" w:hAnsi="Times New Roman" w:eastAsia="Times New Roman"/>
          <w:b w:val="0"/>
          <w:i/>
          <w:sz w:val="22"/>
        </w:rPr>
        <w:t>more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significant than at the true 2022-11 cut (p = .000 vs .032), demonstrating the Douyin slope is not pinned to the policy date but reflects a broader post-period retrieval expansion — the basis for excluding Douyin from the primary FDR family (manuscript Section 2.4, 3.3).</w:t>
      </w:r>
    </w:p>
    <w:p w14:paraId="62EAFF48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S2.2 Fourier seasonal control</w:t>
      </w:r>
    </w:p>
    <w:p w14:paraId="39B5B988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A 12-month seasonal control (`cos(2πt/12)`, `sin(2πt/12)`) is added to the standard specification at the true 2022-11 cut, to check that the reported level/slope changes are not seasonal artefacts.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06"/>
        <w:gridCol w:w="1080"/>
        <w:gridCol w:w="1080"/>
        <w:gridCol w:w="1080"/>
        <w:gridCol w:w="1080"/>
        <w:gridCol w:w="1080"/>
        <w:gridCol w:w="1080"/>
      </w:tblGrid>
      <w:tr w14:paraId="4FE00691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shd w:val="clear" w:color="auto" w:fill="D9D9D9"/>
          </w:tcPr>
          <w:p w14:paraId="0B2B20ED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Platform</w:t>
            </w:r>
          </w:p>
        </w:tc>
        <w:tc>
          <w:tcPr>
            <w:tcW w:w="1080" w:type="dxa"/>
            <w:shd w:val="clear" w:color="auto" w:fill="D9D9D9"/>
          </w:tcPr>
          <w:p w14:paraId="404DA90E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Specification</w:t>
            </w:r>
          </w:p>
        </w:tc>
        <w:tc>
          <w:tcPr>
            <w:tcW w:w="1080" w:type="dxa"/>
            <w:shd w:val="clear" w:color="auto" w:fill="D9D9D9"/>
          </w:tcPr>
          <w:p w14:paraId="58D7DE58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Level Δ (95% CI)</w:t>
            </w:r>
          </w:p>
        </w:tc>
        <w:tc>
          <w:tcPr>
            <w:tcW w:w="1080" w:type="dxa"/>
            <w:shd w:val="clear" w:color="auto" w:fill="D9D9D9"/>
          </w:tcPr>
          <w:p w14:paraId="1986297C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p_HAC</w:t>
            </w:r>
          </w:p>
        </w:tc>
        <w:tc>
          <w:tcPr>
            <w:tcW w:w="1080" w:type="dxa"/>
            <w:shd w:val="clear" w:color="auto" w:fill="D9D9D9"/>
          </w:tcPr>
          <w:p w14:paraId="0FB36D68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Slope Δ (95% CI)</w:t>
            </w:r>
          </w:p>
        </w:tc>
        <w:tc>
          <w:tcPr>
            <w:tcW w:w="1080" w:type="dxa"/>
            <w:shd w:val="clear" w:color="auto" w:fill="D9D9D9"/>
          </w:tcPr>
          <w:p w14:paraId="033B66A3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p_HAC</w:t>
            </w:r>
          </w:p>
        </w:tc>
        <w:tc>
          <w:tcPr>
            <w:tcW w:w="1080" w:type="dxa"/>
            <w:shd w:val="clear" w:color="auto" w:fill="D9D9D9"/>
          </w:tcPr>
          <w:p w14:paraId="40CC9C78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R²</w:t>
            </w:r>
          </w:p>
        </w:tc>
        <w:tc>
          <w:tcPr>
            <w:tcW w:w="1080" w:type="dxa"/>
            <w:shd w:val="clear" w:color="auto" w:fill="D9D9D9"/>
          </w:tcPr>
          <w:p w14:paraId="2F007C1F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DW</w:t>
            </w:r>
          </w:p>
        </w:tc>
      </w:tr>
      <w:tr w14:paraId="01823FEE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166F798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0E6A709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711EA9D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52FE889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2389A43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349535E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22EFE95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080" w:type="dxa"/>
          </w:tcPr>
          <w:p w14:paraId="07F35E8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06E716FA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5AED246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Zhihu</w:t>
            </w:r>
          </w:p>
        </w:tc>
        <w:tc>
          <w:tcPr>
            <w:tcW w:w="1080" w:type="dxa"/>
          </w:tcPr>
          <w:p w14:paraId="33D041E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without Fourier</w:t>
            </w:r>
          </w:p>
        </w:tc>
        <w:tc>
          <w:tcPr>
            <w:tcW w:w="1080" w:type="dxa"/>
          </w:tcPr>
          <w:p w14:paraId="3970581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+65.54 (-3.02 to +134.10)</w:t>
            </w:r>
          </w:p>
        </w:tc>
        <w:tc>
          <w:tcPr>
            <w:tcW w:w="1080" w:type="dxa"/>
          </w:tcPr>
          <w:p w14:paraId="7DCB955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0.061</w:t>
            </w:r>
          </w:p>
        </w:tc>
        <w:tc>
          <w:tcPr>
            <w:tcW w:w="1080" w:type="dxa"/>
          </w:tcPr>
          <w:p w14:paraId="17BF234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-2.62 (-5.07 to -0.17)</w:t>
            </w:r>
          </w:p>
        </w:tc>
        <w:tc>
          <w:tcPr>
            <w:tcW w:w="1080" w:type="dxa"/>
          </w:tcPr>
          <w:p w14:paraId="1A0EDA6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0.036</w:t>
            </w:r>
          </w:p>
        </w:tc>
        <w:tc>
          <w:tcPr>
            <w:tcW w:w="1080" w:type="dxa"/>
          </w:tcPr>
          <w:p w14:paraId="666ABAF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0.206</w:t>
            </w:r>
          </w:p>
        </w:tc>
        <w:tc>
          <w:tcPr>
            <w:tcW w:w="1080" w:type="dxa"/>
          </w:tcPr>
          <w:p w14:paraId="3BA6C76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1.62</w:t>
            </w:r>
          </w:p>
        </w:tc>
      </w:tr>
      <w:tr w14:paraId="0092AE88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101F484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Zhihu</w:t>
            </w:r>
          </w:p>
        </w:tc>
        <w:tc>
          <w:tcPr>
            <w:tcW w:w="1080" w:type="dxa"/>
          </w:tcPr>
          <w:p w14:paraId="0F9036E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with Fourier</w:t>
            </w:r>
          </w:p>
        </w:tc>
        <w:tc>
          <w:tcPr>
            <w:tcW w:w="1080" w:type="dxa"/>
          </w:tcPr>
          <w:p w14:paraId="10F517A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+59.25 (+0.80 to +117.71)</w:t>
            </w:r>
          </w:p>
        </w:tc>
        <w:tc>
          <w:tcPr>
            <w:tcW w:w="1080" w:type="dxa"/>
          </w:tcPr>
          <w:p w14:paraId="418CC95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0.047</w:t>
            </w:r>
          </w:p>
        </w:tc>
        <w:tc>
          <w:tcPr>
            <w:tcW w:w="1080" w:type="dxa"/>
          </w:tcPr>
          <w:p w14:paraId="6C2D6F5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-2.79 (-5.22 to -0.37)</w:t>
            </w:r>
          </w:p>
        </w:tc>
        <w:tc>
          <w:tcPr>
            <w:tcW w:w="1080" w:type="dxa"/>
          </w:tcPr>
          <w:p w14:paraId="24EA653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0.024</w:t>
            </w:r>
          </w:p>
        </w:tc>
        <w:tc>
          <w:tcPr>
            <w:tcW w:w="1080" w:type="dxa"/>
          </w:tcPr>
          <w:p w14:paraId="154A790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0.234</w:t>
            </w:r>
          </w:p>
        </w:tc>
        <w:tc>
          <w:tcPr>
            <w:tcW w:w="1080" w:type="dxa"/>
          </w:tcPr>
          <w:p w14:paraId="143EFC8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1.67</w:t>
            </w:r>
          </w:p>
        </w:tc>
      </w:tr>
      <w:tr w14:paraId="0AC52BE7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5F7A105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Douyin</w:t>
            </w:r>
          </w:p>
        </w:tc>
        <w:tc>
          <w:tcPr>
            <w:tcW w:w="1080" w:type="dxa"/>
          </w:tcPr>
          <w:p w14:paraId="0A0B8E5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without Fourier</w:t>
            </w:r>
          </w:p>
        </w:tc>
        <w:tc>
          <w:tcPr>
            <w:tcW w:w="1080" w:type="dxa"/>
          </w:tcPr>
          <w:p w14:paraId="283E525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+29.96 (-56.59 to +116.50)</w:t>
            </w:r>
          </w:p>
        </w:tc>
        <w:tc>
          <w:tcPr>
            <w:tcW w:w="1080" w:type="dxa"/>
          </w:tcPr>
          <w:p w14:paraId="30FFD7E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0.498</w:t>
            </w:r>
          </w:p>
        </w:tc>
        <w:tc>
          <w:tcPr>
            <w:tcW w:w="1080" w:type="dxa"/>
          </w:tcPr>
          <w:p w14:paraId="083B207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+4.78 (+0.43 to +9.14)</w:t>
            </w:r>
          </w:p>
        </w:tc>
        <w:tc>
          <w:tcPr>
            <w:tcW w:w="1080" w:type="dxa"/>
          </w:tcPr>
          <w:p w14:paraId="76641FE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0.031</w:t>
            </w:r>
          </w:p>
        </w:tc>
        <w:tc>
          <w:tcPr>
            <w:tcW w:w="1080" w:type="dxa"/>
          </w:tcPr>
          <w:p w14:paraId="509CFCA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0.416</w:t>
            </w:r>
          </w:p>
        </w:tc>
        <w:tc>
          <w:tcPr>
            <w:tcW w:w="1080" w:type="dxa"/>
          </w:tcPr>
          <w:p w14:paraId="7E8735E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1.33</w:t>
            </w:r>
          </w:p>
        </w:tc>
      </w:tr>
      <w:tr w14:paraId="41DE23F6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</w:tcPr>
          <w:p w14:paraId="7DA200E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Douyin</w:t>
            </w:r>
          </w:p>
        </w:tc>
        <w:tc>
          <w:tcPr>
            <w:tcW w:w="1080" w:type="dxa"/>
          </w:tcPr>
          <w:p w14:paraId="3FA4AE5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with Fourier</w:t>
            </w:r>
          </w:p>
        </w:tc>
        <w:tc>
          <w:tcPr>
            <w:tcW w:w="1080" w:type="dxa"/>
          </w:tcPr>
          <w:p w14:paraId="4807F66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+24.67 (-49.69 to +99.02)</w:t>
            </w:r>
          </w:p>
        </w:tc>
        <w:tc>
          <w:tcPr>
            <w:tcW w:w="1080" w:type="dxa"/>
          </w:tcPr>
          <w:p w14:paraId="3CAA069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0.516</w:t>
            </w:r>
          </w:p>
        </w:tc>
        <w:tc>
          <w:tcPr>
            <w:tcW w:w="1080" w:type="dxa"/>
          </w:tcPr>
          <w:p w14:paraId="565260B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+4.72 (+0.19 to +9.25)</w:t>
            </w:r>
          </w:p>
        </w:tc>
        <w:tc>
          <w:tcPr>
            <w:tcW w:w="1080" w:type="dxa"/>
          </w:tcPr>
          <w:p w14:paraId="4EE2646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0.041</w:t>
            </w:r>
          </w:p>
        </w:tc>
        <w:tc>
          <w:tcPr>
            <w:tcW w:w="1080" w:type="dxa"/>
          </w:tcPr>
          <w:p w14:paraId="7C3DAC9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0.421</w:t>
            </w:r>
          </w:p>
        </w:tc>
        <w:tc>
          <w:tcPr>
            <w:tcW w:w="1080" w:type="dxa"/>
          </w:tcPr>
          <w:p w14:paraId="206D94C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1.33</w:t>
            </w:r>
          </w:p>
        </w:tc>
      </w:tr>
    </w:tbl>
    <w:p w14:paraId="51519D99">
      <w:pPr>
        <w:spacing w:after="80"/>
      </w:pPr>
    </w:p>
    <w:p w14:paraId="37193BDB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Reading.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Adding the Fourier control leaves the Zhihu coefficients essentially unchanged (level remains non-significant, slope remains negative), so the conclusions are not seasonal artefacts. Douyin's slope remains positive and significant under the Fourier control, consistent with its interpretation as a retrieval-instrument expansion rather than a policy effect.</w:t>
      </w:r>
    </w:p>
    <w:p w14:paraId="227C272A">
      <w:pPr>
        <w:spacing w:after="120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All figures recomputed on `data/clean/covid_corpus_paper.csv` with the same HAC settings as the S9 code (maxlags = 3, t-based).</w:t>
      </w:r>
    </w:p>
    <w:p w14:paraId="0A0CABAB">
      <w:r>
        <w:br w:type="page"/>
      </w:r>
    </w:p>
    <w:p w14:paraId="7260FFE2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S3. Full ITS coefficients for Zhihu and Douyin</w:t>
      </w:r>
    </w:p>
    <w:p w14:paraId="51218D2A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Complete level and slope coefficients, HAC standard errors, and FDR-adjusted q values.</w:t>
      </w:r>
    </w:p>
    <w:p w14:paraId="7CE8DBAC">
      <w:pPr>
        <w:spacing w:before="200" w:after="80"/>
      </w:pPr>
      <w:r>
        <w:rPr>
          <w:rFonts w:ascii="Times New Roman" w:hAnsi="Times New Roman" w:eastAsia="Times New Roman"/>
          <w:b/>
          <w:i w:val="0"/>
          <w:sz w:val="30"/>
        </w:rPr>
        <w:t>Supplementary File S3. Full ITS coefficient tables</w:t>
      </w:r>
    </w:p>
    <w:p w14:paraId="2A7C43C5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Purpose.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Full interrupted-time-series (ITS) coefficient tables for every platform fitted in the study, supporting manuscript Sections 2.3 and 3.3. Inference uses Newey–West HAC standard errors (maxlags = 3, t-based). DW = Durbin–Watson statistic. Eligible platforms (Zhihu, Douyin) enter the primary analysis; ineligible platforms are shown for transparency but are not used for inference.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845"/>
        <w:gridCol w:w="799"/>
        <w:gridCol w:w="846"/>
        <w:gridCol w:w="1053"/>
        <w:gridCol w:w="846"/>
        <w:gridCol w:w="873"/>
        <w:gridCol w:w="846"/>
        <w:gridCol w:w="786"/>
        <w:gridCol w:w="786"/>
      </w:tblGrid>
      <w:tr w14:paraId="1B33C6E2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shd w:val="clear" w:color="auto" w:fill="D9D9D9"/>
          </w:tcPr>
          <w:p w14:paraId="31CBDC6B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Platform</w:t>
            </w:r>
          </w:p>
        </w:tc>
        <w:tc>
          <w:tcPr>
            <w:tcW w:w="864" w:type="dxa"/>
            <w:shd w:val="clear" w:color="auto" w:fill="D9D9D9"/>
          </w:tcPr>
          <w:p w14:paraId="1AE33009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Eligible</w:t>
            </w:r>
          </w:p>
        </w:tc>
        <w:tc>
          <w:tcPr>
            <w:tcW w:w="864" w:type="dxa"/>
            <w:shd w:val="clear" w:color="auto" w:fill="D9D9D9"/>
          </w:tcPr>
          <w:p w14:paraId="347D60C5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N posts</w:t>
            </w:r>
          </w:p>
        </w:tc>
        <w:tc>
          <w:tcPr>
            <w:tcW w:w="864" w:type="dxa"/>
            <w:shd w:val="clear" w:color="auto" w:fill="D9D9D9"/>
          </w:tcPr>
          <w:p w14:paraId="6C171A4C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Months</w:t>
            </w:r>
          </w:p>
        </w:tc>
        <w:tc>
          <w:tcPr>
            <w:tcW w:w="864" w:type="dxa"/>
            <w:shd w:val="clear" w:color="auto" w:fill="D9D9D9"/>
          </w:tcPr>
          <w:p w14:paraId="4B81BFCF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Level Δ (95% CI)</w:t>
            </w:r>
          </w:p>
        </w:tc>
        <w:tc>
          <w:tcPr>
            <w:tcW w:w="864" w:type="dxa"/>
            <w:shd w:val="clear" w:color="auto" w:fill="D9D9D9"/>
          </w:tcPr>
          <w:p w14:paraId="1F5E7BC0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p_HAC</w:t>
            </w:r>
          </w:p>
        </w:tc>
        <w:tc>
          <w:tcPr>
            <w:tcW w:w="864" w:type="dxa"/>
            <w:shd w:val="clear" w:color="auto" w:fill="D9D9D9"/>
          </w:tcPr>
          <w:p w14:paraId="081938E4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Slope Δ (95% CI)</w:t>
            </w:r>
          </w:p>
        </w:tc>
        <w:tc>
          <w:tcPr>
            <w:tcW w:w="864" w:type="dxa"/>
            <w:shd w:val="clear" w:color="auto" w:fill="D9D9D9"/>
          </w:tcPr>
          <w:p w14:paraId="0AC03F3E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p_HAC</w:t>
            </w:r>
          </w:p>
        </w:tc>
        <w:tc>
          <w:tcPr>
            <w:tcW w:w="864" w:type="dxa"/>
            <w:shd w:val="clear" w:color="auto" w:fill="D9D9D9"/>
          </w:tcPr>
          <w:p w14:paraId="2BEAB50F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R²</w:t>
            </w:r>
          </w:p>
        </w:tc>
        <w:tc>
          <w:tcPr>
            <w:tcW w:w="864" w:type="dxa"/>
            <w:shd w:val="clear" w:color="auto" w:fill="D9D9D9"/>
          </w:tcPr>
          <w:p w14:paraId="10392E5F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DW</w:t>
            </w:r>
          </w:p>
        </w:tc>
      </w:tr>
      <w:tr w14:paraId="4FA74BBB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328D946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4C4E24B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57642CC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20D6B25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2736907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019BFEB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7CD5F88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7C00C03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27CFB66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864" w:type="dxa"/>
          </w:tcPr>
          <w:p w14:paraId="7826775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7ADD99B0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3266793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Zhihu</w:t>
            </w:r>
          </w:p>
        </w:tc>
        <w:tc>
          <w:tcPr>
            <w:tcW w:w="864" w:type="dxa"/>
          </w:tcPr>
          <w:p w14:paraId="3A523DA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True</w:t>
            </w:r>
          </w:p>
        </w:tc>
        <w:tc>
          <w:tcPr>
            <w:tcW w:w="864" w:type="dxa"/>
          </w:tcPr>
          <w:p w14:paraId="59B07EA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2827</w:t>
            </w:r>
          </w:p>
        </w:tc>
        <w:tc>
          <w:tcPr>
            <w:tcW w:w="864" w:type="dxa"/>
          </w:tcPr>
          <w:p w14:paraId="599399D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81</w:t>
            </w:r>
          </w:p>
        </w:tc>
        <w:tc>
          <w:tcPr>
            <w:tcW w:w="864" w:type="dxa"/>
          </w:tcPr>
          <w:p w14:paraId="582BBE3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+65.54 (-2.93 to +134.02)</w:t>
            </w:r>
          </w:p>
        </w:tc>
        <w:tc>
          <w:tcPr>
            <w:tcW w:w="864" w:type="dxa"/>
          </w:tcPr>
          <w:p w14:paraId="4CD8061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0.064</w:t>
            </w:r>
          </w:p>
        </w:tc>
        <w:tc>
          <w:tcPr>
            <w:tcW w:w="864" w:type="dxa"/>
          </w:tcPr>
          <w:p w14:paraId="698062C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-2.62 (-5.07 to -0.17)</w:t>
            </w:r>
          </w:p>
        </w:tc>
        <w:tc>
          <w:tcPr>
            <w:tcW w:w="864" w:type="dxa"/>
          </w:tcPr>
          <w:p w14:paraId="1F0AC9D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0.039</w:t>
            </w:r>
          </w:p>
        </w:tc>
        <w:tc>
          <w:tcPr>
            <w:tcW w:w="864" w:type="dxa"/>
          </w:tcPr>
          <w:p w14:paraId="48D24B7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0.206</w:t>
            </w:r>
          </w:p>
        </w:tc>
        <w:tc>
          <w:tcPr>
            <w:tcW w:w="864" w:type="dxa"/>
          </w:tcPr>
          <w:p w14:paraId="31C32BC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1.616</w:t>
            </w:r>
          </w:p>
        </w:tc>
      </w:tr>
      <w:tr w14:paraId="16C64F01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2FDC7E7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Douyin</w:t>
            </w:r>
          </w:p>
        </w:tc>
        <w:tc>
          <w:tcPr>
            <w:tcW w:w="864" w:type="dxa"/>
          </w:tcPr>
          <w:p w14:paraId="0512E13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True</w:t>
            </w:r>
          </w:p>
        </w:tc>
        <w:tc>
          <w:tcPr>
            <w:tcW w:w="864" w:type="dxa"/>
          </w:tcPr>
          <w:p w14:paraId="2FEA835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5946</w:t>
            </w:r>
          </w:p>
        </w:tc>
        <w:tc>
          <w:tcPr>
            <w:tcW w:w="864" w:type="dxa"/>
          </w:tcPr>
          <w:p w14:paraId="04138AB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79</w:t>
            </w:r>
          </w:p>
        </w:tc>
        <w:tc>
          <w:tcPr>
            <w:tcW w:w="864" w:type="dxa"/>
          </w:tcPr>
          <w:p w14:paraId="7F92A8D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+29.96 (-55.47 to +115.38)</w:t>
            </w:r>
          </w:p>
        </w:tc>
        <w:tc>
          <w:tcPr>
            <w:tcW w:w="864" w:type="dxa"/>
          </w:tcPr>
          <w:p w14:paraId="439767B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0.494</w:t>
            </w:r>
          </w:p>
        </w:tc>
        <w:tc>
          <w:tcPr>
            <w:tcW w:w="864" w:type="dxa"/>
          </w:tcPr>
          <w:p w14:paraId="6C695DF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+4.78 (+0.48 to +9.09)</w:t>
            </w:r>
          </w:p>
        </w:tc>
        <w:tc>
          <w:tcPr>
            <w:tcW w:w="864" w:type="dxa"/>
          </w:tcPr>
          <w:p w14:paraId="5AAC3C5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0.032</w:t>
            </w:r>
          </w:p>
        </w:tc>
        <w:tc>
          <w:tcPr>
            <w:tcW w:w="864" w:type="dxa"/>
          </w:tcPr>
          <w:p w14:paraId="52305DF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0.416</w:t>
            </w:r>
          </w:p>
        </w:tc>
        <w:tc>
          <w:tcPr>
            <w:tcW w:w="864" w:type="dxa"/>
          </w:tcPr>
          <w:p w14:paraId="14FCE0E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1.328</w:t>
            </w:r>
          </w:p>
        </w:tc>
      </w:tr>
      <w:tr w14:paraId="6B48FD5F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0BDF76C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Weibo</w:t>
            </w:r>
          </w:p>
        </w:tc>
        <w:tc>
          <w:tcPr>
            <w:tcW w:w="864" w:type="dxa"/>
          </w:tcPr>
          <w:p w14:paraId="45C738B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False</w:t>
            </w:r>
          </w:p>
        </w:tc>
        <w:tc>
          <w:tcPr>
            <w:tcW w:w="864" w:type="dxa"/>
          </w:tcPr>
          <w:p w14:paraId="2292F0F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44626</w:t>
            </w:r>
          </w:p>
        </w:tc>
        <w:tc>
          <w:tcPr>
            <w:tcW w:w="864" w:type="dxa"/>
          </w:tcPr>
          <w:p w14:paraId="205E39C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79</w:t>
            </w:r>
          </w:p>
        </w:tc>
        <w:tc>
          <w:tcPr>
            <w:tcW w:w="864" w:type="dxa"/>
          </w:tcPr>
          <w:p w14:paraId="17869E0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+3787.25 (-2947.64 to +10522.14)</w:t>
            </w:r>
          </w:p>
        </w:tc>
        <w:tc>
          <w:tcPr>
            <w:tcW w:w="864" w:type="dxa"/>
          </w:tcPr>
          <w:p w14:paraId="3C646F0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0.274</w:t>
            </w:r>
          </w:p>
        </w:tc>
        <w:tc>
          <w:tcPr>
            <w:tcW w:w="864" w:type="dxa"/>
          </w:tcPr>
          <w:p w14:paraId="0983AB7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-127.03 (-353.55 to +99.49)</w:t>
            </w:r>
          </w:p>
        </w:tc>
        <w:tc>
          <w:tcPr>
            <w:tcW w:w="864" w:type="dxa"/>
          </w:tcPr>
          <w:p w14:paraId="06D624B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0.275</w:t>
            </w:r>
          </w:p>
        </w:tc>
        <w:tc>
          <w:tcPr>
            <w:tcW w:w="864" w:type="dxa"/>
          </w:tcPr>
          <w:p w14:paraId="60BA36D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0.073</w:t>
            </w:r>
          </w:p>
        </w:tc>
        <w:tc>
          <w:tcPr>
            <w:tcW w:w="864" w:type="dxa"/>
          </w:tcPr>
          <w:p w14:paraId="698D082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2.001</w:t>
            </w:r>
          </w:p>
        </w:tc>
      </w:tr>
      <w:tr w14:paraId="2AC4C539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74325A0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Bilibili</w:t>
            </w:r>
          </w:p>
        </w:tc>
        <w:tc>
          <w:tcPr>
            <w:tcW w:w="864" w:type="dxa"/>
          </w:tcPr>
          <w:p w14:paraId="5309F43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False</w:t>
            </w:r>
          </w:p>
        </w:tc>
        <w:tc>
          <w:tcPr>
            <w:tcW w:w="864" w:type="dxa"/>
          </w:tcPr>
          <w:p w14:paraId="6F3F1B1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5202</w:t>
            </w:r>
          </w:p>
        </w:tc>
        <w:tc>
          <w:tcPr>
            <w:tcW w:w="864" w:type="dxa"/>
          </w:tcPr>
          <w:p w14:paraId="4AC1415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85</w:t>
            </w:r>
          </w:p>
        </w:tc>
        <w:tc>
          <w:tcPr>
            <w:tcW w:w="864" w:type="dxa"/>
          </w:tcPr>
          <w:p w14:paraId="08DAA80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-112.09 (-224.82 to +0.63)</w:t>
            </w:r>
          </w:p>
        </w:tc>
        <w:tc>
          <w:tcPr>
            <w:tcW w:w="864" w:type="dxa"/>
          </w:tcPr>
          <w:p w14:paraId="7692EAE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0.055</w:t>
            </w:r>
          </w:p>
        </w:tc>
        <w:tc>
          <w:tcPr>
            <w:tcW w:w="864" w:type="dxa"/>
          </w:tcPr>
          <w:p w14:paraId="27DE32B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+10.06 (+2.89 to +17.23)</w:t>
            </w:r>
          </w:p>
        </w:tc>
        <w:tc>
          <w:tcPr>
            <w:tcW w:w="864" w:type="dxa"/>
          </w:tcPr>
          <w:p w14:paraId="7A992C1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0.007</w:t>
            </w:r>
          </w:p>
        </w:tc>
        <w:tc>
          <w:tcPr>
            <w:tcW w:w="864" w:type="dxa"/>
          </w:tcPr>
          <w:p w14:paraId="4F07FDB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0.166</w:t>
            </w:r>
          </w:p>
        </w:tc>
        <w:tc>
          <w:tcPr>
            <w:tcW w:w="864" w:type="dxa"/>
          </w:tcPr>
          <w:p w14:paraId="0D53F1F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1.654</w:t>
            </w:r>
          </w:p>
        </w:tc>
      </w:tr>
      <w:tr w14:paraId="3BF959AE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126ADB5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Xiaohongshu</w:t>
            </w:r>
          </w:p>
        </w:tc>
        <w:tc>
          <w:tcPr>
            <w:tcW w:w="864" w:type="dxa"/>
          </w:tcPr>
          <w:p w14:paraId="5E56F07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False</w:t>
            </w:r>
          </w:p>
        </w:tc>
        <w:tc>
          <w:tcPr>
            <w:tcW w:w="864" w:type="dxa"/>
          </w:tcPr>
          <w:p w14:paraId="77C377F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149</w:t>
            </w:r>
          </w:p>
        </w:tc>
        <w:tc>
          <w:tcPr>
            <w:tcW w:w="864" w:type="dxa"/>
          </w:tcPr>
          <w:p w14:paraId="3433161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44</w:t>
            </w:r>
          </w:p>
        </w:tc>
        <w:tc>
          <w:tcPr>
            <w:tcW w:w="864" w:type="dxa"/>
          </w:tcPr>
          <w:p w14:paraId="7B293C7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w="864" w:type="dxa"/>
          </w:tcPr>
          <w:p w14:paraId="11CDA97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w="864" w:type="dxa"/>
          </w:tcPr>
          <w:p w14:paraId="01B4B5D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w="864" w:type="dxa"/>
          </w:tcPr>
          <w:p w14:paraId="73A94AF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w="864" w:type="dxa"/>
          </w:tcPr>
          <w:p w14:paraId="04A544C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w="864" w:type="dxa"/>
          </w:tcPr>
          <w:p w14:paraId="6622B28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—</w:t>
            </w:r>
          </w:p>
        </w:tc>
      </w:tr>
      <w:tr w14:paraId="57C371C1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155A105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Pooled (eligible only)</w:t>
            </w:r>
          </w:p>
        </w:tc>
        <w:tc>
          <w:tcPr>
            <w:tcW w:w="864" w:type="dxa"/>
          </w:tcPr>
          <w:p w14:paraId="5C65146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True</w:t>
            </w:r>
          </w:p>
        </w:tc>
        <w:tc>
          <w:tcPr>
            <w:tcW w:w="864" w:type="dxa"/>
          </w:tcPr>
          <w:p w14:paraId="46A8F6C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8773</w:t>
            </w:r>
          </w:p>
        </w:tc>
        <w:tc>
          <w:tcPr>
            <w:tcW w:w="864" w:type="dxa"/>
          </w:tcPr>
          <w:p w14:paraId="2DAB96A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81</w:t>
            </w:r>
          </w:p>
        </w:tc>
        <w:tc>
          <w:tcPr>
            <w:tcW w:w="864" w:type="dxa"/>
          </w:tcPr>
          <w:p w14:paraId="08553FE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+94.76 (-52.23 to +241.76)</w:t>
            </w:r>
          </w:p>
        </w:tc>
        <w:tc>
          <w:tcPr>
            <w:tcW w:w="864" w:type="dxa"/>
          </w:tcPr>
          <w:p w14:paraId="38C8976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0.210</w:t>
            </w:r>
          </w:p>
        </w:tc>
        <w:tc>
          <w:tcPr>
            <w:tcW w:w="864" w:type="dxa"/>
          </w:tcPr>
          <w:p w14:paraId="24C2823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+2.10 (-4.28 to +8.49)</w:t>
            </w:r>
          </w:p>
        </w:tc>
        <w:tc>
          <w:tcPr>
            <w:tcW w:w="864" w:type="dxa"/>
          </w:tcPr>
          <w:p w14:paraId="28A13A5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0.521</w:t>
            </w:r>
          </w:p>
        </w:tc>
        <w:tc>
          <w:tcPr>
            <w:tcW w:w="864" w:type="dxa"/>
          </w:tcPr>
          <w:p w14:paraId="48250C4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0.281</w:t>
            </w:r>
          </w:p>
        </w:tc>
        <w:tc>
          <w:tcPr>
            <w:tcW w:w="864" w:type="dxa"/>
          </w:tcPr>
          <w:p w14:paraId="32EF800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1.331</w:t>
            </w:r>
          </w:p>
        </w:tc>
      </w:tr>
      <w:tr w14:paraId="46A61B7F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4325769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Pooled (excl. Weibo)</w:t>
            </w:r>
          </w:p>
        </w:tc>
        <w:tc>
          <w:tcPr>
            <w:tcW w:w="864" w:type="dxa"/>
          </w:tcPr>
          <w:p w14:paraId="1BB4AA3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True</w:t>
            </w:r>
          </w:p>
        </w:tc>
        <w:tc>
          <w:tcPr>
            <w:tcW w:w="864" w:type="dxa"/>
          </w:tcPr>
          <w:p w14:paraId="23931B5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14124</w:t>
            </w:r>
          </w:p>
        </w:tc>
        <w:tc>
          <w:tcPr>
            <w:tcW w:w="864" w:type="dxa"/>
          </w:tcPr>
          <w:p w14:paraId="39295C9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85</w:t>
            </w:r>
          </w:p>
        </w:tc>
        <w:tc>
          <w:tcPr>
            <w:tcW w:w="864" w:type="dxa"/>
          </w:tcPr>
          <w:p w14:paraId="4B3C6CC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-25.56 (-264.25 to +213.13)</w:t>
            </w:r>
          </w:p>
        </w:tc>
        <w:tc>
          <w:tcPr>
            <w:tcW w:w="864" w:type="dxa"/>
          </w:tcPr>
          <w:p w14:paraId="2FDCA13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0.834</w:t>
            </w:r>
          </w:p>
        </w:tc>
        <w:tc>
          <w:tcPr>
            <w:tcW w:w="864" w:type="dxa"/>
          </w:tcPr>
          <w:p w14:paraId="577A321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+12.32 (-0.20 to +24.83)</w:t>
            </w:r>
          </w:p>
        </w:tc>
        <w:tc>
          <w:tcPr>
            <w:tcW w:w="864" w:type="dxa"/>
          </w:tcPr>
          <w:p w14:paraId="230D296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0.057</w:t>
            </w:r>
          </w:p>
        </w:tc>
        <w:tc>
          <w:tcPr>
            <w:tcW w:w="864" w:type="dxa"/>
          </w:tcPr>
          <w:p w14:paraId="58632AA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0.242</w:t>
            </w:r>
          </w:p>
        </w:tc>
        <w:tc>
          <w:tcPr>
            <w:tcW w:w="864" w:type="dxa"/>
          </w:tcPr>
          <w:p w14:paraId="653D16B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1.256</w:t>
            </w:r>
          </w:p>
        </w:tc>
      </w:tr>
      <w:tr w14:paraId="790121E1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54A49F8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Pooled (all five)</w:t>
            </w:r>
          </w:p>
        </w:tc>
        <w:tc>
          <w:tcPr>
            <w:tcW w:w="864" w:type="dxa"/>
          </w:tcPr>
          <w:p w14:paraId="56C3B7D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True</w:t>
            </w:r>
          </w:p>
        </w:tc>
        <w:tc>
          <w:tcPr>
            <w:tcW w:w="864" w:type="dxa"/>
          </w:tcPr>
          <w:p w14:paraId="569E36C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58750</w:t>
            </w:r>
          </w:p>
        </w:tc>
        <w:tc>
          <w:tcPr>
            <w:tcW w:w="864" w:type="dxa"/>
          </w:tcPr>
          <w:p w14:paraId="0AD6887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85</w:t>
            </w:r>
          </w:p>
        </w:tc>
        <w:tc>
          <w:tcPr>
            <w:tcW w:w="864" w:type="dxa"/>
          </w:tcPr>
          <w:p w14:paraId="13CD8D2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+3761.50 (-3064.97 to +10587.97)</w:t>
            </w:r>
          </w:p>
        </w:tc>
        <w:tc>
          <w:tcPr>
            <w:tcW w:w="864" w:type="dxa"/>
          </w:tcPr>
          <w:p w14:paraId="2283FE3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0.283</w:t>
            </w:r>
          </w:p>
        </w:tc>
        <w:tc>
          <w:tcPr>
            <w:tcW w:w="864" w:type="dxa"/>
          </w:tcPr>
          <w:p w14:paraId="09614CE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-114.73 (-345.21 to +115.75)</w:t>
            </w:r>
          </w:p>
        </w:tc>
        <w:tc>
          <w:tcPr>
            <w:tcW w:w="864" w:type="dxa"/>
          </w:tcPr>
          <w:p w14:paraId="7CFC228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0.332</w:t>
            </w:r>
          </w:p>
        </w:tc>
        <w:tc>
          <w:tcPr>
            <w:tcW w:w="864" w:type="dxa"/>
          </w:tcPr>
          <w:p w14:paraId="498CADD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0.068</w:t>
            </w:r>
          </w:p>
        </w:tc>
        <w:tc>
          <w:tcPr>
            <w:tcW w:w="864" w:type="dxa"/>
          </w:tcPr>
          <w:p w14:paraId="594F3FA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1.961</w:t>
            </w:r>
          </w:p>
        </w:tc>
      </w:tr>
    </w:tbl>
    <w:p w14:paraId="11FE4E71">
      <w:pPr>
        <w:spacing w:after="80"/>
      </w:pPr>
    </w:p>
    <w:p w14:paraId="5ECD2ED2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Primary family (manuscript Section 2.4).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Only Zhihu is both coverage-eligible and inferentially identified, so the m = 2 primary FDR family is Zhihu level + slope. Douyin is coverage-eligible but its breakpoint-density selection makes its coefficients non-identifiable (manuscript Section 3.3, S6), so it is excluded from the primary family. Under HAC (maxlags = 3, t-based) no coefficient in the primary family survives BH correction (smallest q = 0.064).</w:t>
      </w:r>
    </w:p>
    <w:p w14:paraId="00C11229">
      <w:pPr>
        <w:spacing w:after="120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Source: `analysis/out_its_by_platform.json` (S9 code).</w:t>
      </w:r>
    </w:p>
    <w:p w14:paraId="35DBB9FD">
      <w:r>
        <w:br w:type="page"/>
      </w:r>
    </w:p>
    <w:p w14:paraId="5C62F4AE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S4. Sentiment-field inter-rater agreement (kappa)</w:t>
      </w:r>
    </w:p>
    <w:p w14:paraId="555B5840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Two-rater coding of 200 posts; kappa reported with its 95% CI.</w:t>
      </w:r>
    </w:p>
    <w:p w14:paraId="0BAB9ECE">
      <w:pPr>
        <w:spacing w:before="200" w:after="80"/>
      </w:pPr>
      <w:r>
        <w:rPr>
          <w:rFonts w:ascii="Times New Roman" w:hAnsi="Times New Roman" w:eastAsia="Times New Roman"/>
          <w:b/>
          <w:i w:val="0"/>
          <w:sz w:val="30"/>
        </w:rPr>
        <w:t>Supplementary File S4. Sentiment agreement matrices</w:t>
      </w:r>
    </w:p>
    <w:p w14:paraId="412C7E59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Purpose.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Reports the reliability of the sentiment field used as a measurement caveat in manuscript Section 2.5. The sentiment score is the output of `paper_analysis.py` (SnowNLP with a lexicon override) and is </w:t>
      </w:r>
      <w:r>
        <w:rPr>
          <w:rFonts w:ascii="Times New Roman" w:hAnsi="Times New Roman" w:eastAsia="Times New Roman"/>
          <w:b/>
          <w:i w:val="0"/>
          <w:sz w:val="22"/>
        </w:rPr>
        <w:t>not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a validated instrument; this file quantifies its disagreement with an independent lexicon.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5DAEE2B8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shd w:val="clear" w:color="auto" w:fill="D9D9D9"/>
          </w:tcPr>
          <w:p w14:paraId="03230E23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Comparison</w:t>
            </w:r>
          </w:p>
        </w:tc>
        <w:tc>
          <w:tcPr>
            <w:tcW w:w="2160" w:type="dxa"/>
            <w:shd w:val="clear" w:color="auto" w:fill="D9D9D9"/>
          </w:tcPr>
          <w:p w14:paraId="25A18167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Cohen κ</w:t>
            </w:r>
          </w:p>
        </w:tc>
        <w:tc>
          <w:tcPr>
            <w:tcW w:w="2160" w:type="dxa"/>
            <w:shd w:val="clear" w:color="auto" w:fill="D9D9D9"/>
          </w:tcPr>
          <w:p w14:paraId="65A6BDA4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n</w:t>
            </w:r>
          </w:p>
        </w:tc>
        <w:tc>
          <w:tcPr>
            <w:tcW w:w="2160" w:type="dxa"/>
            <w:shd w:val="clear" w:color="auto" w:fill="D9D9D9"/>
          </w:tcPr>
          <w:p w14:paraId="2B9D17F4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Interpretation</w:t>
            </w:r>
          </w:p>
        </w:tc>
      </w:tr>
      <w:tr w14:paraId="0B4AB7C7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709911B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1492CDC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0808E08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593582C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46EDB990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22F6A80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Automated tagger vs independent lexicon</w:t>
            </w:r>
          </w:p>
        </w:tc>
        <w:tc>
          <w:tcPr>
            <w:tcW w:w="2160" w:type="dxa"/>
          </w:tcPr>
          <w:p w14:paraId="5B2AD7B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0.1198</w:t>
            </w:r>
          </w:p>
        </w:tc>
        <w:tc>
          <w:tcPr>
            <w:tcW w:w="2160" w:type="dxa"/>
          </w:tcPr>
          <w:p w14:paraId="7B75A65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1,000</w:t>
            </w:r>
          </w:p>
        </w:tc>
        <w:tc>
          <w:tcPr>
            <w:tcW w:w="2160" w:type="dxa"/>
          </w:tcPr>
          <w:p w14:paraId="6F709BE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Far below the 0.6–0.8 range expected of validated Chinese-language sentiment instruments</w:t>
            </w:r>
          </w:p>
        </w:tc>
      </w:tr>
      <w:tr w14:paraId="31FF4F23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59EE782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Rule-proxy confusion-matrix recomputation</w:t>
            </w:r>
          </w:p>
        </w:tc>
        <w:tc>
          <w:tcPr>
            <w:tcW w:w="2160" w:type="dxa"/>
          </w:tcPr>
          <w:p w14:paraId="7BA4532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0.154</w:t>
            </w:r>
          </w:p>
        </w:tc>
        <w:tc>
          <w:tcPr>
            <w:tcW w:w="2160" w:type="dxa"/>
          </w:tcPr>
          <w:p w14:paraId="63A8AD6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778</w:t>
            </w:r>
          </w:p>
        </w:tc>
        <w:tc>
          <w:tcPr>
            <w:tcW w:w="2160" w:type="dxa"/>
          </w:tcPr>
          <w:p w14:paraId="4C094B4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Slightly higher but still low</w:t>
            </w:r>
          </w:p>
        </w:tc>
      </w:tr>
    </w:tbl>
    <w:p w14:paraId="14C21AAF">
      <w:pPr>
        <w:spacing w:after="80"/>
      </w:pPr>
    </w:p>
    <w:p w14:paraId="74897FAB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Per-platform κ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(automated tagger vs independent lexicon): Zhihu 0.072 (lowest) to Xiaohongshu 0.224 (highest). All values fall far below the 0.6–0.8 range expected of validated Chinese-language sentiment instruments [10].</w:t>
      </w:r>
    </w:p>
    <w:p w14:paraId="636FC582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Method note.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The lexicon override forces 27.5% of posts into the two extreme polarity intervals (≤0.35 or ≥0.75); 89.1% of all sentiment values sit in those intervals and 11.5% (6,760 posts) exceed 1.0 (reaching 1.25), contradicting the stated 0–1 scale. Because agreement is low, </w:t>
      </w:r>
      <w:r>
        <w:rPr>
          <w:rFonts w:ascii="Times New Roman" w:hAnsi="Times New Roman" w:eastAsia="Times New Roman"/>
          <w:b/>
          <w:i w:val="0"/>
          <w:sz w:val="22"/>
        </w:rPr>
        <w:t>no human double-coding was performed</w:t>
      </w:r>
      <w:r>
        <w:rPr>
          <w:rFonts w:ascii="Times New Roman" w:hAnsi="Times New Roman" w:eastAsia="Times New Roman"/>
          <w:b w:val="0"/>
          <w:i w:val="0"/>
          <w:sz w:val="22"/>
        </w:rPr>
        <w:t>, and the sentiment variable enters no inferential conclusion. It is reported only as a cautionary measurement example of instrument-phase entanglement.</w:t>
      </w:r>
    </w:p>
    <w:p w14:paraId="05175F94">
      <w:pPr>
        <w:spacing w:after="120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Numbers transcribed from manuscript Section 2.5; the κ values are reproduced from the project's sentiment-validation output (`analysis/senti_validation.py`).</w:t>
      </w:r>
    </w:p>
    <w:p w14:paraId="5BFC20AA">
      <w:r>
        <w:br w:type="page"/>
      </w:r>
    </w:p>
    <w:p w14:paraId="48292158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S5. P9 miscapture flagging rules</w:t>
      </w:r>
    </w:p>
    <w:p w14:paraId="23F21ABB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Regular-expression rules that flag the 42 non-COVID P9 miscaptured posts.</w:t>
      </w:r>
    </w:p>
    <w:p w14:paraId="1A8DEDB7">
      <w:pPr>
        <w:spacing w:before="200" w:after="80"/>
      </w:pPr>
      <w:r>
        <w:rPr>
          <w:rFonts w:ascii="Times New Roman" w:hAnsi="Times New Roman" w:eastAsia="Times New Roman"/>
          <w:b/>
          <w:i w:val="0"/>
          <w:sz w:val="30"/>
        </w:rPr>
        <w:t>Supplementary File S5. P9 miscapture flagging rules</w:t>
      </w:r>
    </w:p>
    <w:p w14:paraId="6C111576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Purpose.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Documents the transparent, non-destructive flagging rules applied to the 2025–2026 window (P9) in manuscript Section 2.6 and 3.4. Flagged posts are </w:t>
      </w:r>
      <w:r>
        <w:rPr>
          <w:rFonts w:ascii="Times New Roman" w:hAnsi="Times New Roman" w:eastAsia="Times New Roman"/>
          <w:b/>
          <w:i w:val="0"/>
          <w:sz w:val="22"/>
        </w:rPr>
        <w:t>labeled, not silently deleted</w:t>
      </w:r>
      <w:r>
        <w:rPr>
          <w:rFonts w:ascii="Times New Roman" w:hAnsi="Times New Roman" w:eastAsia="Times New Roman"/>
          <w:b w:val="0"/>
          <w:i w:val="0"/>
          <w:sz w:val="22"/>
        </w:rPr>
        <w:t>, and retained in the analysis-ready file with a `p9_flag` column (`data/clean/covid_corpus_paper_p9flag.csv`).</w:t>
      </w:r>
    </w:p>
    <w:p w14:paraId="56E93DF2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S5.1 Regular-expression rules (Python, `analysis/clean_p9_miscaptures.py`)</w:t>
      </w:r>
    </w:p>
    <w:p w14:paraId="11E42874">
      <w:pPr>
        <w:shd w:val="clear" w:color="auto" w:fill="F2F2F2"/>
        <w:spacing w:before="80" w:after="120"/>
        <w:ind w:left="216"/>
      </w:pPr>
      <w:r>
        <w:rPr>
          <w:rFonts w:ascii="Consolas" w:hAnsi="Consolas" w:eastAsia="Consolas"/>
          <w:b w:val="0"/>
          <w:i w:val="0"/>
          <w:sz w:val="18"/>
        </w:rPr>
        <w:t># P9 miscapture flagging — regular-expression rules.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Chinese literals are the ACTUAL keywords matched in the Chinese posts;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English glosses are provided below each line for readability.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Game fan-fiction (Fate/Grand Order) miscapture.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GAME = re.compile(r'(fgo|fate|呆毛|从者|英灵|御主|迦勒底|型月|月姬|魔法使|感染第\d+章)', re.I)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fgo/fate = game titles; 呆毛 = ahoge (hair antenna); 从者 = servant;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英灵 = heroic spirit; 御主 = master; 迦勒底 = Chaldea; 型月 = Type-Moon;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月姬 = Tsukihime; 魔法使 = magician; 感染第N章 = "infected, chapter N"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Testing-agency / medical-test advertisements.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AD   = re.compile(r'(DNA和RNA联合检测|医学检测中心|核酸检测机构|基因联合检测|检测费用说明|机构总汇)')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DNA和RNA联合检测 = DNA+RNA combined testing; 医学检测中心 = medical testing center;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核酸检测机构 = nucleic-acid testing agency; 基因联合检测 = gene combined testing;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检测费用说明 = testing-fee notice; 机构总汇 = agency directory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Owners'-committee / property complaint letters.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CMPL = re.compile(r'(业委会|业主大会|物业.{0,6}举报|实名举报信|违规违法选举)')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业委会 = owners' committee; 业主大会 = owners' meeting; 物业 = property (management);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举报 = report / complaint; 实名举报信 = signed real-name complaint letter;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违规违法选举 = illegal / violation election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Unverified variant claims.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VAR  = re.compile(r'(哑巴毒株|2026新型毒株|2026新[型形]病毒)')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哑巴毒株 = "mute strain"; 2026新型毒株 = "2026 new strain";</w:t>
      </w:r>
      <w:r>
        <w:rPr>
          <w:rFonts w:ascii="Consolas" w:hAnsi="Consolas" w:eastAsia="Consolas"/>
          <w:b w:val="0"/>
          <w:i w:val="0"/>
          <w:sz w:val="18"/>
        </w:rPr>
        <w:br w:type="textWrapping"/>
      </w:r>
      <w:r>
        <w:rPr>
          <w:rFonts w:ascii="Consolas" w:hAnsi="Consolas" w:eastAsia="Consolas"/>
          <w:b w:val="0"/>
          <w:i w:val="0"/>
          <w:sz w:val="18"/>
        </w:rPr>
        <w:t>#   2026新[型形]病毒 = "2026 new virus" ([型/形] matches either character)</w:t>
      </w:r>
    </w:p>
    <w:p w14:paraId="1041CAFF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Each post is assigned at most one flag: `offtopic_game`, `offtopic_ad`, `offtopic_complaint`, or `unverified_variant`.</w:t>
      </w:r>
    </w:p>
    <w:p w14:paraId="0AD772F4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S5.2 Flagged counts (P9 window, n = 6,617)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1F9A4576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shd w:val="clear" w:color="auto" w:fill="D9D9D9"/>
          </w:tcPr>
          <w:p w14:paraId="549163A4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Flag</w:t>
            </w:r>
          </w:p>
        </w:tc>
        <w:tc>
          <w:tcPr>
            <w:tcW w:w="2160" w:type="dxa"/>
            <w:shd w:val="clear" w:color="auto" w:fill="D9D9D9"/>
          </w:tcPr>
          <w:p w14:paraId="4F393845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Meaning</w:t>
            </w:r>
          </w:p>
        </w:tc>
        <w:tc>
          <w:tcPr>
            <w:tcW w:w="2160" w:type="dxa"/>
            <w:shd w:val="clear" w:color="auto" w:fill="D9D9D9"/>
          </w:tcPr>
          <w:p w14:paraId="75FD388F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Count</w:t>
            </w:r>
          </w:p>
        </w:tc>
        <w:tc>
          <w:tcPr>
            <w:tcW w:w="2160" w:type="dxa"/>
            <w:shd w:val="clear" w:color="auto" w:fill="D9D9D9"/>
          </w:tcPr>
          <w:p w14:paraId="2774220E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Share of P9</w:t>
            </w:r>
          </w:p>
        </w:tc>
      </w:tr>
      <w:tr w14:paraId="0CFE9AED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2AC4C15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6F95B8D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65EA99A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0D4CB78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2C9A88F2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2B19205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offtopic_game</w:t>
            </w:r>
          </w:p>
        </w:tc>
        <w:tc>
          <w:tcPr>
            <w:tcW w:w="2160" w:type="dxa"/>
          </w:tcPr>
          <w:p w14:paraId="10A947A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Game fan-fiction miscapture (FGO, etc.)</w:t>
            </w:r>
          </w:p>
        </w:tc>
        <w:tc>
          <w:tcPr>
            <w:tcW w:w="2160" w:type="dxa"/>
          </w:tcPr>
          <w:p w14:paraId="20797AC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</w:t>
            </w:r>
          </w:p>
        </w:tc>
        <w:tc>
          <w:tcPr>
            <w:tcW w:w="2160" w:type="dxa"/>
          </w:tcPr>
          <w:p w14:paraId="7B55A6A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0.05%</w:t>
            </w:r>
          </w:p>
        </w:tc>
      </w:tr>
      <w:tr w14:paraId="658706D3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2E028C3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offtopic_ad</w:t>
            </w:r>
          </w:p>
        </w:tc>
        <w:tc>
          <w:tcPr>
            <w:tcW w:w="2160" w:type="dxa"/>
          </w:tcPr>
          <w:p w14:paraId="1C74C1C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Testing-agency advertisements</w:t>
            </w:r>
          </w:p>
        </w:tc>
        <w:tc>
          <w:tcPr>
            <w:tcW w:w="2160" w:type="dxa"/>
          </w:tcPr>
          <w:p w14:paraId="4BA86BA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19</w:t>
            </w:r>
          </w:p>
        </w:tc>
        <w:tc>
          <w:tcPr>
            <w:tcW w:w="2160" w:type="dxa"/>
          </w:tcPr>
          <w:p w14:paraId="56B6BC0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0.29%</w:t>
            </w:r>
          </w:p>
        </w:tc>
      </w:tr>
      <w:tr w14:paraId="1AB11F46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08F69B8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offtopic_complaint</w:t>
            </w:r>
          </w:p>
        </w:tc>
        <w:tc>
          <w:tcPr>
            <w:tcW w:w="2160" w:type="dxa"/>
          </w:tcPr>
          <w:p w14:paraId="0FFD496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Owners'-committee / property complaint letters</w:t>
            </w:r>
          </w:p>
        </w:tc>
        <w:tc>
          <w:tcPr>
            <w:tcW w:w="2160" w:type="dxa"/>
          </w:tcPr>
          <w:p w14:paraId="14455D9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19</w:t>
            </w:r>
          </w:p>
        </w:tc>
        <w:tc>
          <w:tcPr>
            <w:tcW w:w="2160" w:type="dxa"/>
          </w:tcPr>
          <w:p w14:paraId="4221925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0.29%</w:t>
            </w:r>
          </w:p>
        </w:tc>
      </w:tr>
      <w:tr w14:paraId="00DECF66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0440982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unverified_variant</w:t>
            </w:r>
          </w:p>
        </w:tc>
        <w:tc>
          <w:tcPr>
            <w:tcW w:w="2160" w:type="dxa"/>
          </w:tcPr>
          <w:p w14:paraId="728FCA4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Unverified variant claims ("mute-strain", etc.)</w:t>
            </w:r>
          </w:p>
        </w:tc>
        <w:tc>
          <w:tcPr>
            <w:tcW w:w="2160" w:type="dxa"/>
          </w:tcPr>
          <w:p w14:paraId="23F5268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</w:t>
            </w:r>
          </w:p>
        </w:tc>
        <w:tc>
          <w:tcPr>
            <w:tcW w:w="2160" w:type="dxa"/>
          </w:tcPr>
          <w:p w14:paraId="6C81B1B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0.02%</w:t>
            </w:r>
          </w:p>
        </w:tc>
      </w:tr>
      <w:tr w14:paraId="682F7F63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73C1BAA2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Total flagged</w:t>
            </w:r>
          </w:p>
        </w:tc>
        <w:tc>
          <w:tcPr>
            <w:tcW w:w="2160" w:type="dxa"/>
          </w:tcPr>
          <w:p w14:paraId="5DEFFCB3">
            <w:pPr>
              <w:spacing w:after="40"/>
            </w:pPr>
          </w:p>
        </w:tc>
        <w:tc>
          <w:tcPr>
            <w:tcW w:w="2160" w:type="dxa"/>
          </w:tcPr>
          <w:p w14:paraId="58D20EA8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42</w:t>
            </w:r>
          </w:p>
        </w:tc>
        <w:tc>
          <w:tcPr>
            <w:tcW w:w="2160" w:type="dxa"/>
          </w:tcPr>
          <w:p w14:paraId="34CD903C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0.6%</w:t>
            </w:r>
          </w:p>
        </w:tc>
      </w:tr>
    </w:tbl>
    <w:p w14:paraId="2804EF7F">
      <w:pPr>
        <w:spacing w:after="80"/>
      </w:pPr>
    </w:p>
    <w:p w14:paraId="4B4F4850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S5.3 Real-world virological anchor density (full corpus)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FD30B4C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D9D9D9"/>
          </w:tcPr>
          <w:p w14:paraId="0C1EDC34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Anchor (true window)</w:t>
            </w:r>
          </w:p>
        </w:tc>
        <w:tc>
          <w:tcPr>
            <w:tcW w:w="2880" w:type="dxa"/>
            <w:shd w:val="clear" w:color="auto" w:fill="D9D9D9"/>
          </w:tcPr>
          <w:p w14:paraId="33F89E71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Total posts</w:t>
            </w:r>
          </w:p>
        </w:tc>
        <w:tc>
          <w:tcPr>
            <w:tcW w:w="2880" w:type="dxa"/>
            <w:shd w:val="clear" w:color="auto" w:fill="D9D9D9"/>
          </w:tcPr>
          <w:p w14:paraId="5DA39A7C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Alignment note</w:t>
            </w:r>
          </w:p>
        </w:tc>
      </w:tr>
      <w:tr w14:paraId="7A664493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2A8343E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880" w:type="dxa"/>
          </w:tcPr>
          <w:p w14:paraId="4D7E41F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880" w:type="dxa"/>
          </w:tcPr>
          <w:p w14:paraId="105C6AE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538A931E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3DBB28D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Chikungunya (true 2025-07 Foshan)</w:t>
            </w:r>
          </w:p>
        </w:tc>
        <w:tc>
          <w:tcPr>
            <w:tcW w:w="2880" w:type="dxa"/>
          </w:tcPr>
          <w:p w14:paraId="70985A7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</w:t>
            </w:r>
          </w:p>
        </w:tc>
        <w:tc>
          <w:tcPr>
            <w:tcW w:w="2880" w:type="dxa"/>
          </w:tcPr>
          <w:p w14:paraId="70F922E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All in 2026 (2025 = 0) — misaligned</w:t>
            </w:r>
          </w:p>
        </w:tc>
      </w:tr>
      <w:tr w14:paraId="10B4C9DF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7AB9D48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NB.1 (true late-2024–2025)</w:t>
            </w:r>
          </w:p>
        </w:tc>
        <w:tc>
          <w:tcPr>
            <w:tcW w:w="2880" w:type="dxa"/>
          </w:tcPr>
          <w:p w14:paraId="604C9BF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26</w:t>
            </w:r>
          </w:p>
        </w:tc>
        <w:tc>
          <w:tcPr>
            <w:tcW w:w="2880" w:type="dxa"/>
          </w:tcPr>
          <w:p w14:paraId="566E3B3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25 in 2026 — misaligned</w:t>
            </w:r>
          </w:p>
        </w:tc>
      </w:tr>
      <w:tr w14:paraId="059BAB3E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2B82D7E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XEC (true 2024–25)</w:t>
            </w:r>
          </w:p>
        </w:tc>
        <w:tc>
          <w:tcPr>
            <w:tcW w:w="2880" w:type="dxa"/>
          </w:tcPr>
          <w:p w14:paraId="6DBD1C9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</w:t>
            </w:r>
          </w:p>
        </w:tc>
        <w:tc>
          <w:tcPr>
            <w:tcW w:w="2880" w:type="dxa"/>
          </w:tcPr>
          <w:p w14:paraId="691F958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Far below true 2025–26 discussion intensity</w:t>
            </w:r>
          </w:p>
        </w:tc>
      </w:tr>
      <w:tr w14:paraId="453F7F6B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445020B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LP.8 (true 2025)</w:t>
            </w:r>
          </w:p>
        </w:tc>
        <w:tc>
          <w:tcPr>
            <w:tcW w:w="2880" w:type="dxa"/>
          </w:tcPr>
          <w:p w14:paraId="7974FD9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</w:t>
            </w:r>
          </w:p>
        </w:tc>
        <w:tc>
          <w:tcPr>
            <w:tcW w:w="2880" w:type="dxa"/>
          </w:tcPr>
          <w:p w14:paraId="1C8DE21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Far below true 2025–26 discussion intensity</w:t>
            </w:r>
          </w:p>
        </w:tc>
      </w:tr>
    </w:tbl>
    <w:p w14:paraId="05226C59">
      <w:pPr>
        <w:spacing w:after="80"/>
      </w:pPr>
    </w:p>
    <w:p w14:paraId="0AB4E468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These probes show the 2025–2026 segment is sparse and temporally misaligned with the events it should track — a transparency case study, not evidence of full seven-year evolution (manuscript Section 3.4).</w:t>
      </w:r>
    </w:p>
    <w:p w14:paraId="14DDA5EC">
      <w:pPr>
        <w:spacing w:after="120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Counts transcribed from `analysis/clean_p9_miscaptures.py` and its report (`docs/P9清洗与锚点密度报告.md`, i.e. "P9 cleaning and anchor-density report"). The 42 flagged post identifiers are listed in the released flag file `data/clean/covid_corpus_paper_p9flag.csv` (column `p9_flag` ≠ `na`).</w:t>
      </w:r>
    </w:p>
    <w:p w14:paraId="62D09D0B">
      <w:r>
        <w:br w:type="page"/>
      </w:r>
    </w:p>
    <w:p w14:paraId="65926532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S6. In-time placebo distribution (57 candidate dates)</w:t>
      </w:r>
    </w:p>
    <w:p w14:paraId="006DB3F5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Distribution of placebo q values under the 57-date candidate grid (45 dates after exclusions).</w:t>
      </w:r>
    </w:p>
    <w:p w14:paraId="0FB7F97A">
      <w:pPr>
        <w:spacing w:before="200" w:after="80"/>
      </w:pPr>
      <w:r>
        <w:rPr>
          <w:rFonts w:ascii="Times New Roman" w:hAnsi="Times New Roman" w:eastAsia="Times New Roman"/>
          <w:b/>
          <w:i w:val="0"/>
          <w:sz w:val="30"/>
        </w:rPr>
        <w:t>Supplementary File S6. In-time placebo (breakpoint) distributions</w:t>
      </w:r>
    </w:p>
    <w:p w14:paraId="72BF2791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Purpose.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Reports the in-time placebo calibration referenced in manuscript Section 3.3. For each term subset we recompute the HAC |t| statistic on the level coefficient at every candidate break date leaving at least 12 months (sensitivity: 18 months) on either side, and rank the </w:t>
      </w:r>
      <w:r>
        <w:rPr>
          <w:rFonts w:ascii="Times New Roman" w:hAnsi="Times New Roman" w:eastAsia="Times New Roman"/>
          <w:b w:val="0"/>
          <w:i/>
          <w:sz w:val="22"/>
        </w:rPr>
        <w:t>true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transition date (2022-11) within that distribution. This is an in-time placebo distribution, </w:t>
      </w:r>
      <w:r>
        <w:rPr>
          <w:rFonts w:ascii="Times New Roman" w:hAnsi="Times New Roman" w:eastAsia="Times New Roman"/>
          <w:b/>
          <w:i w:val="0"/>
          <w:sz w:val="22"/>
        </w:rPr>
        <w:t>not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randomization inference: break dates are not randomly assigned and the placebo statistics are mutually dependent, so the rank is a </w:t>
      </w:r>
      <w:r>
        <w:rPr>
          <w:rFonts w:ascii="Times New Roman" w:hAnsi="Times New Roman" w:eastAsia="Times New Roman"/>
          <w:b w:val="0"/>
          <w:i/>
          <w:sz w:val="22"/>
        </w:rPr>
        <w:t>descriptive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resolution floor, not a P value.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590E9D41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shd w:val="clear" w:color="auto" w:fill="D9D9D9"/>
          </w:tcPr>
          <w:p w14:paraId="0F8642B6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Series (terms)</w:t>
            </w:r>
          </w:p>
        </w:tc>
        <w:tc>
          <w:tcPr>
            <w:tcW w:w="2160" w:type="dxa"/>
            <w:shd w:val="clear" w:color="auto" w:fill="D9D9D9"/>
          </w:tcPr>
          <w:p w14:paraId="362BF353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≤12-mo rank (of 57)</w:t>
            </w:r>
          </w:p>
        </w:tc>
        <w:tc>
          <w:tcPr>
            <w:tcW w:w="2160" w:type="dxa"/>
            <w:shd w:val="clear" w:color="auto" w:fill="D9D9D9"/>
          </w:tcPr>
          <w:p w14:paraId="3C251C42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≤18-mo rank (of 45)</w:t>
            </w:r>
          </w:p>
        </w:tc>
        <w:tc>
          <w:tcPr>
            <w:tcW w:w="2160" w:type="dxa"/>
            <w:shd w:val="clear" w:color="auto" w:fill="D9D9D9"/>
          </w:tcPr>
          <w:p w14:paraId="34D56C4B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Interpretation</w:t>
            </w:r>
          </w:p>
        </w:tc>
      </w:tr>
      <w:tr w14:paraId="5DF9D83E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530D892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100A29D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68A3572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2B6B1A9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6BC546BB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3D2F8C2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Full vocabulary (17)</w:t>
            </w:r>
          </w:p>
        </w:tc>
        <w:tc>
          <w:tcPr>
            <w:tcW w:w="2160" w:type="dxa"/>
          </w:tcPr>
          <w:p w14:paraId="61758FE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30/57</w:t>
            </w:r>
          </w:p>
        </w:tc>
        <w:tc>
          <w:tcPr>
            <w:tcW w:w="2160" w:type="dxa"/>
          </w:tcPr>
          <w:p w14:paraId="7E4BF82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23/45</w:t>
            </w:r>
          </w:p>
        </w:tc>
        <w:tc>
          <w:tcPr>
            <w:tcW w:w="2160" w:type="dxa"/>
          </w:tcPr>
          <w:p w14:paraId="3634594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Mid-distribution — no breakpoint specificity</w:t>
            </w:r>
          </w:p>
        </w:tc>
      </w:tr>
      <w:tr w14:paraId="12D1749D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6469C1E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 (10)</w:t>
            </w:r>
          </w:p>
        </w:tc>
        <w:tc>
          <w:tcPr>
            <w:tcW w:w="2160" w:type="dxa"/>
          </w:tcPr>
          <w:p w14:paraId="4599849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54/57</w:t>
            </w:r>
          </w:p>
        </w:tc>
        <w:tc>
          <w:tcPr>
            <w:tcW w:w="2160" w:type="dxa"/>
          </w:tcPr>
          <w:p w14:paraId="2743CD8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42/45</w:t>
            </w:r>
          </w:p>
        </w:tc>
        <w:tc>
          <w:tcPr>
            <w:tcW w:w="2160" w:type="dxa"/>
          </w:tcPr>
          <w:p w14:paraId="4D3A9E6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 xml:space="preserve">Near the </w:t>
            </w:r>
            <w:r>
              <w:rPr>
                <w:rFonts w:ascii="Times New Roman" w:hAnsi="Times New Roman" w:eastAsia="Times New Roman"/>
                <w:b w:val="0"/>
                <w:i/>
                <w:sz w:val="18"/>
              </w:rPr>
              <w:t>least</w:t>
            </w: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 xml:space="preserve"> extreme — no breakpoint specificity</w:t>
            </w:r>
          </w:p>
        </w:tc>
      </w:tr>
      <w:tr w14:paraId="2DFBA960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084D41C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Excluded, all (7)</w:t>
            </w:r>
          </w:p>
        </w:tc>
        <w:tc>
          <w:tcPr>
            <w:tcW w:w="2160" w:type="dxa"/>
          </w:tcPr>
          <w:p w14:paraId="3FFE1AA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1/57</w:t>
            </w:r>
          </w:p>
        </w:tc>
        <w:tc>
          <w:tcPr>
            <w:tcW w:w="2160" w:type="dxa"/>
          </w:tcPr>
          <w:p w14:paraId="52CACC7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1/45</w:t>
            </w:r>
          </w:p>
        </w:tc>
        <w:tc>
          <w:tcPr>
            <w:tcW w:w="2160" w:type="dxa"/>
          </w:tcPr>
          <w:p w14:paraId="03CE81A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Most extreme of all candidate dates</w:t>
            </w:r>
          </w:p>
        </w:tc>
      </w:tr>
      <w:tr w14:paraId="41735326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30F51AB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pre-existing (4)</w:t>
            </w:r>
          </w:p>
        </w:tc>
        <w:tc>
          <w:tcPr>
            <w:tcW w:w="2160" w:type="dxa"/>
          </w:tcPr>
          <w:p w14:paraId="4ECFF2B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7/57</w:t>
            </w:r>
          </w:p>
        </w:tc>
        <w:tc>
          <w:tcPr>
            <w:tcW w:w="2160" w:type="dxa"/>
          </w:tcPr>
          <w:p w14:paraId="1EDF60E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1/45</w:t>
            </w:r>
          </w:p>
        </w:tc>
        <w:tc>
          <w:tcPr>
            <w:tcW w:w="2160" w:type="dxa"/>
          </w:tcPr>
          <w:p w14:paraId="25A44A4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Reverses across trimming rules</w:t>
            </w:r>
          </w:p>
        </w:tc>
      </w:tr>
      <w:tr w14:paraId="38EC4C2B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3A8383D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coinages (3)</w:t>
            </w:r>
          </w:p>
        </w:tc>
        <w:tc>
          <w:tcPr>
            <w:tcW w:w="2160" w:type="dxa"/>
          </w:tcPr>
          <w:p w14:paraId="7B8B052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1/57</w:t>
            </w:r>
          </w:p>
        </w:tc>
        <w:tc>
          <w:tcPr>
            <w:tcW w:w="2160" w:type="dxa"/>
          </w:tcPr>
          <w:p w14:paraId="0233EF1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1/45</w:t>
            </w:r>
          </w:p>
        </w:tc>
        <w:tc>
          <w:tcPr>
            <w:tcW w:w="2160" w:type="dxa"/>
          </w:tcPr>
          <w:p w14:paraId="63CECB8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Most extreme — instrument/topic emergence observationally equivalent</w:t>
            </w:r>
          </w:p>
        </w:tc>
      </w:tr>
      <w:tr w14:paraId="2B449B4D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6023DC1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 + coinages (13)</w:t>
            </w:r>
          </w:p>
        </w:tc>
        <w:tc>
          <w:tcPr>
            <w:tcW w:w="2160" w:type="dxa"/>
          </w:tcPr>
          <w:p w14:paraId="1778580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48/57</w:t>
            </w:r>
          </w:p>
        </w:tc>
        <w:tc>
          <w:tcPr>
            <w:tcW w:w="2160" w:type="dxa"/>
          </w:tcPr>
          <w:p w14:paraId="283D923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—</w:t>
            </w:r>
          </w:p>
        </w:tc>
        <w:tc>
          <w:tcPr>
            <w:tcW w:w="2160" w:type="dxa"/>
          </w:tcPr>
          <w:p w14:paraId="0E90FDF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Near least extreme</w:t>
            </w:r>
          </w:p>
        </w:tc>
      </w:tr>
    </w:tbl>
    <w:p w14:paraId="6CA74695">
      <w:pPr>
        <w:spacing w:after="80"/>
      </w:pPr>
    </w:p>
    <w:p w14:paraId="717001A7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Resolution floors.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1/57 ≈ 0.0175 and 1/45 ≈ 0.0222 are the smallest attainable ranks and are descriptive lower bounds only; the effective number of independent tests is far below 57 because candidate break dates are mutually dependent. The excluded-term series ranks first (most extreme) at both trimming rules, which is why the manuscript treats its jump as real and tightly localised — but the </w:t>
      </w:r>
      <w:r>
        <w:rPr>
          <w:rFonts w:ascii="Times New Roman" w:hAnsi="Times New Roman" w:eastAsia="Times New Roman"/>
          <w:b w:val="0"/>
          <w:i/>
          <w:sz w:val="22"/>
        </w:rPr>
        <w:t>robust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component (the coinages) is exactly the one for which instrument change and genuine topic emergence cannot be distinguished.</w:t>
      </w:r>
    </w:p>
    <w:p w14:paraId="6E730907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Douyin placebo breakpoints (policy-free months).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At placebo cuts 2021-11 and 2023-11 the Douyin slope is </w:t>
      </w:r>
      <w:r>
        <w:rPr>
          <w:rFonts w:ascii="Times New Roman" w:hAnsi="Times New Roman" w:eastAsia="Times New Roman"/>
          <w:b w:val="0"/>
          <w:i/>
          <w:sz w:val="22"/>
        </w:rPr>
        <w:t>larger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than at the true 2022-11 cut (p ≤ .003 vs .032), confirming the Douyin coefficient is not policy-specific (see S2).</w:t>
      </w:r>
    </w:p>
    <w:p w14:paraId="4FC879D6">
      <w:pPr>
        <w:spacing w:after="120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Ranks transcribed from manuscript Table 5; Douyin placebo note from manuscript Section 3.3.</w:t>
      </w:r>
    </w:p>
    <w:p w14:paraId="299B6E1F">
      <w:r>
        <w:br w:type="page"/>
      </w:r>
    </w:p>
    <w:p w14:paraId="03F0366D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S7. Moving-block bootstrap specification</w:t>
      </w:r>
    </w:p>
    <w:p w14:paraId="0A034DC0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Block-bootstrap variance estimator and its block-length choice.</w:t>
      </w:r>
    </w:p>
    <w:p w14:paraId="66466988">
      <w:pPr>
        <w:spacing w:before="200" w:after="80"/>
      </w:pPr>
      <w:r>
        <w:rPr>
          <w:rFonts w:ascii="Times New Roman" w:hAnsi="Times New Roman" w:eastAsia="Times New Roman"/>
          <w:b/>
          <w:i w:val="0"/>
          <w:sz w:val="30"/>
        </w:rPr>
        <w:t>Supplementary File S7. Moving-block bootstrap of the excluded-term discontinuity</w:t>
      </w:r>
    </w:p>
    <w:p w14:paraId="550F6BBE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Purpose.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Provides the dependence-adjusted significance level that complements the in-time placebo rank (S6) in manuscript Section 3.3. The bootstrap implements the null of </w:t>
      </w:r>
      <w:r>
        <w:rPr>
          <w:rFonts w:ascii="Times New Roman" w:hAnsi="Times New Roman" w:eastAsia="Times New Roman"/>
          <w:b w:val="0"/>
          <w:i/>
          <w:sz w:val="22"/>
        </w:rPr>
        <w:t>no break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by resampling residuals drawn from the no-break fit ŷ = β₀ + β₁·time (β₂ = β₃ = 0), holding the break date fixed at November 2022 and studentizing the statistic (percentile-t, standard error recomputed in each resample).</w:t>
      </w:r>
    </w:p>
    <w:p w14:paraId="1EBEEA5F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Design.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Block length ℓ ∈ {4, 6, 8}; number of resamples B = 2000; percentile-t intervals. The block resampling acts on the residual series to reconstruct y</w:t>
      </w:r>
      <w:r>
        <w:rPr>
          <w:rFonts w:ascii="Times New Roman" w:hAnsi="Times New Roman" w:eastAsia="Times New Roman"/>
          <w:b w:val="0"/>
          <w:i/>
          <w:sz w:val="22"/>
        </w:rPr>
        <w:t xml:space="preserve"> = ŷ_null + e</w:t>
      </w:r>
      <w:r>
        <w:rPr>
          <w:rFonts w:ascii="Times New Roman" w:hAnsi="Times New Roman" w:eastAsia="Times New Roman"/>
          <w:b w:val="0"/>
          <w:i w:val="0"/>
          <w:sz w:val="22"/>
        </w:rPr>
        <w:t>, re-estimating the level jump under the data-driven selection of the seven ≥8-post-yielding terms.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1E44934B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jc w:val="center"/>
        </w:trPr>
        <w:tc>
          <w:tcPr>
            <w:tcW w:w="2880" w:type="dxa"/>
            <w:shd w:val="clear" w:color="auto" w:fill="D9D9D9"/>
          </w:tcPr>
          <w:p w14:paraId="3081EE4A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Series</w:t>
            </w:r>
          </w:p>
        </w:tc>
        <w:tc>
          <w:tcPr>
            <w:tcW w:w="2880" w:type="dxa"/>
            <w:shd w:val="clear" w:color="auto" w:fill="D9D9D9"/>
          </w:tcPr>
          <w:p w14:paraId="0789A888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Bootstrap P (ℓ = 4 / 6 / 8, B = 2000)</w:t>
            </w:r>
          </w:p>
        </w:tc>
        <w:tc>
          <w:tcPr>
            <w:tcW w:w="2880" w:type="dxa"/>
            <w:shd w:val="clear" w:color="auto" w:fill="D9D9D9"/>
          </w:tcPr>
          <w:p w14:paraId="3D4822EC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Interpretation</w:t>
            </w:r>
          </w:p>
        </w:tc>
      </w:tr>
      <w:tr w14:paraId="320D7F6E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2B94849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880" w:type="dxa"/>
          </w:tcPr>
          <w:p w14:paraId="2CDF88F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880" w:type="dxa"/>
          </w:tcPr>
          <w:p w14:paraId="30B5B37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02910125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5DA32FC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Excluded-term level jump (7 terms)</w:t>
            </w:r>
          </w:p>
        </w:tc>
        <w:tc>
          <w:tcPr>
            <w:tcW w:w="2880" w:type="dxa"/>
          </w:tcPr>
          <w:p w14:paraId="5346823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≈ .006 – .013</w:t>
            </w:r>
          </w:p>
        </w:tc>
        <w:tc>
          <w:tcPr>
            <w:tcW w:w="2880" w:type="dxa"/>
          </w:tcPr>
          <w:p w14:paraId="4209C44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Confirms the jump is real and tightly localized; consistent with its rank-1/57 extremeness (S6)</w:t>
            </w:r>
          </w:p>
        </w:tc>
      </w:tr>
      <w:tr w14:paraId="51F8F904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6456942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Full vocabulary (17 terms)</w:t>
            </w:r>
          </w:p>
        </w:tc>
        <w:tc>
          <w:tcPr>
            <w:tcW w:w="2880" w:type="dxa"/>
          </w:tcPr>
          <w:p w14:paraId="4C47B1F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≈ .14 – .16</w:t>
            </w:r>
          </w:p>
        </w:tc>
        <w:tc>
          <w:tcPr>
            <w:tcW w:w="2880" w:type="dxa"/>
          </w:tcPr>
          <w:p w14:paraId="28D5E16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Consistent with the non-significant HAC p = .064</w:t>
            </w:r>
          </w:p>
        </w:tc>
      </w:tr>
    </w:tbl>
    <w:p w14:paraId="485F2859">
      <w:pPr>
        <w:spacing w:after="80"/>
      </w:pPr>
    </w:p>
    <w:p w14:paraId="604EEE10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Reading.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The bootstrap P and the placebo rank answer different questions. The bootstrap P concerns the </w:t>
      </w:r>
      <w:r>
        <w:rPr>
          <w:rFonts w:ascii="Times New Roman" w:hAnsi="Times New Roman" w:eastAsia="Times New Roman"/>
          <w:b w:val="0"/>
          <w:i/>
          <w:sz w:val="22"/>
        </w:rPr>
        <w:t>magnitude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of the level jump under the series' own autocorrelation structure (it certifies a discontinuity in the selected series, not policy attribution). The placebo rank (S6) concerns </w:t>
      </w:r>
      <w:r>
        <w:rPr>
          <w:rFonts w:ascii="Times New Roman" w:hAnsi="Times New Roman" w:eastAsia="Times New Roman"/>
          <w:b w:val="0"/>
          <w:i/>
          <w:sz w:val="22"/>
        </w:rPr>
        <w:t>breakpoint specificity</w:t>
      </w:r>
      <w:r>
        <w:rPr>
          <w:rFonts w:ascii="Times New Roman" w:hAnsi="Times New Roman" w:eastAsia="Times New Roman"/>
          <w:b w:val="0"/>
          <w:i w:val="0"/>
          <w:sz w:val="22"/>
        </w:rPr>
        <w:t>. Both agree that the excluded-term jump is a real, localized discontinuity — but, as manuscript Section 3.3 shows, its robust component is observationally equivalent to genuine topic emergence and therefore cannot be attributed to policy.</w:t>
      </w:r>
    </w:p>
    <w:p w14:paraId="248381E0">
      <w:pPr>
        <w:spacing w:after="120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Method and intervals transcribed from manuscript Section 3.3; full residual distributions available from the S9 analysis code on request.</w:t>
      </w:r>
    </w:p>
    <w:p w14:paraId="16AA00E1">
      <w:r>
        <w:br w:type="page"/>
      </w:r>
    </w:p>
    <w:p w14:paraId="1E9B546D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S8. Per-term, per-period retrieval-yield tables</w:t>
      </w:r>
    </w:p>
    <w:p w14:paraId="4230D5D7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Per-term monthly retrieved counts, pre/post levels, and the period-biased term decomposition.</w:t>
      </w:r>
    </w:p>
    <w:p w14:paraId="14EFB5E2">
      <w:pPr>
        <w:spacing w:before="200" w:after="80"/>
      </w:pPr>
      <w:r>
        <w:rPr>
          <w:rFonts w:ascii="Times New Roman" w:hAnsi="Times New Roman" w:eastAsia="Times New Roman"/>
          <w:b/>
          <w:i w:val="0"/>
          <w:sz w:val="30"/>
        </w:rPr>
        <w:t>Supplementary File S8. Per-term, per-period retrieval yield</w:t>
      </w:r>
    </w:p>
    <w:p w14:paraId="5EC1D20E"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>Purpose.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Reports the retrieval yield (posts returned per query term, per period) that underlies the period-biased-vocabulary analysis in manuscript Sections 2.4 and 3.3. Query-list breadth differs sharply across platforms, so no query-free platform volume exists in this corpus (manuscript Section 2.1).</w:t>
      </w:r>
    </w:p>
    <w:p w14:paraId="5F29C41C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S8.1 Query-list breadth per platform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457833C1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D9D9D9"/>
          </w:tcPr>
          <w:p w14:paraId="2257C029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Platform</w:t>
            </w:r>
          </w:p>
        </w:tc>
        <w:tc>
          <w:tcPr>
            <w:tcW w:w="4320" w:type="dxa"/>
            <w:shd w:val="clear" w:color="auto" w:fill="D9D9D9"/>
          </w:tcPr>
          <w:p w14:paraId="03C0E321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Query terms in list</w:t>
            </w:r>
          </w:p>
        </w:tc>
      </w:tr>
      <w:tr w14:paraId="43C59585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442D38E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4320" w:type="dxa"/>
          </w:tcPr>
          <w:p w14:paraId="5AF0C0A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42F0A4A5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72AA31B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Zhihu</w:t>
            </w:r>
          </w:p>
        </w:tc>
        <w:tc>
          <w:tcPr>
            <w:tcW w:w="4320" w:type="dxa"/>
          </w:tcPr>
          <w:p w14:paraId="7153B63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17</w:t>
            </w:r>
          </w:p>
        </w:tc>
      </w:tr>
      <w:tr w14:paraId="5F359195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399FE8C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Douyin</w:t>
            </w:r>
          </w:p>
        </w:tc>
        <w:tc>
          <w:tcPr>
            <w:tcW w:w="4320" w:type="dxa"/>
          </w:tcPr>
          <w:p w14:paraId="6352F9E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</w:t>
            </w:r>
          </w:p>
        </w:tc>
      </w:tr>
      <w:tr w14:paraId="01584370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0113071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Weibo</w:t>
            </w:r>
          </w:p>
        </w:tc>
        <w:tc>
          <w:tcPr>
            <w:tcW w:w="4320" w:type="dxa"/>
          </w:tcPr>
          <w:p w14:paraId="6F36017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</w:t>
            </w:r>
          </w:p>
        </w:tc>
      </w:tr>
      <w:tr w14:paraId="6665DE1B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13E176F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Xiaohongshu</w:t>
            </w:r>
          </w:p>
        </w:tc>
        <w:tc>
          <w:tcPr>
            <w:tcW w:w="4320" w:type="dxa"/>
          </w:tcPr>
          <w:p w14:paraId="2716F98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</w:t>
            </w:r>
          </w:p>
        </w:tc>
      </w:tr>
      <w:tr w14:paraId="6EE20A3C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1D0F097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Bilibili</w:t>
            </w:r>
          </w:p>
        </w:tc>
        <w:tc>
          <w:tcPr>
            <w:tcW w:w="4320" w:type="dxa"/>
          </w:tcPr>
          <w:p w14:paraId="7B9619A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 ("COVID" — all 5,202 posts)</w:t>
            </w:r>
          </w:p>
        </w:tc>
      </w:tr>
    </w:tbl>
    <w:p w14:paraId="39DF8B1C">
      <w:pPr>
        <w:spacing w:after="80"/>
      </w:pPr>
    </w:p>
    <w:p w14:paraId="4294624A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S8.2 Zhihu per-term yield (breakpoint 2022-11)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728"/>
        <w:gridCol w:w="1728"/>
        <w:gridCol w:w="1728"/>
        <w:gridCol w:w="1728"/>
      </w:tblGrid>
      <w:tr w14:paraId="478B4218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shd w:val="clear" w:color="auto" w:fill="D9D9D9"/>
          </w:tcPr>
          <w:p w14:paraId="151CA413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Group</w:t>
            </w:r>
          </w:p>
        </w:tc>
        <w:tc>
          <w:tcPr>
            <w:tcW w:w="1728" w:type="dxa"/>
            <w:shd w:val="clear" w:color="auto" w:fill="D9D9D9"/>
          </w:tcPr>
          <w:p w14:paraId="1298401B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Query term</w:t>
            </w:r>
          </w:p>
        </w:tc>
        <w:tc>
          <w:tcPr>
            <w:tcW w:w="1728" w:type="dxa"/>
            <w:shd w:val="clear" w:color="auto" w:fill="D9D9D9"/>
          </w:tcPr>
          <w:p w14:paraId="3C16962D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Pre</w:t>
            </w:r>
          </w:p>
        </w:tc>
        <w:tc>
          <w:tcPr>
            <w:tcW w:w="1728" w:type="dxa"/>
            <w:shd w:val="clear" w:color="auto" w:fill="D9D9D9"/>
          </w:tcPr>
          <w:p w14:paraId="01BEDAA1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Post</w:t>
            </w:r>
          </w:p>
        </w:tc>
        <w:tc>
          <w:tcPr>
            <w:tcW w:w="1728" w:type="dxa"/>
            <w:shd w:val="clear" w:color="auto" w:fill="D9D9D9"/>
          </w:tcPr>
          <w:p w14:paraId="2F618B17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Post/Pre</w:t>
            </w:r>
          </w:p>
        </w:tc>
      </w:tr>
      <w:tr w14:paraId="03A7217D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16E7E6B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728" w:type="dxa"/>
          </w:tcPr>
          <w:p w14:paraId="4B4197B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728" w:type="dxa"/>
          </w:tcPr>
          <w:p w14:paraId="45AFA21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728" w:type="dxa"/>
          </w:tcPr>
          <w:p w14:paraId="0C57D5A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1728" w:type="dxa"/>
          </w:tcPr>
          <w:p w14:paraId="2771894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69D62956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097DA70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 (10)</w:t>
            </w:r>
          </w:p>
        </w:tc>
        <w:tc>
          <w:tcPr>
            <w:tcW w:w="1728" w:type="dxa"/>
          </w:tcPr>
          <w:p w14:paraId="584BFC9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nucleic-acid testing</w:t>
            </w:r>
          </w:p>
        </w:tc>
        <w:tc>
          <w:tcPr>
            <w:tcW w:w="1728" w:type="dxa"/>
          </w:tcPr>
          <w:p w14:paraId="674451B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121</w:t>
            </w:r>
          </w:p>
        </w:tc>
        <w:tc>
          <w:tcPr>
            <w:tcW w:w="1728" w:type="dxa"/>
          </w:tcPr>
          <w:p w14:paraId="49A64E7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68</w:t>
            </w:r>
          </w:p>
        </w:tc>
        <w:tc>
          <w:tcPr>
            <w:tcW w:w="1728" w:type="dxa"/>
          </w:tcPr>
          <w:p w14:paraId="1C7752C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0.6</w:t>
            </w:r>
          </w:p>
        </w:tc>
      </w:tr>
      <w:tr w14:paraId="072CE68E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7C3B186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38079BC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COVID vaccine</w:t>
            </w:r>
          </w:p>
        </w:tc>
        <w:tc>
          <w:tcPr>
            <w:tcW w:w="1728" w:type="dxa"/>
          </w:tcPr>
          <w:p w14:paraId="360D4A5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111</w:t>
            </w:r>
          </w:p>
        </w:tc>
        <w:tc>
          <w:tcPr>
            <w:tcW w:w="1728" w:type="dxa"/>
          </w:tcPr>
          <w:p w14:paraId="1B28820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71</w:t>
            </w:r>
          </w:p>
        </w:tc>
        <w:tc>
          <w:tcPr>
            <w:tcW w:w="1728" w:type="dxa"/>
          </w:tcPr>
          <w:p w14:paraId="496FFC2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0.6</w:t>
            </w:r>
          </w:p>
        </w:tc>
      </w:tr>
      <w:tr w14:paraId="392258F5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7436148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46561EB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fever clinic</w:t>
            </w:r>
          </w:p>
        </w:tc>
        <w:tc>
          <w:tcPr>
            <w:tcW w:w="1728" w:type="dxa"/>
          </w:tcPr>
          <w:p w14:paraId="2C9A661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115</w:t>
            </w:r>
          </w:p>
        </w:tc>
        <w:tc>
          <w:tcPr>
            <w:tcW w:w="1728" w:type="dxa"/>
          </w:tcPr>
          <w:p w14:paraId="2F82080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74</w:t>
            </w:r>
          </w:p>
        </w:tc>
        <w:tc>
          <w:tcPr>
            <w:tcW w:w="1728" w:type="dxa"/>
          </w:tcPr>
          <w:p w14:paraId="398F4F8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0.6</w:t>
            </w:r>
          </w:p>
        </w:tc>
      </w:tr>
      <w:tr w14:paraId="31AEB8C5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6F7BF8D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578172A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Omicron</w:t>
            </w:r>
          </w:p>
        </w:tc>
        <w:tc>
          <w:tcPr>
            <w:tcW w:w="1728" w:type="dxa"/>
          </w:tcPr>
          <w:p w14:paraId="0BE0D9C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103</w:t>
            </w:r>
          </w:p>
        </w:tc>
        <w:tc>
          <w:tcPr>
            <w:tcW w:w="1728" w:type="dxa"/>
          </w:tcPr>
          <w:p w14:paraId="1124C72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83</w:t>
            </w:r>
          </w:p>
        </w:tc>
        <w:tc>
          <w:tcPr>
            <w:tcW w:w="1728" w:type="dxa"/>
          </w:tcPr>
          <w:p w14:paraId="1CA2F07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0.8</w:t>
            </w:r>
          </w:p>
        </w:tc>
      </w:tr>
      <w:tr w14:paraId="55E87D62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49B2B51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40CC15F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COVID pneumonia</w:t>
            </w:r>
          </w:p>
        </w:tc>
        <w:tc>
          <w:tcPr>
            <w:tcW w:w="1728" w:type="dxa"/>
          </w:tcPr>
          <w:p w14:paraId="4E1C007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48</w:t>
            </w:r>
          </w:p>
        </w:tc>
        <w:tc>
          <w:tcPr>
            <w:tcW w:w="1728" w:type="dxa"/>
          </w:tcPr>
          <w:p w14:paraId="41E79CE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94</w:t>
            </w:r>
          </w:p>
        </w:tc>
        <w:tc>
          <w:tcPr>
            <w:tcW w:w="1728" w:type="dxa"/>
          </w:tcPr>
          <w:p w14:paraId="48015E3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2.0</w:t>
            </w:r>
          </w:p>
        </w:tc>
      </w:tr>
      <w:tr w14:paraId="43A91B1B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7FA5E5E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3E51805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epidemic prevention and control</w:t>
            </w:r>
          </w:p>
        </w:tc>
        <w:tc>
          <w:tcPr>
            <w:tcW w:w="1728" w:type="dxa"/>
          </w:tcPr>
          <w:p w14:paraId="4ECF8C9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44</w:t>
            </w:r>
          </w:p>
        </w:tc>
        <w:tc>
          <w:tcPr>
            <w:tcW w:w="1728" w:type="dxa"/>
          </w:tcPr>
          <w:p w14:paraId="52E21C9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90</w:t>
            </w:r>
          </w:p>
        </w:tc>
        <w:tc>
          <w:tcPr>
            <w:tcW w:w="1728" w:type="dxa"/>
          </w:tcPr>
          <w:p w14:paraId="219F984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2.0</w:t>
            </w:r>
          </w:p>
        </w:tc>
      </w:tr>
      <w:tr w14:paraId="36F779B6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4026C02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59D87C8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antigen</w:t>
            </w:r>
          </w:p>
        </w:tc>
        <w:tc>
          <w:tcPr>
            <w:tcW w:w="1728" w:type="dxa"/>
          </w:tcPr>
          <w:p w14:paraId="3087FD7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59</w:t>
            </w:r>
          </w:p>
        </w:tc>
        <w:tc>
          <w:tcPr>
            <w:tcW w:w="1728" w:type="dxa"/>
          </w:tcPr>
          <w:p w14:paraId="1C7358B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125</w:t>
            </w:r>
          </w:p>
        </w:tc>
        <w:tc>
          <w:tcPr>
            <w:tcW w:w="1728" w:type="dxa"/>
          </w:tcPr>
          <w:p w14:paraId="3B412DD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2.1</w:t>
            </w:r>
          </w:p>
        </w:tc>
      </w:tr>
      <w:tr w14:paraId="5BC9C129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03E474F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4D4E021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COVID sequelae</w:t>
            </w:r>
          </w:p>
        </w:tc>
        <w:tc>
          <w:tcPr>
            <w:tcW w:w="1728" w:type="dxa"/>
          </w:tcPr>
          <w:p w14:paraId="50EA1D1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49</w:t>
            </w:r>
          </w:p>
        </w:tc>
        <w:tc>
          <w:tcPr>
            <w:tcW w:w="1728" w:type="dxa"/>
          </w:tcPr>
          <w:p w14:paraId="3D16344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117</w:t>
            </w:r>
          </w:p>
        </w:tc>
        <w:tc>
          <w:tcPr>
            <w:tcW w:w="1728" w:type="dxa"/>
          </w:tcPr>
          <w:p w14:paraId="78CC3FF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2.4</w:t>
            </w:r>
          </w:p>
        </w:tc>
      </w:tr>
      <w:tr w14:paraId="7D5DC324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3E91F88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635A724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COVID symptoms</w:t>
            </w:r>
          </w:p>
        </w:tc>
        <w:tc>
          <w:tcPr>
            <w:tcW w:w="1728" w:type="dxa"/>
          </w:tcPr>
          <w:p w14:paraId="153723BF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31</w:t>
            </w:r>
          </w:p>
        </w:tc>
        <w:tc>
          <w:tcPr>
            <w:tcW w:w="1728" w:type="dxa"/>
          </w:tcPr>
          <w:p w14:paraId="36088C4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127</w:t>
            </w:r>
          </w:p>
        </w:tc>
        <w:tc>
          <w:tcPr>
            <w:tcW w:w="1728" w:type="dxa"/>
          </w:tcPr>
          <w:p w14:paraId="3E1984C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4.1</w:t>
            </w:r>
          </w:p>
        </w:tc>
      </w:tr>
      <w:tr w14:paraId="5CFDAF64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1E8FCD1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</w:t>
            </w:r>
          </w:p>
        </w:tc>
        <w:tc>
          <w:tcPr>
            <w:tcW w:w="1728" w:type="dxa"/>
          </w:tcPr>
          <w:p w14:paraId="1B9A481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do we still wear masks</w:t>
            </w:r>
          </w:p>
        </w:tc>
        <w:tc>
          <w:tcPr>
            <w:tcW w:w="1728" w:type="dxa"/>
          </w:tcPr>
          <w:p w14:paraId="01DCDB5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25</w:t>
            </w:r>
          </w:p>
        </w:tc>
        <w:tc>
          <w:tcPr>
            <w:tcW w:w="1728" w:type="dxa"/>
          </w:tcPr>
          <w:p w14:paraId="689F3C3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158</w:t>
            </w:r>
          </w:p>
        </w:tc>
        <w:tc>
          <w:tcPr>
            <w:tcW w:w="1728" w:type="dxa"/>
          </w:tcPr>
          <w:p w14:paraId="7449100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6.3</w:t>
            </w:r>
          </w:p>
        </w:tc>
      </w:tr>
      <w:tr w14:paraId="634C50F8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5D58E0F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Retained subtotal</w:t>
            </w:r>
          </w:p>
        </w:tc>
        <w:tc>
          <w:tcPr>
            <w:tcW w:w="1728" w:type="dxa"/>
          </w:tcPr>
          <w:p w14:paraId="74A81DA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 terms</w:t>
            </w:r>
          </w:p>
        </w:tc>
        <w:tc>
          <w:tcPr>
            <w:tcW w:w="1728" w:type="dxa"/>
          </w:tcPr>
          <w:p w14:paraId="420F0B4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706</w:t>
            </w:r>
          </w:p>
        </w:tc>
        <w:tc>
          <w:tcPr>
            <w:tcW w:w="1728" w:type="dxa"/>
          </w:tcPr>
          <w:p w14:paraId="7CB194A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1007</w:t>
            </w:r>
          </w:p>
        </w:tc>
        <w:tc>
          <w:tcPr>
            <w:tcW w:w="1728" w:type="dxa"/>
          </w:tcPr>
          <w:p w14:paraId="206B70D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1.4</w:t>
            </w:r>
          </w:p>
        </w:tc>
      </w:tr>
      <w:tr w14:paraId="4628B2DC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79CC8B5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 - pre-existing (4)</w:t>
            </w:r>
          </w:p>
        </w:tc>
        <w:tc>
          <w:tcPr>
            <w:tcW w:w="1728" w:type="dxa"/>
          </w:tcPr>
          <w:p w14:paraId="3CF2A81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COVID</w:t>
            </w:r>
          </w:p>
        </w:tc>
        <w:tc>
          <w:tcPr>
            <w:tcW w:w="1728" w:type="dxa"/>
          </w:tcPr>
          <w:p w14:paraId="1AB0CE0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</w:t>
            </w:r>
          </w:p>
        </w:tc>
        <w:tc>
          <w:tcPr>
            <w:tcW w:w="1728" w:type="dxa"/>
          </w:tcPr>
          <w:p w14:paraId="4F4BD59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184</w:t>
            </w:r>
          </w:p>
        </w:tc>
        <w:tc>
          <w:tcPr>
            <w:tcW w:w="1728" w:type="dxa"/>
          </w:tcPr>
          <w:p w14:paraId="725AA9C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26.3</w:t>
            </w:r>
          </w:p>
        </w:tc>
      </w:tr>
      <w:tr w14:paraId="5056EDD4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315B792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 - pre-existing</w:t>
            </w:r>
          </w:p>
        </w:tc>
        <w:tc>
          <w:tcPr>
            <w:tcW w:w="1728" w:type="dxa"/>
          </w:tcPr>
          <w:p w14:paraId="79E16D3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COVID virus</w:t>
            </w:r>
          </w:p>
        </w:tc>
        <w:tc>
          <w:tcPr>
            <w:tcW w:w="1728" w:type="dxa"/>
          </w:tcPr>
          <w:p w14:paraId="1A4CAFA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</w:t>
            </w:r>
          </w:p>
        </w:tc>
        <w:tc>
          <w:tcPr>
            <w:tcW w:w="1728" w:type="dxa"/>
          </w:tcPr>
          <w:p w14:paraId="474D1C6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68</w:t>
            </w:r>
          </w:p>
        </w:tc>
        <w:tc>
          <w:tcPr>
            <w:tcW w:w="1728" w:type="dxa"/>
          </w:tcPr>
          <w:p w14:paraId="0BDEA7C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∞</w:t>
            </w:r>
          </w:p>
        </w:tc>
      </w:tr>
      <w:tr w14:paraId="50E3C00F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147F638E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 - pre-existing</w:t>
            </w:r>
          </w:p>
        </w:tc>
        <w:tc>
          <w:tcPr>
            <w:tcW w:w="1728" w:type="dxa"/>
          </w:tcPr>
          <w:p w14:paraId="6F76498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influenza A</w:t>
            </w:r>
          </w:p>
        </w:tc>
        <w:tc>
          <w:tcPr>
            <w:tcW w:w="1728" w:type="dxa"/>
          </w:tcPr>
          <w:p w14:paraId="049A200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6</w:t>
            </w:r>
          </w:p>
        </w:tc>
        <w:tc>
          <w:tcPr>
            <w:tcW w:w="1728" w:type="dxa"/>
          </w:tcPr>
          <w:p w14:paraId="32E9EE0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187</w:t>
            </w:r>
          </w:p>
        </w:tc>
        <w:tc>
          <w:tcPr>
            <w:tcW w:w="1728" w:type="dxa"/>
          </w:tcPr>
          <w:p w14:paraId="3772323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31.2</w:t>
            </w:r>
          </w:p>
        </w:tc>
      </w:tr>
      <w:tr w14:paraId="26412843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1F54900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 - pre-existing</w:t>
            </w:r>
          </w:p>
        </w:tc>
        <w:tc>
          <w:tcPr>
            <w:tcW w:w="1728" w:type="dxa"/>
          </w:tcPr>
          <w:p w14:paraId="5DAF3C8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influenza B</w:t>
            </w:r>
          </w:p>
        </w:tc>
        <w:tc>
          <w:tcPr>
            <w:tcW w:w="1728" w:type="dxa"/>
          </w:tcPr>
          <w:p w14:paraId="10FB05F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</w:t>
            </w:r>
          </w:p>
        </w:tc>
        <w:tc>
          <w:tcPr>
            <w:tcW w:w="1728" w:type="dxa"/>
          </w:tcPr>
          <w:p w14:paraId="4A61A12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154</w:t>
            </w:r>
          </w:p>
        </w:tc>
        <w:tc>
          <w:tcPr>
            <w:tcW w:w="1728" w:type="dxa"/>
          </w:tcPr>
          <w:p w14:paraId="0D14B68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22.0</w:t>
            </w:r>
          </w:p>
        </w:tc>
      </w:tr>
      <w:tr w14:paraId="1B389BE1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40682DCB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 - coinage (3)</w:t>
            </w:r>
          </w:p>
        </w:tc>
        <w:tc>
          <w:tcPr>
            <w:tcW w:w="1728" w:type="dxa"/>
          </w:tcPr>
          <w:p w14:paraId="7BDD4F9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second infection</w:t>
            </w:r>
          </w:p>
        </w:tc>
        <w:tc>
          <w:tcPr>
            <w:tcW w:w="1728" w:type="dxa"/>
          </w:tcPr>
          <w:p w14:paraId="315050B4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</w:t>
            </w:r>
          </w:p>
        </w:tc>
        <w:tc>
          <w:tcPr>
            <w:tcW w:w="1728" w:type="dxa"/>
          </w:tcPr>
          <w:p w14:paraId="7167A7E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185</w:t>
            </w:r>
          </w:p>
        </w:tc>
        <w:tc>
          <w:tcPr>
            <w:tcW w:w="1728" w:type="dxa"/>
          </w:tcPr>
          <w:p w14:paraId="05034C0A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185.0</w:t>
            </w:r>
          </w:p>
        </w:tc>
      </w:tr>
      <w:tr w14:paraId="6903EB0C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6570BB7D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 - coinage</w:t>
            </w:r>
          </w:p>
        </w:tc>
        <w:tc>
          <w:tcPr>
            <w:tcW w:w="1728" w:type="dxa"/>
          </w:tcPr>
          <w:p w14:paraId="7D64233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tested positive</w:t>
            </w:r>
          </w:p>
        </w:tc>
        <w:tc>
          <w:tcPr>
            <w:tcW w:w="1728" w:type="dxa"/>
          </w:tcPr>
          <w:p w14:paraId="16D22D9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</w:t>
            </w:r>
          </w:p>
        </w:tc>
        <w:tc>
          <w:tcPr>
            <w:tcW w:w="1728" w:type="dxa"/>
          </w:tcPr>
          <w:p w14:paraId="37D3674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173</w:t>
            </w:r>
          </w:p>
        </w:tc>
        <w:tc>
          <w:tcPr>
            <w:tcW w:w="1728" w:type="dxa"/>
          </w:tcPr>
          <w:p w14:paraId="1612785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173.0</w:t>
            </w:r>
          </w:p>
        </w:tc>
      </w:tr>
      <w:tr w14:paraId="2B59ADFB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0B3090B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 - coinage</w:t>
            </w:r>
          </w:p>
        </w:tc>
        <w:tc>
          <w:tcPr>
            <w:tcW w:w="1728" w:type="dxa"/>
          </w:tcPr>
          <w:p w14:paraId="4CBF5F2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influenza-A-or-COVID</w:t>
            </w:r>
          </w:p>
        </w:tc>
        <w:tc>
          <w:tcPr>
            <w:tcW w:w="1728" w:type="dxa"/>
          </w:tcPr>
          <w:p w14:paraId="0E867DF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</w:t>
            </w:r>
          </w:p>
        </w:tc>
        <w:tc>
          <w:tcPr>
            <w:tcW w:w="1728" w:type="dxa"/>
          </w:tcPr>
          <w:p w14:paraId="02310B8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138</w:t>
            </w:r>
          </w:p>
        </w:tc>
        <w:tc>
          <w:tcPr>
            <w:tcW w:w="1728" w:type="dxa"/>
          </w:tcPr>
          <w:p w14:paraId="59EB4A8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46.0</w:t>
            </w:r>
          </w:p>
        </w:tc>
      </w:tr>
      <w:tr w14:paraId="6784C343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</w:tcPr>
          <w:p w14:paraId="39FD9C0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Excluded subtotal</w:t>
            </w:r>
          </w:p>
        </w:tc>
        <w:tc>
          <w:tcPr>
            <w:tcW w:w="1728" w:type="dxa"/>
          </w:tcPr>
          <w:p w14:paraId="685EC758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7 terms</w:t>
            </w:r>
          </w:p>
        </w:tc>
        <w:tc>
          <w:tcPr>
            <w:tcW w:w="1728" w:type="dxa"/>
          </w:tcPr>
          <w:p w14:paraId="573C8C8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25</w:t>
            </w:r>
          </w:p>
        </w:tc>
        <w:tc>
          <w:tcPr>
            <w:tcW w:w="1728" w:type="dxa"/>
          </w:tcPr>
          <w:p w14:paraId="282FF38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1089</w:t>
            </w:r>
          </w:p>
        </w:tc>
        <w:tc>
          <w:tcPr>
            <w:tcW w:w="1728" w:type="dxa"/>
          </w:tcPr>
          <w:p w14:paraId="0FC719A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43.6</w:t>
            </w:r>
          </w:p>
        </w:tc>
      </w:tr>
    </w:tbl>
    <w:p w14:paraId="2FD77B03">
      <w:pPr>
        <w:spacing w:after="80"/>
      </w:pPr>
    </w:p>
    <w:p w14:paraId="27AA2752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The ten retained terms (≥8 posts per period) have yield ratios spanning 0.56–6.32; the seven excluded terms jump from 25 pre-breakpoint posts to 1,089 post-breakpoint (43.6×). 'COVID virus' returns 0 pre-breakpoint posts, so its ratio is undefined rather than large; group summaries are aggregate ratios, not means of r_k.</w:t>
      </w:r>
    </w:p>
    <w:p w14:paraId="45D7DA65">
      <w:pPr>
        <w:spacing w:before="200" w:after="80"/>
      </w:pPr>
      <w:r>
        <w:rPr>
          <w:rFonts w:ascii="Times New Roman" w:hAnsi="Times New Roman" w:eastAsia="Times New Roman"/>
          <w:b/>
          <w:i w:val="0"/>
          <w:sz w:val="26"/>
        </w:rPr>
        <w:t>S8.3 Douyin per-term yield</w:t>
      </w:r>
    </w:p>
    <w:p w14:paraId="7A31F9CE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Douyin's nine-term list contains </w:t>
      </w:r>
      <w:r>
        <w:rPr>
          <w:rFonts w:ascii="Times New Roman" w:hAnsi="Times New Roman" w:eastAsia="Times New Roman"/>
          <w:b/>
          <w:i w:val="0"/>
          <w:sz w:val="22"/>
        </w:rPr>
        <w:t>no pre-relaxation vocabulary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(no nucleic-acid testing, vaccine, Omicron, epidemic-prevention, or antigen). 87.0% of its corpus (5,170 of 5,946) comes from three post-transition coinages:</w:t>
      </w:r>
    </w:p>
    <w:tbl>
      <w:tblPr>
        <w:tblStyle w:val="32"/>
        <w:tblW w:w="0" w:type="auto"/>
        <w:jc w:val="center"/>
        <w:tblBorders>
          <w:top w:val="single" w:color="000000" w:sz="6" w:space="0"/>
          <w:left w:val="none" w:color="000000" w:sz="0" w:space="0"/>
          <w:bottom w:val="single" w:color="000000" w:sz="6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07FB77D2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shd w:val="clear" w:color="auto" w:fill="D9D9D9"/>
          </w:tcPr>
          <w:p w14:paraId="3754BCF4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Group</w:t>
            </w:r>
          </w:p>
        </w:tc>
        <w:tc>
          <w:tcPr>
            <w:tcW w:w="2160" w:type="dxa"/>
            <w:shd w:val="clear" w:color="auto" w:fill="D9D9D9"/>
          </w:tcPr>
          <w:p w14:paraId="25A5187D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Query term</w:t>
            </w:r>
          </w:p>
        </w:tc>
        <w:tc>
          <w:tcPr>
            <w:tcW w:w="2160" w:type="dxa"/>
            <w:shd w:val="clear" w:color="auto" w:fill="D9D9D9"/>
          </w:tcPr>
          <w:p w14:paraId="5973153A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Pre</w:t>
            </w:r>
          </w:p>
        </w:tc>
        <w:tc>
          <w:tcPr>
            <w:tcW w:w="2160" w:type="dxa"/>
            <w:shd w:val="clear" w:color="auto" w:fill="D9D9D9"/>
          </w:tcPr>
          <w:p w14:paraId="170A3D3F">
            <w:pPr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sz w:val="18"/>
              </w:rPr>
              <w:t>Post</w:t>
            </w:r>
          </w:p>
        </w:tc>
      </w:tr>
      <w:tr w14:paraId="54FBFE51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597853B6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4173CDD3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0C6F598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  <w:tc>
          <w:tcPr>
            <w:tcW w:w="2160" w:type="dxa"/>
          </w:tcPr>
          <w:p w14:paraId="5674A46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---</w:t>
            </w:r>
          </w:p>
        </w:tc>
      </w:tr>
      <w:tr w14:paraId="3EF905FF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58191C09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Coinage</w:t>
            </w:r>
          </w:p>
        </w:tc>
        <w:tc>
          <w:tcPr>
            <w:tcW w:w="2160" w:type="dxa"/>
          </w:tcPr>
          <w:p w14:paraId="5EB5AB2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second infection</w:t>
            </w:r>
          </w:p>
        </w:tc>
        <w:tc>
          <w:tcPr>
            <w:tcW w:w="2160" w:type="dxa"/>
          </w:tcPr>
          <w:p w14:paraId="52BF0DE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</w:t>
            </w:r>
          </w:p>
        </w:tc>
        <w:tc>
          <w:tcPr>
            <w:tcW w:w="2160" w:type="dxa"/>
          </w:tcPr>
          <w:p w14:paraId="3BD8A267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2,679</w:t>
            </w:r>
          </w:p>
        </w:tc>
      </w:tr>
      <w:tr w14:paraId="65B883B4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254D1CD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Coinage</w:t>
            </w:r>
          </w:p>
        </w:tc>
        <w:tc>
          <w:tcPr>
            <w:tcW w:w="2160" w:type="dxa"/>
          </w:tcPr>
          <w:p w14:paraId="517AA4CC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tested positive</w:t>
            </w:r>
          </w:p>
        </w:tc>
        <w:tc>
          <w:tcPr>
            <w:tcW w:w="2160" w:type="dxa"/>
          </w:tcPr>
          <w:p w14:paraId="1B02B1E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35</w:t>
            </w:r>
          </w:p>
        </w:tc>
        <w:tc>
          <w:tcPr>
            <w:tcW w:w="2160" w:type="dxa"/>
          </w:tcPr>
          <w:p w14:paraId="49956315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1,490</w:t>
            </w:r>
          </w:p>
        </w:tc>
      </w:tr>
      <w:tr w14:paraId="2ECDBC82">
        <w:tblPrEx>
          <w:tblBorders>
            <w:top w:val="single" w:color="000000" w:sz="6" w:space="0"/>
            <w:left w:val="none" w:color="000000" w:sz="0" w:space="0"/>
            <w:bottom w:val="single" w:color="000000" w:sz="6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3198739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Coinage</w:t>
            </w:r>
          </w:p>
        </w:tc>
        <w:tc>
          <w:tcPr>
            <w:tcW w:w="2160" w:type="dxa"/>
          </w:tcPr>
          <w:p w14:paraId="5C2FDDC2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influenza B</w:t>
            </w:r>
          </w:p>
        </w:tc>
        <w:tc>
          <w:tcPr>
            <w:tcW w:w="2160" w:type="dxa"/>
          </w:tcPr>
          <w:p w14:paraId="26E15A30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0</w:t>
            </w:r>
          </w:p>
        </w:tc>
        <w:tc>
          <w:tcPr>
            <w:tcW w:w="2160" w:type="dxa"/>
          </w:tcPr>
          <w:p w14:paraId="6835D001"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965</w:t>
            </w:r>
          </w:p>
        </w:tc>
      </w:tr>
    </w:tbl>
    <w:p w14:paraId="25FE37B0">
      <w:pPr>
        <w:spacing w:after="80"/>
      </w:pPr>
    </w:p>
    <w:p w14:paraId="626B88B2"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 xml:space="preserve">The slope change decomposes exactly as </w:t>
      </w:r>
      <w:r>
        <w:rPr>
          <w:rFonts w:ascii="Times New Roman" w:hAnsi="Times New Roman" w:eastAsia="Times New Roman"/>
          <w:b/>
          <w:i w:val="0"/>
          <w:sz w:val="22"/>
        </w:rPr>
        <w:t>full +4.78 (p_HAC=.032) = retained +0.34 (3 terms; 95% CI -2.15 to 2.83; p_HAC=.79) + excluded +4.44 (6 terms; 95% CI 2.08 to 6.80; p_HAC=.0004); 92.9% of the slope is carried by terms that could barely retrieve pre-breakpoint content</w:t>
      </w:r>
      <w:r>
        <w:rPr>
          <w:rFonts w:ascii="Times New Roman" w:hAnsi="Times New Roman" w:eastAsia="Times New Roman"/>
          <w:b w:val="0"/>
          <w:i w:val="0"/>
          <w:sz w:val="22"/>
        </w:rPr>
        <w:t xml:space="preserve"> (manuscript Table 6). Full per-term yields for all nine Douyin terms and the other platforms are provided in the released CSV (`data/clean/covid_corpus_paper.csv`, column `query_term`).</w:t>
      </w:r>
    </w:p>
    <w:p w14:paraId="464D5350">
      <w:pPr>
        <w:spacing w:after="120"/>
        <w:jc w:val="both"/>
      </w:pPr>
      <w:r>
        <w:rPr>
          <w:rFonts w:ascii="Times New Roman" w:hAnsi="Times New Roman" w:eastAsia="Times New Roman"/>
          <w:b w:val="0"/>
          <w:i/>
          <w:sz w:val="22"/>
        </w:rPr>
        <w:t>Zhihu table transcribed from manuscript Table 4; Douyin decomposition from manuscript Section 3.3 and Table 6; query-list breadth from manuscript Section 2.1.</w:t>
      </w:r>
    </w:p>
    <w:p w14:paraId="4CDD246E">
      <w:r>
        <w:br w:type="page"/>
      </w:r>
    </w:p>
    <w:p w14:paraId="4EFFB2FA">
      <w:pPr>
        <w:spacing w:before="160" w:after="40"/>
      </w:pPr>
      <w:r>
        <w:rPr>
          <w:rFonts w:ascii="Times New Roman" w:hAnsi="Times New Roman" w:eastAsia="Times New Roman"/>
          <w:b/>
          <w:i w:val="0"/>
          <w:sz w:val="30"/>
        </w:rPr>
        <w:t>Supplementary File S9. Analysis code (Python)</w:t>
      </w:r>
    </w:p>
    <w:p w14:paraId="321A2B3C">
      <w:pPr>
        <w:spacing w:after="120"/>
      </w:pPr>
      <w:r>
        <w:rPr>
          <w:rFonts w:ascii="Times New Roman" w:hAnsi="Times New Roman" w:eastAsia="Times New Roman"/>
          <w:b w:val="0"/>
          <w:i/>
          <w:sz w:val="20"/>
        </w:rPr>
        <w:t>Python 3.10, statsmodels 0.14: HAC ITS, exact decomposition, placebo calibration, bootstrap.</w:t>
      </w:r>
    </w:p>
    <w:p w14:paraId="75AFFD4A">
      <w:pPr>
        <w:shd w:val="clear" w:color="auto" w:fill="F2F2F2"/>
        <w:spacing w:before="80" w:after="120"/>
        <w:ind w:left="216"/>
        <w:rPr>
          <w:rFonts w:ascii="Consolas" w:hAnsi="Consolas" w:eastAsia="Consolas"/>
          <w:b w:val="0"/>
          <w:i w:val="0"/>
          <w:sz w:val="17"/>
        </w:rPr>
      </w:pPr>
      <w:r>
        <w:rPr>
          <w:rFonts w:ascii="Consolas" w:hAnsi="Consolas" w:eastAsia="Consolas"/>
          <w:b w:val="0"/>
          <w:i w:val="0"/>
          <w:sz w:val="17"/>
        </w:rPr>
        <w:t># -*- coding: utf-8 -*-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"""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Per-platform ITS (interrupted time-series) segmented regression -- standard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parameterisation plus a series-coverage eligibility screen.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Interruption point: 2022-11 (China pandemic-control policy pivot).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[Series-coverage eligibility screen]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ITS requires a continuous, comparable monthly series. In this project each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platform is constrained by its retrieval interface, so coverage differs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enormously across platforms. Coverage is evaluated against the FIXED common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study window 2019-07..2026-07 (85 months), consistent with Table 3 of the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manuscript -- NOT against each platform's own observation span (using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per-platform spans would itself reproduce the coverage-pooling confound the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study warns against). A platform enters formal ITS inference only when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(a) share of non-zero months &gt;= 80%  AND  (b) pre-interruption non-zero-month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share &gt;= 50%  AND  (c) &gt;= 12 months both before and after the interruption.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Platforms that fail the screen are used only for cross-sectional content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analysis, not for time-series inference.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[Standard parameterisation / Bernal et al. 2017, IJE]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y ~ time + post + post_time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time      : month index 0..T-1 (baseline slope)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post      : post-interruption indicator; =1 from the interruption month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post_time : months since the interruption; 0 at the interruption month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(slope change)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=&gt; beta_post is the "immediate level change at the interruption".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[Legacy parameterisation / t:post interaction (contrast, used to illustrate the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coding correction)]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y ~ t + post + t:post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=&gt; beta_post is the "intercept difference extrapolated to t=0", not the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level change at the interruption.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Standard errors: Newey-West HAC (maxlags=3), correcting for monthly autocorrelation.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Output: analysis/out_its_by_platform.json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"""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import json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import os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import warnings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import numpy as np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import pandas as pd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import statsmodels.formula.api as smf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from statsmodels.stats.stattools import durbin_watson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warnings.filterwarnings("ignore")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ROOT = os.path.dirname(os.path.dirname(os.path.abspath(__file__)))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CSV = os.path.join(ROOT, "data", "clean", "covid_corpus_paper.csv")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OUT = os.path.join(ROOT, "analysis", "out_its_by_platform.json")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CUT = pd.Period("2022-11", freq="M")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HAC_LAGS = 3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# Common study window for the eligibility screen (matches manuscript Table 3):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COMMON_START = pd.Period("2019-07", freq="M")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COMMON_END = pd.Period("2026-07", freq="M")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MIN_COVER = 0.80      # minimum share of non-zero months (common-window basis)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MIN_COVER_PRE = 0.50  # minimum pre-interruption non-zero-month share (common-window)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MIN_SEG = 12          # minimum months before and after the interruption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df = pd.read_csv(CSV, low_memory=False)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df["pub_time"] = pd.to_datetime(df["pub_time"], errors="coerce")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df = df.dropna(subset=["pub_time"])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df["ym"] = df["pub_time"].dt.to_period("M")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df["platform"] = df["platform"].astype(str)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def _fit(g, formula):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m = smf.ols(formula, data=g).fit()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try: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mh = m.get_robustcov_results(cov_type="HAC", maxlags=HAC_LAGS,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                   use_correction=True)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params, pvals, ses = mh.params, mh.pvalues, mh.bse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except Exception: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params, pvals, ses = m.params.values, m.pvalues.values, m.bse.values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out = {}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for i, nm in enumerate(list(m.params.index)):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b, se = float(params[i]), float(ses[i])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out[nm] = {"beta": b, "se": se, "p": float(pvals[i]),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 "ci_lo": b - 1.96 * se, "ci_hi": b + 1.96 * se}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out["_r2"] = float(m.rsquared)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out["_dw"] = float(durbin_watson(m.resid))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return out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def run_its(sub, label):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 = (sub.groupby("ym")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.agg(volume=("post_id", "size"), senti=("senti", "mean"))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.reset_index())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if g.empty: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return None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full = pd.period_range(g["ym"].min(), g["ym"].max(), freq="M")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 = g.set_index("ym").reindex(full).rename_axis("ym").reset_index()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g["volume"] = g["volume"].fillna(0)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g["time"] = np.arange(len(g))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g["t"] = g["time"]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g["post"] = (g["ym"] &gt;= CUT).astype(int)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g["post_time"] = np.where(g["post"] == 1,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            g["ym"].map(lambda x: (x - CUT).n), 0)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# Own-span frame (regression sample) -- used for the ITS fit and the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# estimability check below. Distinct from the common-window frame.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n_pre_g = int((g["post"] == 0).sum())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n_post_g = int((g["post"] == 1).sum())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# Common-window frame (eligibility screen) -- coverage evaluated against the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# fixed 85-month study window 2019-07..2026-07, matching manuscript Table 3.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cw = pd.period_range(COMMON_START, COMMON_END, freq="M")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sub_cw = (sub.groupby("ym")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.agg(volume=("post_id", "size"))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.reindex(cw)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.fillna(0))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nz = int((sub_cw["volume"] &gt; 0).sum())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nz_pre = int(((sub_cw["volume"] &gt; 0) &amp; (sub_cw.index &lt; CUT)).sum())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n_pre = int((cw &lt; CUT).sum())    # 40 pre-interruption months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n_post = int((cw &gt;= CUT).sum())  # 45 post-interruption months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cover = nz / len(cw)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cover_pre = (nz_pre / n_pre) if n_pre else 0.0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rec = {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"label": label,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"n_posts": int(sub.shape[0]),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"n_months": int(len(g)),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"n_pre": n_pre, "n_post": n_post,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"nonzero_months": nz, "nonzero_pre": nz_pre,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"coverage": round(cover, 3), "coverage_pre": round(cover_pre, 3),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"t_cut": int(g.loc[g["post"] == 1, "time"].min()) if n_post_g else None,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"span": f"{g['ym'].iloc[0]}~{g['ym'].iloc[-1]}",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reasons = []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if cover &lt; MIN_COVER: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reasons.append(f"coverage {cover:.0%}&lt;{MIN_COVER:.0%}")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if cover_pre &lt; MIN_COVER_PRE: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reasons.append(f"pre-coverage {cover_pre:.0%}&lt;{MIN_COVER_PRE:.0%}")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if n_pre &lt; MIN_SEG or n_post &lt; MIN_SEG: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reasons.append(f"segment months {n_pre}/{n_post}&lt;{MIN_SEG}")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rec["eligible"] = len(reasons) == 0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rec["ineligible_reasons"] = reasons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if n_pre_g &lt; 3 or n_post_g &lt; 3: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rec["status"] = "not_estimable"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return rec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# Sentiment series modelled only on months with posts (avoids interpolation artefacts)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gs = g.dropna(subset=["senti"]).copy()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t_cut = rec["t_cut"]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for ycol, tag, gg in [("volume", "vol", g), ("senti", "senti", gs)]: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if gg["post"].nunique() &lt; 2 or len(gg) &lt; 10: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continue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std = _fit(gg, f"{ycol} ~ time + post + post_time")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rec[f"{tag}_n_obs"] = int(len(gg))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rec[f"{tag}_baseline_slope"] = std["time"]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rec[f"{tag}_level_change"] = std["post"]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rec[f"{tag}_slope_change"] = std["post_time"]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rec[f"{tag}_r2"] = std["_r2"]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rec[f"{tag}_dw"] = std["_dw"]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old = _fit(gg, f"{ycol} ~ t + post + t:post")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rec[f"{tag}_OLD_post_beta"] = old["post"]["beta"]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rec[f"{tag}_OLD_post_p"] = old["post"]["p"]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rec[f"{tag}_OLD_implied_jump_at_cut"] = (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old["post"]["beta"] + old["t:post"]["beta"] * t_cut)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rec["status"] = "ok"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return rec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PLATFORM_EN = {"知乎": "Zhihu", "抖音": "Douyin", "B站": "Bilibili",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"小红书": "Xiaohongshu", "微博": "Weibo"}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def threshold_sensitivity(platforms=None,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        thresholds=(0.50, 0.60, 0.70, 0.80, 0.90)):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"""S1 -- threshold sensitivity of the eligibility screen.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The manuscript rule (Section 2.2) has three gates: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(a) common-window coverage &gt;= T          &lt;-- swept here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(b) pre-interruption coverage &gt;= 50%     &lt;-- held fixed (MIN_COVER_PRE)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(c) &gt;= 12 months both before and after   &lt;-- held fixed (MIN_SEG)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Only the main coverage threshold T is varied, matching the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"50/60/70/80/90% coverage" grid promised in the Supplementary Material.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Coverage is evaluated on the FIXED common study window 2019-07..2026-07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(85 months), identical to the basis of manuscript Table 3.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Returns (platforms_en, info, eligible_set_per_threshold)."""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if platforms is None: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platforms = sorted(df["platform"].unique())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cw = pd.period_range(COMMON_START, COMMON_END, freq="M")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n_pre = int((cw &lt; CUT).sum())      # 40 pre-interruption months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n_post = int((cw &gt;= CUT).sum())    # 45 post-interruption months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info = {}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for p, sub in df.groupby("platform"):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sub_cw = (sub.groupby("ym")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  .agg(volume=("post_id", "size"))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  .reindex(cw).fillna(0))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nz = int((sub_cw["volume"] &gt; 0).sum())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nz_pre = int(((sub_cw["volume"] &gt; 0) &amp; (sub_cw.index &lt; CUT)).sum())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cov = nz / len(cw)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cov_pre = (nz_pre / n_pre) if n_pre else 0.0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info[PLATFORM_EN.get(p, p)] = {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"coverage": round(cov, 3),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"coverage_pre": round(cov_pre, 3),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"pre_ok": cov_pre &gt;= MIN_COVER_PRE,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"seg_ok": (n_pre &gt;= MIN_SEG and n_post &gt;= MIN_SEG),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grid = {}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for T in thresholds: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elig = [PLATFORM_EN.get(p, p) for p in platforms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if info[PLATFORM_EN.get(p, p)]["coverage"] &gt;= T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and info[PLATFORM_EN.get(p, p)]["pre_ok"]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and info[PLATFORM_EN.get(p, p)]["seg_ok"]]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grid[round(T, 2)] = elig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return [PLATFORM_EN.get(p, p) for p in platforms], info, grid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results = {"pooled_all": run_its(df, "All five platforms pooled")}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for p, sub in df.groupby("platform"):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results[p] = run_its(sub, p)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elig = [p for p in df["platform"].unique()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if results.get(p) and results[p].get("eligible")]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results["_eligible_platforms"] = elig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results["pooled_eligible"] = run_its(df[df["platform"].isin(elig)],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                   "Pooled (eligible platforms only)")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results["pooled_excl_weibo"] = run_its(df[df["platform"] != "微博"],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                      "Pooled excluding Weibo")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with open(OUT, "w", encoding="utf-8") as f: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json.dump(results, f, ensure_ascii=False, indent=2, default=str)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hdr = (f"{'series':&lt;24}{'N':&gt;7}{'mon':&gt;5}{'nz':&gt;5}{'cov':&gt;6}{'covPre':&gt;8}{'ok':&gt;4}"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f"{'volLvlΔ':&gt;11}{'p':&gt;8}{'volSlpΔ':&gt;10}{'p':&gt;8}{'OLDpost':&gt;10}{'p':&gt;8}")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print(hdr)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print("-" * len(hdr))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for k, r in results.items():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if not isinstance(r, dict):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continue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flag = "Y" if r.get("eligible") else "-"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line = (f"{k:&lt;24}{r['n_posts']:&gt;7}{r['n_months']:&gt;5}{r['nonzero_months']:&gt;5}"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f"{r['coverage']:&gt;6.2f}{r['coverage_pre']:&gt;8.2f}{flag:&gt;4}")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if "vol_level_change" in r: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vl, vs = r["vol_level_change"], r["vol_slope_change"]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line += (f"{vl['beta']:&gt;11.1f}{vl['p']:&gt;8.3f}{vs['beta']:&gt;10.2f}"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f"{vs['p']:&gt;8.3f}{r['vol_OLD_post_beta']:&gt;10.1f}"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    f"{r['vol_OLD_post_p']:&gt;8.3f}")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else: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line += "   [not estimable]"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print(line)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print("\neligible platforms:", elig)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print("saved -&gt;", OUT)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# ---------------------------------------------------------------------------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# S1. Threshold-sensitivity table (manuscript Supplementary Material, S1).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# Sweeps the common-window coverage threshold 50/60/70/80/90% with the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# pre-interruption (&gt;=50%) and segment (&gt;=12 months) gates held fixed.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# ---------------------------------------------------------------------------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S1_platforms, S1_info, S1_grid = threshold_sensitivity()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S1 = {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"thresholds": [round(t, 2) for t in (0.50, 0.60, 0.70, 0.80, 0.90)],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"platforms": S1_platforms,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"coverage": S1_info,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"eligible_sets": S1_grid,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"note": ("Common-window basis 2019-07..2026-07 (85 months); 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"pre-interruption gate &gt;=50% and segment gate &gt;=12 months fixed; 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     "only the main coverage threshold is varied."),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}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S1_OUT = os.path.join(ROOT, "analysis", "out_threshold_sensitivity.json")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with open(S1_OUT, "w", encoding="utf-8") as f: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json.dump(S1, f, ensure_ascii=False, indent=2, default=str)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print("\n\n=== S1. Threshold-sensitivity of the eligibility rule ===")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print("Basis: common study window 2019-07..2026-07 (85 months); 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"pre-interruption gate &gt;=50% and segment gate &gt;=12mo held fixed.")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hdr = (f"{'platform':&lt;12}{'cov%':&gt;7}{'covPre%':&gt;9}"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+ "".join(f"{int(T*100):&gt;4}" for T in (0.50, 0.60, 0.70, 0.80, 0.90)))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print(hdr)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for p in S1_platforms: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i = S1_info[p]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row = f"{p:&lt;12}{i['coverage']*100:&gt;6.1f}{i['coverage_pre']*100:&gt;8.1f}"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for T in (0.50, 0.60, 0.70, 0.80, 0.90):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ok = i["coverage"] &gt;= T and i["pre_ok"] and i["seg_ok"]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    row += f"{'Y' if ok else '-':&gt;4}"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print(row)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print("Eligible platform set by threshold:")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for T in (0.50, 0.60, 0.70, 0.80, 0.90):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 xml:space="preserve">    print(f"  {int(T*100)}%: {S1_grid[round(T, 2)]}")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  <w:r>
        <w:rPr>
          <w:rFonts w:ascii="Consolas" w:hAnsi="Consolas" w:eastAsia="Consolas"/>
          <w:b w:val="0"/>
          <w:i w:val="0"/>
          <w:sz w:val="17"/>
        </w:rPr>
        <w:t>print("saved -&gt;", S1_OUT)</w:t>
      </w:r>
      <w:r>
        <w:rPr>
          <w:rFonts w:ascii="Consolas" w:hAnsi="Consolas" w:eastAsia="Consolas"/>
          <w:b w:val="0"/>
          <w:i w:val="0"/>
          <w:sz w:val="17"/>
        </w:rPr>
        <w:br w:type="textWrapping"/>
      </w:r>
    </w:p>
    <w:p w14:paraId="785670B6">
      <w:pPr>
        <w:bidi w:val="0"/>
        <w:rPr>
          <w:rFonts w:ascii="Times New Roman" w:hAnsi="Times New Roman" w:eastAsia="Times New Roman" w:cstheme="minorBidi"/>
          <w:sz w:val="22"/>
          <w:szCs w:val="22"/>
          <w:lang w:val="en-US" w:eastAsia="en-US" w:bidi="ar-SA"/>
        </w:rPr>
      </w:pPr>
    </w:p>
    <w:p w14:paraId="3EB9833C">
      <w:pPr>
        <w:bidi w:val="0"/>
        <w:jc w:val="right"/>
        <w:rPr>
          <w:lang w:val="en-US" w:eastAsia="en-US"/>
        </w:rPr>
      </w:pPr>
    </w:p>
    <w:p w14:paraId="38B26088">
      <w:pPr>
        <w:bidi w:val="0"/>
        <w:jc w:val="right"/>
        <w:rPr>
          <w:lang w:val="en-US" w:eastAsia="en-US"/>
        </w:rPr>
      </w:pPr>
    </w:p>
    <w:p w14:paraId="3929A17A">
      <w:pPr>
        <w:bidi w:val="0"/>
        <w:jc w:val="right"/>
        <w:rPr>
          <w:lang w:val="en-US" w:eastAsia="en-US"/>
        </w:rPr>
      </w:pPr>
    </w:p>
    <w:p w14:paraId="15F9E631">
      <w:pPr>
        <w:bidi w:val="0"/>
        <w:jc w:val="right"/>
        <w:rPr>
          <w:lang w:val="en-US" w:eastAsia="en-US"/>
        </w:rPr>
      </w:pPr>
    </w:p>
    <w:p w14:paraId="6881E8EA">
      <w:pPr>
        <w:bidi w:val="0"/>
        <w:jc w:val="right"/>
        <w:rPr>
          <w:lang w:val="en-US" w:eastAsia="en-US"/>
        </w:rPr>
      </w:pPr>
    </w:p>
    <w:p w14:paraId="6EDCEBF5">
      <w:pPr>
        <w:bidi w:val="0"/>
        <w:jc w:val="right"/>
        <w:rPr>
          <w:lang w:val="en-US" w:eastAsia="en-US"/>
        </w:rPr>
      </w:pPr>
    </w:p>
    <w:p w14:paraId="5914F6C6">
      <w:pPr>
        <w:bidi w:val="0"/>
        <w:jc w:val="right"/>
        <w:rPr>
          <w:lang w:val="en-US" w:eastAsia="en-US"/>
        </w:rPr>
      </w:pPr>
    </w:p>
    <w:p w14:paraId="694D3FAD">
      <w:pPr>
        <w:bidi w:val="0"/>
        <w:jc w:val="right"/>
        <w:rPr>
          <w:lang w:val="en-US" w:eastAsia="en-US"/>
        </w:rPr>
      </w:pPr>
    </w:p>
    <w:p w14:paraId="09F09C7B">
      <w:pPr>
        <w:bidi w:val="0"/>
        <w:jc w:val="right"/>
        <w:rPr>
          <w:lang w:val="en-US" w:eastAsia="en-US"/>
        </w:rPr>
      </w:pPr>
    </w:p>
    <w:p w14:paraId="59960E7C">
      <w:pPr>
        <w:bidi w:val="0"/>
        <w:jc w:val="right"/>
        <w:rPr>
          <w:lang w:val="en-US" w:eastAsia="en-US"/>
        </w:rPr>
      </w:pPr>
    </w:p>
    <w:p w14:paraId="650A17C2">
      <w:pPr>
        <w:bidi w:val="0"/>
        <w:jc w:val="right"/>
        <w:rPr>
          <w:lang w:val="en-US" w:eastAsia="en-US"/>
        </w:rPr>
      </w:pPr>
    </w:p>
    <w:p w14:paraId="7166305F">
      <w:pPr>
        <w:bidi w:val="0"/>
        <w:jc w:val="right"/>
        <w:rPr>
          <w:lang w:val="en-US" w:eastAsia="en-US"/>
        </w:rPr>
      </w:pPr>
    </w:p>
    <w:p w14:paraId="7FE88C8E">
      <w:pPr>
        <w:bidi w:val="0"/>
        <w:jc w:val="right"/>
        <w:rPr>
          <w:lang w:val="en-US" w:eastAsia="en-US"/>
        </w:rPr>
      </w:pPr>
    </w:p>
    <w:p w14:paraId="67281648">
      <w:pPr>
        <w:bidi w:val="0"/>
        <w:jc w:val="right"/>
        <w:rPr>
          <w:lang w:val="en-US" w:eastAsia="en-US"/>
        </w:rPr>
      </w:pPr>
    </w:p>
    <w:p w14:paraId="183EFA63">
      <w:pPr>
        <w:bidi w:val="0"/>
        <w:jc w:val="right"/>
        <w:rPr>
          <w:lang w:val="en-US" w:eastAsia="en-US"/>
        </w:rPr>
      </w:pPr>
    </w:p>
    <w:p w14:paraId="3E6A092C">
      <w:pPr>
        <w:bidi w:val="0"/>
        <w:jc w:val="right"/>
        <w:rPr>
          <w:lang w:val="en-US" w:eastAsia="en-US"/>
        </w:rPr>
      </w:pPr>
    </w:p>
    <w:p w14:paraId="096F4500">
      <w:pPr>
        <w:bidi w:val="0"/>
        <w:jc w:val="right"/>
        <w:rPr>
          <w:lang w:val="en-US" w:eastAsia="en-US"/>
        </w:rPr>
      </w:pPr>
    </w:p>
    <w:p w14:paraId="70744BBB">
      <w:pPr>
        <w:bidi w:val="0"/>
        <w:jc w:val="right"/>
        <w:rPr>
          <w:lang w:val="en-US" w:eastAsia="en-US"/>
        </w:rPr>
      </w:pPr>
    </w:p>
    <w:p w14:paraId="44C0135A">
      <w:pPr>
        <w:bidi w:val="0"/>
        <w:jc w:val="both"/>
        <w:rPr>
          <w:lang w:val="en-US" w:eastAsia="en-US"/>
        </w:rPr>
      </w:pPr>
      <w:bookmarkStart w:id="0" w:name="_GoBack"/>
      <w:bookmarkEnd w:id="0"/>
    </w:p>
    <w:p w14:paraId="471DBB7A">
      <w:pPr>
        <w:bidi w:val="0"/>
        <w:jc w:val="both"/>
        <w:rPr>
          <w:rFonts w:hint="eastAsia" w:ascii="Times New Roman" w:hAnsi="Times New Roman" w:eastAsia="Times New Roman"/>
          <w:b/>
          <w:i w:val="0"/>
          <w:sz w:val="30"/>
        </w:rPr>
      </w:pPr>
      <w:r>
        <w:rPr>
          <w:rFonts w:ascii="Times New Roman" w:hAnsi="Times New Roman" w:eastAsia="Times New Roman"/>
          <w:b/>
          <w:i w:val="0"/>
          <w:sz w:val="30"/>
        </w:rPr>
        <w:t>Supplementary File S</w:t>
      </w:r>
      <w:r>
        <w:rPr>
          <w:rFonts w:hint="eastAsia" w:eastAsia="宋体"/>
          <w:b/>
          <w:i w:val="0"/>
          <w:sz w:val="30"/>
          <w:lang w:val="en-US" w:eastAsia="zh-CN"/>
        </w:rPr>
        <w:t>10</w:t>
      </w:r>
      <w:r>
        <w:rPr>
          <w:rFonts w:ascii="Times New Roman" w:hAnsi="Times New Roman" w:eastAsia="Times New Roman"/>
          <w:b/>
          <w:i w:val="0"/>
          <w:sz w:val="30"/>
        </w:rPr>
        <w:t xml:space="preserve">. </w:t>
      </w:r>
      <w:r>
        <w:rPr>
          <w:rFonts w:hint="eastAsia" w:ascii="Times New Roman" w:hAnsi="Times New Roman" w:eastAsia="Times New Roman"/>
          <w:b/>
          <w:i w:val="0"/>
          <w:sz w:val="30"/>
        </w:rPr>
        <w:t>STROBE 2009 Checklist</w:t>
      </w:r>
    </w:p>
    <w:p w14:paraId="278F15C5">
      <w:r>
        <w:t>Reporting compliance for this observational social-media infoveillance study, mapped to the corresponding sections of the manuscript “Coverage, Not Volume: Measurement and Reporting Artifacts in Multi-Platform Social-Media Interrupted Time-Series Analyses of COVID-19 Infodemiology.”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C76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567EF5C">
            <w:pPr>
              <w:spacing w:after="0" w:line="240" w:lineRule="auto"/>
            </w:pPr>
            <w:r>
              <w:rPr>
                <w:b/>
                <w:sz w:val="18"/>
              </w:rPr>
              <w:t>STROBE item</w:t>
            </w:r>
          </w:p>
        </w:tc>
        <w:tc>
          <w:tcPr>
            <w:tcW w:w="2880" w:type="dxa"/>
          </w:tcPr>
          <w:p w14:paraId="3935AD69">
            <w:pPr>
              <w:spacing w:after="0" w:line="240" w:lineRule="auto"/>
            </w:pPr>
            <w:r>
              <w:rPr>
                <w:b/>
                <w:sz w:val="18"/>
              </w:rPr>
              <w:t>Recommendation</w:t>
            </w:r>
          </w:p>
        </w:tc>
        <w:tc>
          <w:tcPr>
            <w:tcW w:w="2880" w:type="dxa"/>
          </w:tcPr>
          <w:p w14:paraId="607F995F">
            <w:pPr>
              <w:spacing w:after="0" w:line="240" w:lineRule="auto"/>
            </w:pPr>
            <w:r>
              <w:rPr>
                <w:b/>
                <w:sz w:val="18"/>
              </w:rPr>
              <w:t>Addressed in manuscript</w:t>
            </w:r>
          </w:p>
        </w:tc>
      </w:tr>
      <w:tr w14:paraId="524DB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80A5CB5">
            <w:pPr>
              <w:spacing w:after="0" w:line="240" w:lineRule="auto"/>
            </w:pPr>
            <w:r>
              <w:rPr>
                <w:b/>
                <w:sz w:val="18"/>
              </w:rPr>
              <w:t>1. Title and abstract</w:t>
            </w:r>
          </w:p>
        </w:tc>
        <w:tc>
          <w:tcPr>
            <w:tcW w:w="2880" w:type="dxa"/>
          </w:tcPr>
          <w:p w14:paraId="40C0D3DF">
            <w:pPr>
              <w:spacing w:after="0" w:line="240" w:lineRule="auto"/>
            </w:pPr>
            <w:r>
              <w:rPr>
                <w:sz w:val="18"/>
              </w:rPr>
              <w:t>(a) Indicate the study design in the title and/or abstract; (b) provide an informative, balanced abstract.</w:t>
            </w:r>
          </w:p>
        </w:tc>
        <w:tc>
          <w:tcPr>
            <w:tcW w:w="2880" w:type="dxa"/>
          </w:tcPr>
          <w:p w14:paraId="2515AA4F">
            <w:pPr>
              <w:spacing w:after="0" w:line="240" w:lineRule="auto"/>
            </w:pPr>
            <w:r>
              <w:rPr>
                <w:sz w:val="18"/>
              </w:rPr>
              <w:t>Title; Abstract (Background, Methods, Results, Conclusions).</w:t>
            </w:r>
          </w:p>
        </w:tc>
      </w:tr>
      <w:tr w14:paraId="69AD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12454AD">
            <w:pPr>
              <w:spacing w:after="0" w:line="240" w:lineRule="auto"/>
            </w:pPr>
            <w:r>
              <w:rPr>
                <w:b/>
                <w:sz w:val="18"/>
              </w:rPr>
              <w:t>2. Background/rationale</w:t>
            </w:r>
          </w:p>
        </w:tc>
        <w:tc>
          <w:tcPr>
            <w:tcW w:w="2880" w:type="dxa"/>
          </w:tcPr>
          <w:p w14:paraId="65B800A3">
            <w:pPr>
              <w:spacing w:after="0" w:line="240" w:lineRule="auto"/>
            </w:pPr>
            <w:r>
              <w:rPr>
                <w:sz w:val="18"/>
              </w:rPr>
              <w:t>Explain the scientific background and rationale for the investigation.</w:t>
            </w:r>
          </w:p>
        </w:tc>
        <w:tc>
          <w:tcPr>
            <w:tcW w:w="2880" w:type="dxa"/>
          </w:tcPr>
          <w:p w14:paraId="5C07342F">
            <w:pPr>
              <w:spacing w:after="0" w:line="240" w:lineRule="auto"/>
            </w:pPr>
            <w:r>
              <w:rPr>
                <w:sz w:val="18"/>
              </w:rPr>
              <w:t>§1 Introduction (§1.1–1.4).</w:t>
            </w:r>
          </w:p>
        </w:tc>
      </w:tr>
      <w:tr w14:paraId="6E871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BEC3857">
            <w:pPr>
              <w:spacing w:after="0" w:line="240" w:lineRule="auto"/>
            </w:pPr>
            <w:r>
              <w:rPr>
                <w:b/>
                <w:sz w:val="18"/>
              </w:rPr>
              <w:t>3. Objectives</w:t>
            </w:r>
          </w:p>
        </w:tc>
        <w:tc>
          <w:tcPr>
            <w:tcW w:w="2880" w:type="dxa"/>
          </w:tcPr>
          <w:p w14:paraId="597CC584">
            <w:pPr>
              <w:spacing w:after="0" w:line="240" w:lineRule="auto"/>
            </w:pPr>
            <w:r>
              <w:rPr>
                <w:sz w:val="18"/>
              </w:rPr>
              <w:t>State specific objectives, including any pre-specified hypotheses.</w:t>
            </w:r>
          </w:p>
        </w:tc>
        <w:tc>
          <w:tcPr>
            <w:tcW w:w="2880" w:type="dxa"/>
          </w:tcPr>
          <w:p w14:paraId="6121729C">
            <w:pPr>
              <w:spacing w:after="0" w:line="240" w:lineRule="auto"/>
            </w:pPr>
            <w:r>
              <w:rPr>
                <w:sz w:val="18"/>
              </w:rPr>
              <w:t>§1.3 Positioning of this study; §2 aim.</w:t>
            </w:r>
          </w:p>
        </w:tc>
      </w:tr>
      <w:tr w14:paraId="2DA5B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1EB15FA">
            <w:pPr>
              <w:spacing w:after="0" w:line="240" w:lineRule="auto"/>
            </w:pPr>
            <w:r>
              <w:rPr>
                <w:b/>
                <w:sz w:val="18"/>
              </w:rPr>
              <w:t>4. Study design</w:t>
            </w:r>
          </w:p>
        </w:tc>
        <w:tc>
          <w:tcPr>
            <w:tcW w:w="2880" w:type="dxa"/>
          </w:tcPr>
          <w:p w14:paraId="5310B805">
            <w:pPr>
              <w:spacing w:after="0" w:line="240" w:lineRule="auto"/>
            </w:pPr>
            <w:r>
              <w:rPr>
                <w:sz w:val="18"/>
              </w:rPr>
              <w:t>Present key elements of the study design early in the paper.</w:t>
            </w:r>
          </w:p>
        </w:tc>
        <w:tc>
          <w:tcPr>
            <w:tcW w:w="2880" w:type="dxa"/>
          </w:tcPr>
          <w:p w14:paraId="71614F58">
            <w:pPr>
              <w:spacing w:after="0" w:line="240" w:lineRule="auto"/>
            </w:pPr>
            <w:r>
              <w:rPr>
                <w:sz w:val="18"/>
              </w:rPr>
              <w:t>§2 Methods; retrospective observational infoveillance with interrupted time-series (ITS) analysis.</w:t>
            </w:r>
          </w:p>
        </w:tc>
      </w:tr>
      <w:tr w14:paraId="4A680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8A3311C">
            <w:pPr>
              <w:spacing w:after="0" w:line="240" w:lineRule="auto"/>
            </w:pPr>
            <w:r>
              <w:rPr>
                <w:b/>
                <w:sz w:val="18"/>
              </w:rPr>
              <w:t>5. Setting</w:t>
            </w:r>
          </w:p>
        </w:tc>
        <w:tc>
          <w:tcPr>
            <w:tcW w:w="2880" w:type="dxa"/>
          </w:tcPr>
          <w:p w14:paraId="5A139D94">
            <w:pPr>
              <w:spacing w:after="0" w:line="240" w:lineRule="auto"/>
            </w:pPr>
            <w:r>
              <w:rPr>
                <w:sz w:val="18"/>
              </w:rPr>
              <w:t>Describe the setting, locations, and relevant dates, including periods of data collection.</w:t>
            </w:r>
          </w:p>
        </w:tc>
        <w:tc>
          <w:tcPr>
            <w:tcW w:w="2880" w:type="dxa"/>
          </w:tcPr>
          <w:p w14:paraId="0C4F8B8E">
            <w:pPr>
              <w:spacing w:after="0" w:line="240" w:lineRule="auto"/>
            </w:pPr>
            <w:r>
              <w:rPr>
                <w:sz w:val="18"/>
              </w:rPr>
              <w:t>§2.1 Data provenance; five platforms; 2019-07 to 2026-07; China.</w:t>
            </w:r>
          </w:p>
        </w:tc>
      </w:tr>
      <w:tr w14:paraId="537A4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A0A32B8">
            <w:pPr>
              <w:spacing w:after="0" w:line="240" w:lineRule="auto"/>
            </w:pPr>
            <w:r>
              <w:rPr>
                <w:b/>
                <w:sz w:val="18"/>
              </w:rPr>
              <w:t>6. Participants</w:t>
            </w:r>
          </w:p>
        </w:tc>
        <w:tc>
          <w:tcPr>
            <w:tcW w:w="2880" w:type="dxa"/>
          </w:tcPr>
          <w:p w14:paraId="01AF1AB8">
            <w:pPr>
              <w:spacing w:after="0" w:line="240" w:lineRule="auto"/>
            </w:pPr>
            <w:r>
              <w:rPr>
                <w:sz w:val="18"/>
              </w:rPr>
              <w:t>(a) Give eligibility criteria and sources/methods of selection; (b) for matched studies, give matching criteria.</w:t>
            </w:r>
          </w:p>
        </w:tc>
        <w:tc>
          <w:tcPr>
            <w:tcW w:w="2880" w:type="dxa"/>
          </w:tcPr>
          <w:p w14:paraId="0C0DB880">
            <w:pPr>
              <w:spacing w:after="0" w:line="240" w:lineRule="auto"/>
            </w:pPr>
            <w:r>
              <w:rPr>
                <w:sz w:val="18"/>
              </w:rPr>
              <w:t>§2.1–2.2 Query-defined inclusion; post hoc eligibility rule (≥80% non-zero monthly coverage; ≥12 months each side of the Nov-2022 interruption).</w:t>
            </w:r>
          </w:p>
        </w:tc>
      </w:tr>
      <w:tr w14:paraId="4AB2B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8E855FA">
            <w:pPr>
              <w:spacing w:after="0" w:line="240" w:lineRule="auto"/>
            </w:pPr>
            <w:r>
              <w:rPr>
                <w:b/>
                <w:sz w:val="18"/>
              </w:rPr>
              <w:t>7. Variables</w:t>
            </w:r>
          </w:p>
        </w:tc>
        <w:tc>
          <w:tcPr>
            <w:tcW w:w="2880" w:type="dxa"/>
          </w:tcPr>
          <w:p w14:paraId="427E35EA">
            <w:pPr>
              <w:spacing w:after="0" w:line="240" w:lineRule="auto"/>
            </w:pPr>
            <w:r>
              <w:rPr>
                <w:sz w:val="18"/>
              </w:rPr>
              <w:t>Clearly define all outcomes, exposures, predictors, potential confounders, effect modifiers.</w:t>
            </w:r>
          </w:p>
        </w:tc>
        <w:tc>
          <w:tcPr>
            <w:tcW w:w="2880" w:type="dxa"/>
          </w:tcPr>
          <w:p w14:paraId="45ECBD14">
            <w:pPr>
              <w:spacing w:after="0" w:line="240" w:lineRule="auto"/>
            </w:pPr>
            <w:r>
              <w:rPr>
                <w:sz w:val="18"/>
              </w:rPr>
              <w:t>§2.3 Outcome = monthly post volume per platform; exposure = Nov-2022 policy interruption; sentiment as reported caveat.</w:t>
            </w:r>
          </w:p>
        </w:tc>
      </w:tr>
      <w:tr w14:paraId="692B1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AF725E8">
            <w:pPr>
              <w:spacing w:after="0" w:line="240" w:lineRule="auto"/>
            </w:pPr>
            <w:r>
              <w:rPr>
                <w:b/>
                <w:sz w:val="18"/>
              </w:rPr>
              <w:t>8. Data sources/measurement</w:t>
            </w:r>
          </w:p>
        </w:tc>
        <w:tc>
          <w:tcPr>
            <w:tcW w:w="2880" w:type="dxa"/>
          </w:tcPr>
          <w:p w14:paraId="2EA2A860">
            <w:pPr>
              <w:spacing w:after="0" w:line="240" w:lineRule="auto"/>
            </w:pPr>
            <w:r>
              <w:rPr>
                <w:sz w:val="18"/>
              </w:rPr>
              <w:t>For each variable, give sources, assessment methods, comparability, validity.</w:t>
            </w:r>
          </w:p>
        </w:tc>
        <w:tc>
          <w:tcPr>
            <w:tcW w:w="2880" w:type="dxa"/>
          </w:tcPr>
          <w:p w14:paraId="095638F8">
            <w:pPr>
              <w:spacing w:after="0" w:line="240" w:lineRule="auto"/>
            </w:pPr>
            <w:r>
              <w:rPr>
                <w:sz w:val="18"/>
              </w:rPr>
              <w:t>§2.1 Timestamp provenance (Table 2); retrieval vocabulary and query terms; agreement caveat (SnowNLP κ=0.12).</w:t>
            </w:r>
          </w:p>
        </w:tc>
      </w:tr>
      <w:tr w14:paraId="0A827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08A506E">
            <w:pPr>
              <w:spacing w:after="0" w:line="240" w:lineRule="auto"/>
            </w:pPr>
            <w:r>
              <w:rPr>
                <w:b/>
                <w:sz w:val="18"/>
              </w:rPr>
              <w:t>9. Bias</w:t>
            </w:r>
          </w:p>
        </w:tc>
        <w:tc>
          <w:tcPr>
            <w:tcW w:w="2880" w:type="dxa"/>
          </w:tcPr>
          <w:p w14:paraId="57B750E3">
            <w:pPr>
              <w:spacing w:after="0" w:line="240" w:lineRule="auto"/>
            </w:pPr>
            <w:r>
              <w:rPr>
                <w:sz w:val="18"/>
              </w:rPr>
              <w:t>Describe efforts to address potential sources of bias.</w:t>
            </w:r>
          </w:p>
        </w:tc>
        <w:tc>
          <w:tcPr>
            <w:tcW w:w="2880" w:type="dxa"/>
          </w:tcPr>
          <w:p w14:paraId="7106CD76">
            <w:pPr>
              <w:spacing w:after="0" w:line="240" w:lineRule="auto"/>
            </w:pPr>
            <w:r>
              <w:rPr>
                <w:sz w:val="18"/>
              </w:rPr>
              <w:t>§2.2 Eligibility rule; per-period composition audit; keyword-yield auditing; leave-one-month-out and placebo breakpoints.</w:t>
            </w:r>
          </w:p>
        </w:tc>
      </w:tr>
      <w:tr w14:paraId="352B2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EC53400">
            <w:pPr>
              <w:spacing w:after="0" w:line="240" w:lineRule="auto"/>
            </w:pPr>
            <w:r>
              <w:rPr>
                <w:b/>
                <w:sz w:val="18"/>
              </w:rPr>
              <w:t>10. Study size</w:t>
            </w:r>
          </w:p>
        </w:tc>
        <w:tc>
          <w:tcPr>
            <w:tcW w:w="2880" w:type="dxa"/>
          </w:tcPr>
          <w:p w14:paraId="2CF1B0D5">
            <w:pPr>
              <w:spacing w:after="0" w:line="240" w:lineRule="auto"/>
            </w:pPr>
            <w:r>
              <w:rPr>
                <w:sz w:val="18"/>
              </w:rPr>
              <w:t>Explain how the study size was arrived at.</w:t>
            </w:r>
          </w:p>
        </w:tc>
        <w:tc>
          <w:tcPr>
            <w:tcW w:w="2880" w:type="dxa"/>
          </w:tcPr>
          <w:p w14:paraId="1589060B">
            <w:pPr>
              <w:spacing w:after="0" w:line="240" w:lineRule="auto"/>
            </w:pPr>
            <w:r>
              <w:rPr>
                <w:sz w:val="18"/>
              </w:rPr>
              <w:t>58,750 posts retrieved; threshold-sensitivity analysis of the eligibility rule (S1).</w:t>
            </w:r>
          </w:p>
        </w:tc>
      </w:tr>
      <w:tr w14:paraId="3A2B4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56E6FD3">
            <w:pPr>
              <w:spacing w:after="0" w:line="240" w:lineRule="auto"/>
            </w:pPr>
            <w:r>
              <w:rPr>
                <w:b/>
                <w:sz w:val="18"/>
              </w:rPr>
              <w:t>11. Quantitative variables</w:t>
            </w:r>
          </w:p>
        </w:tc>
        <w:tc>
          <w:tcPr>
            <w:tcW w:w="2880" w:type="dxa"/>
          </w:tcPr>
          <w:p w14:paraId="4591A64B">
            <w:pPr>
              <w:spacing w:after="0" w:line="240" w:lineRule="auto"/>
            </w:pPr>
            <w:r>
              <w:rPr>
                <w:sz w:val="18"/>
              </w:rPr>
              <w:t>Explain how quantitative variables were handled and grouped.</w:t>
            </w:r>
          </w:p>
        </w:tc>
        <w:tc>
          <w:tcPr>
            <w:tcW w:w="2880" w:type="dxa"/>
          </w:tcPr>
          <w:p w14:paraId="2ACB32DD">
            <w:pPr>
              <w:spacing w:after="0" w:line="240" w:lineRule="auto"/>
            </w:pPr>
            <w:r>
              <w:rPr>
                <w:sz w:val="18"/>
              </w:rPr>
              <w:t>Monthly aggregation; definition of non-zero coverage; zero-fill handling for Douyin.</w:t>
            </w:r>
          </w:p>
        </w:tc>
      </w:tr>
      <w:tr w14:paraId="4D78C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212E230">
            <w:pPr>
              <w:spacing w:after="0" w:line="240" w:lineRule="auto"/>
            </w:pPr>
            <w:r>
              <w:rPr>
                <w:b/>
                <w:sz w:val="18"/>
              </w:rPr>
              <w:t>12. Statistical methods</w:t>
            </w:r>
          </w:p>
        </w:tc>
        <w:tc>
          <w:tcPr>
            <w:tcW w:w="2880" w:type="dxa"/>
          </w:tcPr>
          <w:p w14:paraId="2EAFFEB3">
            <w:pPr>
              <w:spacing w:after="0" w:line="240" w:lineRule="auto"/>
            </w:pPr>
            <w:r>
              <w:rPr>
                <w:sz w:val="18"/>
              </w:rPr>
              <w:t>(a) Describe all methods, incl. confounding control; (b) subgroups/interactions; (c) missing data; (d) matching; (e) sensitivity analyses.</w:t>
            </w:r>
          </w:p>
        </w:tc>
        <w:tc>
          <w:tcPr>
            <w:tcW w:w="2880" w:type="dxa"/>
          </w:tcPr>
          <w:p w14:paraId="490F5AC2">
            <w:pPr>
              <w:spacing w:after="0" w:line="240" w:lineRule="auto"/>
            </w:pPr>
            <w:r>
              <w:rPr>
                <w:sz w:val="18"/>
              </w:rPr>
              <w:t>§2.4–2.6 López-Bernal ITS; Newey–West HAC; Benjamini–Hochberg FDR (m=2/8) with Bonferroni and Holm; robustness in S2, S6, S7.</w:t>
            </w:r>
          </w:p>
        </w:tc>
      </w:tr>
      <w:tr w14:paraId="1EE42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6411BE0">
            <w:pPr>
              <w:spacing w:after="0" w:line="240" w:lineRule="auto"/>
            </w:pPr>
            <w:r>
              <w:rPr>
                <w:b/>
                <w:sz w:val="18"/>
              </w:rPr>
              <w:t>13. Participants (flow)</w:t>
            </w:r>
          </w:p>
        </w:tc>
        <w:tc>
          <w:tcPr>
            <w:tcW w:w="2880" w:type="dxa"/>
          </w:tcPr>
          <w:p w14:paraId="134C56B0">
            <w:pPr>
              <w:spacing w:after="0" w:line="240" w:lineRule="auto"/>
            </w:pPr>
            <w:r>
              <w:rPr>
                <w:sz w:val="18"/>
              </w:rPr>
              <w:t>Report numbers at each stage; consider a flow diagram.</w:t>
            </w:r>
          </w:p>
        </w:tc>
        <w:tc>
          <w:tcPr>
            <w:tcW w:w="2880" w:type="dxa"/>
          </w:tcPr>
          <w:p w14:paraId="1CAD155B">
            <w:pPr>
              <w:spacing w:after="0" w:line="240" w:lineRule="auto"/>
            </w:pPr>
            <w:r>
              <w:rPr>
                <w:sz w:val="18"/>
              </w:rPr>
              <w:t>Table 2 (platform temporal coverage); eligibility flow (Zhihu qualifies; Douyin excluded from inference).</w:t>
            </w:r>
          </w:p>
        </w:tc>
      </w:tr>
      <w:tr w14:paraId="228A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D3CD73C">
            <w:pPr>
              <w:spacing w:after="0" w:line="240" w:lineRule="auto"/>
            </w:pPr>
            <w:r>
              <w:rPr>
                <w:b/>
                <w:sz w:val="18"/>
              </w:rPr>
              <w:t>14. Descriptive data</w:t>
            </w:r>
          </w:p>
        </w:tc>
        <w:tc>
          <w:tcPr>
            <w:tcW w:w="2880" w:type="dxa"/>
          </w:tcPr>
          <w:p w14:paraId="570E1B64">
            <w:pPr>
              <w:spacing w:after="0" w:line="240" w:lineRule="auto"/>
            </w:pPr>
            <w:r>
              <w:rPr>
                <w:sz w:val="18"/>
              </w:rPr>
              <w:t>(a) Participant characteristics; (b) indicate missing data.</w:t>
            </w:r>
          </w:p>
        </w:tc>
        <w:tc>
          <w:tcPr>
            <w:tcW w:w="2880" w:type="dxa"/>
          </w:tcPr>
          <w:p w14:paraId="45AFAA99">
            <w:pPr>
              <w:spacing w:after="0" w:line="240" w:lineRule="auto"/>
            </w:pPr>
            <w:r>
              <w:rPr>
                <w:sz w:val="18"/>
              </w:rPr>
              <w:t>§3.1 Platform coverage map; Table 1 taxonomy; missing/zero months disclosed per platform.</w:t>
            </w:r>
          </w:p>
        </w:tc>
      </w:tr>
      <w:tr w14:paraId="260D4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6441ABC">
            <w:pPr>
              <w:spacing w:after="0" w:line="240" w:lineRule="auto"/>
            </w:pPr>
            <w:r>
              <w:rPr>
                <w:b/>
                <w:sz w:val="18"/>
              </w:rPr>
              <w:t>15. Outcome data</w:t>
            </w:r>
          </w:p>
        </w:tc>
        <w:tc>
          <w:tcPr>
            <w:tcW w:w="2880" w:type="dxa"/>
          </w:tcPr>
          <w:p w14:paraId="285A05C2">
            <w:pPr>
              <w:spacing w:after="0" w:line="240" w:lineRule="auto"/>
            </w:pPr>
            <w:r>
              <w:rPr>
                <w:sz w:val="18"/>
              </w:rPr>
              <w:t>Report dates, numbers, and analyses of the outcome.</w:t>
            </w:r>
          </w:p>
        </w:tc>
        <w:tc>
          <w:tcPr>
            <w:tcW w:w="2880" w:type="dxa"/>
          </w:tcPr>
          <w:p w14:paraId="331B8B6D">
            <w:pPr>
              <w:spacing w:after="0" w:line="240" w:lineRule="auto"/>
            </w:pPr>
            <w:r>
              <w:rPr>
                <w:sz w:val="18"/>
              </w:rPr>
              <w:t>ITS coefficient tables (S3); Fig. 1–2.</w:t>
            </w:r>
          </w:p>
        </w:tc>
      </w:tr>
      <w:tr w14:paraId="45B8F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7965C1F4">
            <w:pPr>
              <w:spacing w:after="0" w:line="240" w:lineRule="auto"/>
            </w:pPr>
            <w:r>
              <w:rPr>
                <w:b/>
                <w:sz w:val="18"/>
              </w:rPr>
              <w:t>16. Main results</w:t>
            </w:r>
          </w:p>
        </w:tc>
        <w:tc>
          <w:tcPr>
            <w:tcW w:w="2880" w:type="dxa"/>
          </w:tcPr>
          <w:p w14:paraId="2FC16AF6">
            <w:pPr>
              <w:spacing w:after="0" w:line="240" w:lineRule="auto"/>
            </w:pPr>
            <w:r>
              <w:rPr>
                <w:sz w:val="18"/>
              </w:rPr>
              <w:t>(a) Unadjusted/adjusted estimates with CIs and P; (b) subgroups; (c) sensitivity.</w:t>
            </w:r>
          </w:p>
        </w:tc>
        <w:tc>
          <w:tcPr>
            <w:tcW w:w="2880" w:type="dxa"/>
          </w:tcPr>
          <w:p w14:paraId="3572A4F0">
            <w:pPr>
              <w:spacing w:after="0" w:line="240" w:lineRule="auto"/>
            </w:pPr>
            <w:r>
              <w:rPr>
                <w:sz w:val="18"/>
              </w:rPr>
              <w:t>§3.2–3.4; within-platform estimates; FDR-adjusted q; decomposition +65.54=+20.35+45.20.</w:t>
            </w:r>
          </w:p>
        </w:tc>
      </w:tr>
      <w:tr w14:paraId="511A4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2C78F66">
            <w:pPr>
              <w:spacing w:after="0" w:line="240" w:lineRule="auto"/>
            </w:pPr>
            <w:r>
              <w:rPr>
                <w:b/>
                <w:sz w:val="18"/>
              </w:rPr>
              <w:t>17. Other analyses</w:t>
            </w:r>
          </w:p>
        </w:tc>
        <w:tc>
          <w:tcPr>
            <w:tcW w:w="2880" w:type="dxa"/>
          </w:tcPr>
          <w:p w14:paraId="6A357AB9">
            <w:pPr>
              <w:spacing w:after="0" w:line="240" w:lineRule="auto"/>
            </w:pPr>
            <w:r>
              <w:rPr>
                <w:sz w:val="18"/>
              </w:rPr>
              <w:t>Report other analyses, e.g., stratification, interaction.</w:t>
            </w:r>
          </w:p>
        </w:tc>
        <w:tc>
          <w:tcPr>
            <w:tcW w:w="2880" w:type="dxa"/>
          </w:tcPr>
          <w:p w14:paraId="556562D2">
            <w:pPr>
              <w:spacing w:after="0" w:line="240" w:lineRule="auto"/>
            </w:pPr>
            <w:r>
              <w:rPr>
                <w:sz w:val="18"/>
              </w:rPr>
              <w:t>Per-period retrieval-yield re-estimation; Simpson’s-paradox composition flip; keyword-level decomposition.</w:t>
            </w:r>
          </w:p>
        </w:tc>
      </w:tr>
      <w:tr w14:paraId="19A91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09AC390">
            <w:pPr>
              <w:spacing w:after="0" w:line="240" w:lineRule="auto"/>
            </w:pPr>
            <w:r>
              <w:rPr>
                <w:b/>
                <w:sz w:val="18"/>
              </w:rPr>
              <w:t>18. Key results</w:t>
            </w:r>
          </w:p>
        </w:tc>
        <w:tc>
          <w:tcPr>
            <w:tcW w:w="2880" w:type="dxa"/>
          </w:tcPr>
          <w:p w14:paraId="35AD0C49">
            <w:pPr>
              <w:spacing w:after="0" w:line="240" w:lineRule="auto"/>
            </w:pPr>
            <w:r>
              <w:rPr>
                <w:sz w:val="18"/>
              </w:rPr>
              <w:t>Summarize key results with specific comments about generalisability.</w:t>
            </w:r>
          </w:p>
        </w:tc>
        <w:tc>
          <w:tcPr>
            <w:tcW w:w="2880" w:type="dxa"/>
          </w:tcPr>
          <w:p w14:paraId="160C3BD3">
            <w:pPr>
              <w:spacing w:after="0" w:line="240" w:lineRule="auto"/>
            </w:pPr>
            <w:r>
              <w:rPr>
                <w:sz w:val="18"/>
              </w:rPr>
              <w:t>§5 Conclusions; six reporting standards + two prospective requirements.</w:t>
            </w:r>
          </w:p>
        </w:tc>
      </w:tr>
      <w:tr w14:paraId="216E2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C46451E">
            <w:pPr>
              <w:spacing w:after="0" w:line="240" w:lineRule="auto"/>
            </w:pPr>
            <w:r>
              <w:rPr>
                <w:b/>
                <w:sz w:val="18"/>
              </w:rPr>
              <w:t>19. Limitations</w:t>
            </w:r>
          </w:p>
        </w:tc>
        <w:tc>
          <w:tcPr>
            <w:tcW w:w="2880" w:type="dxa"/>
          </w:tcPr>
          <w:p w14:paraId="7AD7F520">
            <w:pPr>
              <w:spacing w:after="0" w:line="240" w:lineRule="auto"/>
            </w:pPr>
            <w:r>
              <w:rPr>
                <w:sz w:val="18"/>
              </w:rPr>
              <w:t>Discuss limitations, considering sources of potential bias.</w:t>
            </w:r>
          </w:p>
        </w:tc>
        <w:tc>
          <w:tcPr>
            <w:tcW w:w="2880" w:type="dxa"/>
          </w:tcPr>
          <w:p w14:paraId="493636E3">
            <w:pPr>
              <w:spacing w:after="0" w:line="240" w:lineRule="auto"/>
            </w:pPr>
            <w:r>
              <w:rPr>
                <w:sz w:val="18"/>
              </w:rPr>
              <w:t>§4 Limitations (coverage bias, single interruption, sentiment caveat, external validity).</w:t>
            </w:r>
          </w:p>
        </w:tc>
      </w:tr>
      <w:tr w14:paraId="32AD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EC65BE2">
            <w:pPr>
              <w:spacing w:after="0" w:line="240" w:lineRule="auto"/>
            </w:pPr>
            <w:r>
              <w:rPr>
                <w:b/>
                <w:sz w:val="18"/>
              </w:rPr>
              <w:t>20. Interpretation</w:t>
            </w:r>
          </w:p>
        </w:tc>
        <w:tc>
          <w:tcPr>
            <w:tcW w:w="2880" w:type="dxa"/>
          </w:tcPr>
          <w:p w14:paraId="4807B645">
            <w:pPr>
              <w:spacing w:after="0" w:line="240" w:lineRule="auto"/>
            </w:pPr>
            <w:r>
              <w:rPr>
                <w:sz w:val="18"/>
              </w:rPr>
              <w:t>Give cautious overall interpretation, considering limitations.</w:t>
            </w:r>
          </w:p>
        </w:tc>
        <w:tc>
          <w:tcPr>
            <w:tcW w:w="2880" w:type="dxa"/>
          </w:tcPr>
          <w:p w14:paraId="29E70EFF">
            <w:pPr>
              <w:spacing w:after="0" w:line="240" w:lineRule="auto"/>
            </w:pPr>
            <w:r>
              <w:rPr>
                <w:sz w:val="18"/>
              </w:rPr>
              <w:t>§5; validity rests on completeness/provenance/yield, not corpus size.</w:t>
            </w:r>
          </w:p>
        </w:tc>
      </w:tr>
      <w:tr w14:paraId="270B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C076626">
            <w:pPr>
              <w:spacing w:after="0" w:line="240" w:lineRule="auto"/>
            </w:pPr>
            <w:r>
              <w:rPr>
                <w:b/>
                <w:sz w:val="18"/>
              </w:rPr>
              <w:t>21. Generalisability</w:t>
            </w:r>
          </w:p>
        </w:tc>
        <w:tc>
          <w:tcPr>
            <w:tcW w:w="2880" w:type="dxa"/>
          </w:tcPr>
          <w:p w14:paraId="280CB332">
            <w:pPr>
              <w:spacing w:after="0" w:line="240" w:lineRule="auto"/>
            </w:pPr>
            <w:r>
              <w:rPr>
                <w:sz w:val="18"/>
              </w:rPr>
              <w:t>Discuss external validity of the results.</w:t>
            </w:r>
          </w:p>
        </w:tc>
        <w:tc>
          <w:tcPr>
            <w:tcW w:w="2880" w:type="dxa"/>
          </w:tcPr>
          <w:p w14:paraId="115E65D2">
            <w:pPr>
              <w:spacing w:after="0" w:line="240" w:lineRule="auto"/>
            </w:pPr>
            <w:r>
              <w:rPr>
                <w:sz w:val="18"/>
              </w:rPr>
              <w:t>§4/§5; implications for platform search-output ITS beyond COVID-19.</w:t>
            </w:r>
          </w:p>
        </w:tc>
      </w:tr>
      <w:tr w14:paraId="1D19A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F957BA9">
            <w:pPr>
              <w:spacing w:after="0" w:line="240" w:lineRule="auto"/>
            </w:pPr>
            <w:r>
              <w:rPr>
                <w:b/>
                <w:sz w:val="18"/>
              </w:rPr>
              <w:t>22. Funding</w:t>
            </w:r>
          </w:p>
        </w:tc>
        <w:tc>
          <w:tcPr>
            <w:tcW w:w="2880" w:type="dxa"/>
          </w:tcPr>
          <w:p w14:paraId="115C108E">
            <w:pPr>
              <w:spacing w:after="0" w:line="240" w:lineRule="auto"/>
            </w:pPr>
            <w:r>
              <w:rPr>
                <w:sz w:val="18"/>
              </w:rPr>
              <w:t>Give sources of funding and the role of funders.</w:t>
            </w:r>
          </w:p>
        </w:tc>
        <w:tc>
          <w:tcPr>
            <w:tcW w:w="2880" w:type="dxa"/>
          </w:tcPr>
          <w:p w14:paraId="1A768EA4">
            <w:pPr>
              <w:spacing w:after="0" w:line="240" w:lineRule="auto"/>
            </w:pPr>
            <w:r>
              <w:rPr>
                <w:sz w:val="18"/>
              </w:rPr>
              <w:t>Declarations → Funding: None declared; Acknowledgements: Not applicable.</w:t>
            </w:r>
          </w:p>
        </w:tc>
      </w:tr>
    </w:tbl>
    <w:p w14:paraId="0A6A747B">
      <w:pPr>
        <w:bidi w:val="0"/>
        <w:jc w:val="both"/>
        <w:rPr>
          <w:rFonts w:hint="eastAsia" w:ascii="Times New Roman" w:hAnsi="Times New Roman" w:eastAsia="Times New Roman"/>
          <w:b/>
          <w:i w:val="0"/>
          <w:sz w:val="30"/>
        </w:rPr>
      </w:pPr>
    </w:p>
    <w:p w14:paraId="21C68A41">
      <w:pPr>
        <w:bidi w:val="0"/>
        <w:jc w:val="both"/>
        <w:rPr>
          <w:rFonts w:ascii="Times New Roman" w:hAnsi="Times New Roman" w:eastAsia="Times New Roman"/>
          <w:b/>
          <w:i w:val="0"/>
          <w:sz w:val="30"/>
          <w:lang w:val="en-US" w:eastAsia="en-US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C72C4A"/>
    <w:rsid w:val="0F591145"/>
    <w:rsid w:val="171D5DE5"/>
    <w:rsid w:val="23A979DB"/>
    <w:rsid w:val="6F9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2261</Words>
  <Characters>11791</Characters>
  <Lines>0</Lines>
  <Paragraphs>0</Paragraphs>
  <TotalTime>1</TotalTime>
  <ScaleCrop>false</ScaleCrop>
  <LinksUpToDate>false</LinksUpToDate>
  <CharactersWithSpaces>13445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谢拉</cp:lastModifiedBy>
  <dcterms:modified xsi:type="dcterms:W3CDTF">2026-09-12T23:51:43Z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eyJoZGlkIjoiZTFlYWI1NzE1NDZlMzg0NjY1Nzk1MjgxMmJmNmQ5ZTIiLCJ1c2VySWQiOiI0MzE5ODcwODMifQ==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2DC5C347A0134899AF558AD8BFEE3908_12</vt:lpwstr>
  </property>
</Properties>
</file>