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B6B6" w14:textId="77777777" w:rsidR="00A91C11" w:rsidRDefault="002627B5">
      <w:pPr>
        <w:pStyle w:val="Titre"/>
        <w:spacing w:after="80"/>
        <w:jc w:val="center"/>
      </w:pPr>
      <w:r>
        <w:rPr>
          <w:rFonts w:ascii="Arial" w:eastAsia="Arial" w:hAnsi="Arial"/>
        </w:rPr>
        <w:t>STROBE reporting checklist</w:t>
      </w:r>
    </w:p>
    <w:p w14:paraId="384B16EB" w14:textId="77777777" w:rsidR="00A91C11" w:rsidRDefault="002627B5">
      <w:pPr>
        <w:spacing w:after="140"/>
        <w:jc w:val="center"/>
      </w:pPr>
      <w:r>
        <w:rPr>
          <w:rFonts w:eastAsia="Arial"/>
          <w:i/>
          <w:sz w:val="20"/>
        </w:rPr>
        <w:t>Completed for the retrospective ecological panel analysis</w:t>
      </w:r>
    </w:p>
    <w:p w14:paraId="33BB150E" w14:textId="77777777" w:rsidR="00A91C11" w:rsidRDefault="002627B5">
      <w:r>
        <w:rPr>
          <w:rFonts w:eastAsia="Arial"/>
          <w:b/>
        </w:rPr>
        <w:t xml:space="preserve">Manuscript assessed: </w:t>
      </w:r>
      <w:r>
        <w:rPr>
          <w:rFonts w:eastAsia="Arial"/>
        </w:rPr>
        <w:t>Are public health allocations needs-based? A retrospective panel analysis and prospective allocation simulator for Senegalese health districts</w:t>
      </w:r>
    </w:p>
    <w:p w14:paraId="2B239234" w14:textId="77777777" w:rsidR="00A91C11" w:rsidRDefault="002627B5">
      <w:r>
        <w:rPr>
          <w:rFonts w:eastAsia="Arial"/>
          <w:b/>
        </w:rPr>
        <w:t xml:space="preserve">Author: </w:t>
      </w:r>
      <w:r>
        <w:rPr>
          <w:rFonts w:eastAsia="Arial"/>
        </w:rPr>
        <w:t>Oumar Sagna, MD, PhD, MPH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STROBE reporting checklist"/>
        <w:tblDescription w:val="Reporting guideline item, manuscript location, and assessment of completeness."/>
      </w:tblPr>
      <w:tblGrid>
        <w:gridCol w:w="1699"/>
        <w:gridCol w:w="1152"/>
        <w:gridCol w:w="4925"/>
        <w:gridCol w:w="1699"/>
        <w:gridCol w:w="5789"/>
      </w:tblGrid>
      <w:tr w:rsidR="00A91C11" w:rsidRPr="00871E65" w14:paraId="71C0C6D6" w14:textId="77777777" w:rsidTr="00871E65">
        <w:trPr>
          <w:cantSplit/>
          <w:tblHeader/>
          <w:jc w:val="center"/>
        </w:trPr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AC9FBF" w14:textId="77777777" w:rsidR="00A91C11" w:rsidRPr="00871E65" w:rsidRDefault="002627B5" w:rsidP="00871E65">
            <w:pPr>
              <w:keepLines/>
              <w:spacing w:after="0"/>
              <w:rPr>
                <w:szCs w:val="28"/>
              </w:rPr>
            </w:pPr>
            <w:r w:rsidRPr="00871E65">
              <w:rPr>
                <w:rFonts w:eastAsia="Arial"/>
                <w:b/>
                <w:szCs w:val="28"/>
              </w:rPr>
              <w:t>Section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792779" w14:textId="77777777" w:rsidR="00A91C11" w:rsidRPr="00871E65" w:rsidRDefault="002627B5" w:rsidP="00871E65">
            <w:pPr>
              <w:keepLines/>
              <w:spacing w:after="0"/>
              <w:jc w:val="center"/>
              <w:rPr>
                <w:szCs w:val="28"/>
              </w:rPr>
            </w:pPr>
            <w:r w:rsidRPr="00871E65">
              <w:rPr>
                <w:rFonts w:eastAsia="Arial"/>
                <w:b/>
                <w:szCs w:val="28"/>
              </w:rPr>
              <w:t>Item</w:t>
            </w: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5EC1291" w14:textId="77777777" w:rsidR="00A91C11" w:rsidRPr="00871E65" w:rsidRDefault="002627B5" w:rsidP="00871E65">
            <w:pPr>
              <w:keepLines/>
              <w:spacing w:after="0"/>
              <w:jc w:val="center"/>
              <w:rPr>
                <w:szCs w:val="28"/>
              </w:rPr>
            </w:pPr>
            <w:r w:rsidRPr="00871E65">
              <w:rPr>
                <w:rFonts w:eastAsia="Arial"/>
                <w:b/>
                <w:szCs w:val="28"/>
              </w:rPr>
              <w:t>Reporting recommendation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C9114B3" w14:textId="77777777" w:rsidR="00A91C11" w:rsidRPr="00871E65" w:rsidRDefault="002627B5" w:rsidP="00871E65">
            <w:pPr>
              <w:keepLines/>
              <w:spacing w:after="0"/>
              <w:jc w:val="center"/>
              <w:rPr>
                <w:szCs w:val="28"/>
              </w:rPr>
            </w:pPr>
            <w:r w:rsidRPr="00871E65">
              <w:rPr>
                <w:rFonts w:eastAsia="Arial"/>
                <w:b/>
                <w:szCs w:val="28"/>
              </w:rPr>
              <w:t>Page or location</w:t>
            </w:r>
          </w:p>
        </w:tc>
        <w:tc>
          <w:tcPr>
            <w:tcW w:w="5789" w:type="dxa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D3F092" w14:textId="77777777" w:rsidR="00A91C11" w:rsidRPr="00871E65" w:rsidRDefault="002627B5" w:rsidP="00871E65">
            <w:pPr>
              <w:keepLines/>
              <w:spacing w:after="0"/>
              <w:jc w:val="center"/>
              <w:rPr>
                <w:szCs w:val="28"/>
              </w:rPr>
            </w:pPr>
            <w:r w:rsidRPr="00871E65">
              <w:rPr>
                <w:rFonts w:eastAsia="Arial"/>
                <w:b/>
                <w:szCs w:val="28"/>
              </w:rPr>
              <w:t>Assessment and action</w:t>
            </w:r>
          </w:p>
        </w:tc>
      </w:tr>
      <w:tr w:rsidR="00A91C11" w:rsidRPr="00871E65" w14:paraId="1E099572" w14:textId="77777777" w:rsidTr="00871E65">
        <w:trPr>
          <w:cantSplit/>
          <w:jc w:val="center"/>
        </w:trPr>
        <w:tc>
          <w:tcPr>
            <w:tcW w:w="1699" w:type="dxa"/>
            <w:tcBorders>
              <w:top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98E99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Title and abstract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4471F34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1a</w:t>
            </w:r>
          </w:p>
        </w:tc>
        <w:tc>
          <w:tcPr>
            <w:tcW w:w="4925" w:type="dxa"/>
            <w:tcBorders>
              <w:top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784C85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Identify the observational design in the title or abstract.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C0658CA" w14:textId="77777777" w:rsidR="007B0ABD" w:rsidRDefault="00197D4D">
            <w:r>
              <w:t>Main manuscript p. 1</w:t>
            </w:r>
          </w:p>
        </w:tc>
        <w:tc>
          <w:tcPr>
            <w:tcW w:w="5789" w:type="dxa"/>
            <w:tcBorders>
              <w:top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893D83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retrospective observational panel design is stated in the title and abstract.</w:t>
            </w:r>
          </w:p>
        </w:tc>
      </w:tr>
      <w:tr w:rsidR="00A91C11" w:rsidRPr="00871E65" w14:paraId="6099A85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B6FB7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Title and abstract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DB231C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DEB94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Give a balanced summary of methods and findings.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766C92" w14:textId="77777777" w:rsidR="007B0ABD" w:rsidRDefault="00197D4D">
            <w:r>
              <w:t>Main manuscript pp. 1–2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301B71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structured abstract summarizes the background, methods, results and conclusions.</w:t>
            </w:r>
          </w:p>
        </w:tc>
      </w:tr>
      <w:tr w:rsidR="00A91C11" w:rsidRPr="00871E65" w14:paraId="03FBFBAC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DD3B0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Introduction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2F22D6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2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583FA9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Explain the scientific background and rationale.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8F3805" w14:textId="77777777" w:rsidR="007B0ABD" w:rsidRDefault="00197D4D">
            <w:r>
              <w:t>Main manuscript pp. 2–3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64FAF2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scientific and policy rationale is explained.</w:t>
            </w:r>
          </w:p>
        </w:tc>
      </w:tr>
      <w:tr w:rsidR="00A91C11" w:rsidRPr="00871E65" w14:paraId="26C7C0D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4F29C5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Introduction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65CCC5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3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6D568A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State specific objectives and prespecified hypotheses.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9DD615" w14:textId="77777777" w:rsidR="007B0ABD" w:rsidRDefault="00197D4D">
            <w:r>
              <w:t>Main manuscript p. 3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2AB752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two objectives and the prespecified allocation hypotheses are stated.</w:t>
            </w:r>
          </w:p>
        </w:tc>
      </w:tr>
      <w:tr w:rsidR="00A91C11" w:rsidRPr="00871E65" w14:paraId="13E45C8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3EFD0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7EFE52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4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EF4969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Present the study design early in the paper.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E00EC6" w14:textId="77777777" w:rsidR="007B0ABD" w:rsidRDefault="00197D4D">
            <w:r>
              <w:t>Main manuscript p. 3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DA37C4C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retrospective ecological panel design is presented at the start of Methods.</w:t>
            </w:r>
          </w:p>
        </w:tc>
      </w:tr>
      <w:tr w:rsidR="00A91C11" w:rsidRPr="00871E65" w14:paraId="7F360BDC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BF9179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3C9949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5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D1668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setting, locations and relevant dates.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5811AF" w14:textId="77777777" w:rsidR="007B0ABD" w:rsidRDefault="00197D4D">
            <w:r>
              <w:t>Main manuscript pp. 3–5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AB0D9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Senegal, the district and regional levels, fiscal years 2016-2018, source years and extraction date are reported.</w:t>
            </w:r>
          </w:p>
        </w:tc>
      </w:tr>
      <w:tr w:rsidR="00A91C11" w:rsidRPr="00871E65" w14:paraId="099B936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71FBB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D32075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6a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90F51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State eligibility and selection criteria and the source of observations.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416F287" w14:textId="77777777" w:rsidR="007B0ABD" w:rsidRDefault="00197D4D">
            <w:r>
              <w:t>Main manuscript pp. 3–5; Figure 1; Supplementary Methods pp. 1–2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632552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BOOST administrative perimeter, selection criteria, 71 districts and exclusion of 14 DRS from primary regressions are described.</w:t>
            </w:r>
          </w:p>
        </w:tc>
      </w:tr>
      <w:tr w:rsidR="00A91C11" w:rsidRPr="00871E65" w14:paraId="5720597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73B83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26F7E08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6b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42E78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For matched studies, describe matching criteria and numbers.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B7F73D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949B8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this was not a matched study.</w:t>
            </w:r>
          </w:p>
        </w:tc>
      </w:tr>
      <w:tr w:rsidR="00A91C11" w:rsidRPr="00871E65" w14:paraId="2F29E3A1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163ED9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75B8E9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7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43B7A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Define outcomes, exposures, predictors, confounders and effect modifiers.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EA83C6" w14:textId="77777777" w:rsidR="007B0ABD" w:rsidRDefault="00197D4D">
            <w:r>
              <w:t>Main manuscript pp. 5–7; Tables 1–2; Supplementary Methods p. 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CE1C8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outcomes, predictors, derived indices, year controls and inference clusters are defined.</w:t>
            </w:r>
          </w:p>
        </w:tc>
      </w:tr>
      <w:tr w:rsidR="00A91C11" w:rsidRPr="00871E65" w14:paraId="60569DF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0E56E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27C2D7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8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6A888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Give data sources and measurement methods for each variable.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4035A89" w14:textId="77777777" w:rsidR="007B0ABD" w:rsidRDefault="00197D4D">
            <w:r>
              <w:t>Main manuscript pp. 4–6; Tables 1–2; Supplementary Methods pp. 1–2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FB510E8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source, year, geographic level, coding and measurement are reported for each variable.</w:t>
            </w:r>
          </w:p>
        </w:tc>
      </w:tr>
      <w:tr w:rsidR="00A91C11" w:rsidRPr="00871E65" w14:paraId="0808C231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F83A71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E6F617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9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7B9FB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efforts to address potential bias.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AAA3F1" w14:textId="77777777" w:rsidR="007B0ABD" w:rsidRDefault="00197D4D">
            <w:r>
              <w:t>Main manuscript pp. 4–9 and p. 18; Supplementary Methods pp. 1–2 and 9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F602F7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selection, geographic aggregation, deterministic linkage, clustered inference, collinearity and ecological limitations are addressed.</w:t>
            </w:r>
          </w:p>
        </w:tc>
      </w:tr>
      <w:tr w:rsidR="00A91C11" w:rsidRPr="00871E65" w14:paraId="1A49964C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0E97DC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lastRenderedPageBreak/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E4A664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10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D03181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Explain how the study size was determined.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D080059" w14:textId="77777777" w:rsidR="007B0ABD" w:rsidRDefault="00197D4D">
            <w:r>
              <w:t>Main manuscript pp. 3–5; Figure 1; Supplementary Methods p. 1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02321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all 71 eligible districts over three fiscal years were included; no sampling calculation was applicable.</w:t>
            </w:r>
          </w:p>
        </w:tc>
      </w:tr>
      <w:tr w:rsidR="00A91C11" w:rsidRPr="00871E65" w14:paraId="7B934503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179C9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DEB1BB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11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255363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Explain treatment of quantitative variables and any groupings.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0DA94E" w14:textId="77777777" w:rsidR="007B0ABD" w:rsidRDefault="00197D4D">
            <w:r>
              <w:t>Main manuscript pp. 5–7; Table 2; Supplementary Methods pp. 2–6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25008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log transformations, scaling, z-score construction and continuous-variable treatment are reported.</w:t>
            </w:r>
          </w:p>
        </w:tc>
      </w:tr>
      <w:tr w:rsidR="00A91C11" w:rsidRPr="00871E65" w14:paraId="681F1C7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CB86D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00BE99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12a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9CBAE9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all statistical methods, including confounding control.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BB79DA" w14:textId="77777777" w:rsidR="007B0ABD" w:rsidRDefault="00197D4D">
            <w:r>
              <w:t>Main manuscript pp. 6–9; Table 3; Supplementary Methods pp. 2–8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3E67C1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descriptive methods, nested models, year effects, regional clustering and bootstrap inference are described.</w:t>
            </w:r>
          </w:p>
        </w:tc>
      </w:tr>
      <w:tr w:rsidR="00A91C11" w:rsidRPr="00871E65" w14:paraId="4C483CE9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95159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6B344D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12b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C24904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methods for subgroups and interactions.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77C62B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FA1D71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no subgroup or interaction analyses were prespecified.</w:t>
            </w:r>
          </w:p>
        </w:tc>
      </w:tr>
      <w:tr w:rsidR="00A91C11" w:rsidRPr="00871E65" w14:paraId="7E2E1C42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558DB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2A5B82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12c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053C4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Explain how missing data were handled.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E65685" w14:textId="77777777" w:rsidR="007B0ABD" w:rsidRDefault="00197D4D">
            <w:r>
              <w:t>Main manuscript p. 5; Supplementary Methods p. 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920747" w14:textId="77777777" w:rsidR="007B0ABD" w:rsidRDefault="00197D4D">
            <w:r>
              <w:t>Complete: the balanced panel, complete analytical records, absence of statistical imputation and absence of unmatched district identifiers are explicitly reported.</w:t>
            </w:r>
          </w:p>
        </w:tc>
      </w:tr>
      <w:tr w:rsidR="00A91C11" w:rsidRPr="00871E65" w14:paraId="3FC342F6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FF1EB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4A2D5E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12d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BB55A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If applicable, address sampling strategy in the analysis.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8D1ADB9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028C0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the analysis did not use a complex sampling design selected by the author.</w:t>
            </w:r>
          </w:p>
        </w:tc>
      </w:tr>
      <w:tr w:rsidR="00A91C11" w:rsidRPr="00871E65" w14:paraId="3FC9ACDD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0EC9D5A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Methods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05D5232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12e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27337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sensitivity analyses.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EE13E7" w14:textId="77777777" w:rsidR="007B0ABD" w:rsidRDefault="00197D4D">
            <w:r>
              <w:t>Main manuscript pp. 6 and 10–13; Supplementary Methods p. 8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7E5D2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multicollinearity diagnostics and wild-cluster bootstrap inference are reported.</w:t>
            </w:r>
          </w:p>
        </w:tc>
      </w:tr>
      <w:tr w:rsidR="00A91C11" w:rsidRPr="00871E65" w14:paraId="5B42A1E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F97D7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501122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13a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6AE0E5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Report numbers at each stage of the study.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E68A993" w14:textId="77777777" w:rsidR="007B0ABD" w:rsidRDefault="00197D4D">
            <w:r>
              <w:t>Main manuscript pp. 4–5; Figure 1; Supplementary Methods p. 1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3E25F3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85 entities were screened, 14 DRS were excluded from primary regressions and 71 districts were retained.</w:t>
            </w:r>
          </w:p>
        </w:tc>
      </w:tr>
      <w:tr w:rsidR="00A91C11" w:rsidRPr="00871E65" w14:paraId="3454F0A3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4B32A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DE4036C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13b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640148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Give reasons for non-participation or exclusion.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91DFBA" w14:textId="77777777" w:rsidR="007B0ABD" w:rsidRDefault="00197D4D">
            <w:r>
              <w:t>Main manuscript pp. 3–5; Figure 1; Supplementary Methods p. 1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940C1B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DRS were excluded because their administrative functions and budget-generating processes differ.</w:t>
            </w:r>
          </w:p>
        </w:tc>
      </w:tr>
      <w:tr w:rsidR="00A91C11" w:rsidRPr="00871E65" w14:paraId="0D3CFE90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A05E8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58300C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13c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381A9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Consider a flow diagram.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620C91" w14:textId="77777777" w:rsidR="007B0ABD" w:rsidRDefault="00197D4D">
            <w:r>
              <w:t>Main manuscript p. 4; Figure 1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D89097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analytical-sample flow diagram is provided.</w:t>
            </w:r>
          </w:p>
        </w:tc>
      </w:tr>
      <w:tr w:rsidR="00A91C11" w:rsidRPr="00871E65" w14:paraId="2F10C0B4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FE962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CD44191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14a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E4566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Describe participant or unit characteristics and relevant exposures.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D2A712" w14:textId="77777777" w:rsidR="007B0ABD" w:rsidRDefault="00197D4D">
            <w:r>
              <w:t>Main manuscript p. 10; Table 4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6043AA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district-year allocations and analytical characteristics are summarized.</w:t>
            </w:r>
          </w:p>
        </w:tc>
      </w:tr>
      <w:tr w:rsidR="00A91C11" w:rsidRPr="00871E65" w14:paraId="1FBCD8A5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BD7B1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2879BF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14b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D3846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State missing values for each variable.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8B5289" w14:textId="77777777" w:rsidR="007B0ABD" w:rsidRDefault="00197D4D">
            <w:r>
              <w:t>Main manuscript p. 5; Supplementary Methods p. 2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EA39E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manuscript states that the primary dataset was balanced, models used complete analytical records and no statistical imputation was undertaken.</w:t>
            </w:r>
          </w:p>
        </w:tc>
      </w:tr>
      <w:tr w:rsidR="00A91C11" w:rsidRPr="00871E65" w14:paraId="6E4CF4FA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CFF77A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lastRenderedPageBreak/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55CC61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14c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18E5C8A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Summarize follow-up time when relevant.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D80CF8E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A767F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this was not an individual follow-up study.</w:t>
            </w:r>
          </w:p>
        </w:tc>
      </w:tr>
      <w:tr w:rsidR="00A91C11" w:rsidRPr="00871E65" w14:paraId="24C78D36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5F1123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F2117FF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15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A278E3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Report outcome events or summary measures.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0481FE" w14:textId="77777777" w:rsidR="007B0ABD" w:rsidRDefault="00197D4D">
            <w:r>
              <w:t>Main manuscript pp. 9–13; Tables 4–6; Figures 2–3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6FBCBD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allocation trends, distributions and regression outcomes are reported.</w:t>
            </w:r>
          </w:p>
        </w:tc>
      </w:tr>
      <w:tr w:rsidR="00A91C11" w:rsidRPr="00871E65" w14:paraId="618E8466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811A8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E257B8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16a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4C290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Provide unadjusted and adjusted estimates with precision.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CEBCB2" w14:textId="77777777" w:rsidR="007B0ABD" w:rsidRDefault="00197D4D">
            <w:r>
              <w:t>Main manuscript pp. 11–13; Table 6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29D99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unadjusted and adjusted estimates, clustered standard errors and bootstrap results are reported.</w:t>
            </w:r>
          </w:p>
        </w:tc>
      </w:tr>
      <w:tr w:rsidR="00A91C11" w:rsidRPr="00871E65" w14:paraId="4F7B99CA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7A1C9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A79708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16b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5A075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Report category boundaries when continuous variables are categorized.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ED9658F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519F293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the principal predictors were analysed continuously.</w:t>
            </w:r>
          </w:p>
        </w:tc>
      </w:tr>
      <w:tr w:rsidR="00A91C11" w:rsidRPr="00871E65" w14:paraId="31C2DB5C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3C7B08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CCE6B8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16c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5BBDDF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Translate relative estimates into absolute risk when relevant.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3FEEC8" w14:textId="77777777" w:rsidR="007B0ABD" w:rsidRDefault="00197D4D">
            <w:r>
              <w:t>Not applicable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B82728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Not applicable: the outcome was a continuous budget allocation rather than a risk measure.</w:t>
            </w:r>
          </w:p>
        </w:tc>
      </w:tr>
      <w:tr w:rsidR="00A91C11" w:rsidRPr="00871E65" w14:paraId="31ADBA0B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B662A3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Results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6F73DA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17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BC382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Report other analyses, including sensitivity analyses.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C40936" w14:textId="77777777" w:rsidR="007B0ABD" w:rsidRDefault="00197D4D">
            <w:r>
              <w:t>Main manuscript pp. 10–13; Tables 5–6; Supplementary Methods p. 8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A247EB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correlations, VIFs, bootstrap tests and model comparisons are reported.</w:t>
            </w:r>
          </w:p>
        </w:tc>
      </w:tr>
      <w:tr w:rsidR="00A91C11" w:rsidRPr="00871E65" w14:paraId="7F1D7349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0C71042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C7B322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18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2FDC4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Summarize key results in relation to objectives.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221065" w14:textId="77777777" w:rsidR="007B0ABD" w:rsidRDefault="00197D4D">
            <w:r>
              <w:t>Main manuscript p. 13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DBB78C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principal findings are summarized in relation to the objectives.</w:t>
            </w:r>
          </w:p>
        </w:tc>
      </w:tr>
      <w:tr w:rsidR="00A91C11" w:rsidRPr="00871E65" w14:paraId="58948155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7DCBA45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E2C18E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19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285247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 limitations, direction and magnitude of potential bias.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4E96B01" w14:textId="77777777" w:rsidR="007B0ABD" w:rsidRDefault="00197D4D">
            <w:r>
              <w:t>Main manuscript p. 18; Supplementary Methods p. 9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BAA68F" w14:textId="77777777" w:rsidR="007B0ABD" w:rsidRDefault="00197D4D">
            <w:r>
              <w:t>Complete: limitations and the likely direction of constraints arising from the BOOST perimeter, regional proxies, linkage level and absence of execution data are discussed.</w:t>
            </w:r>
          </w:p>
        </w:tc>
      </w:tr>
      <w:tr w:rsidR="00A91C11" w:rsidRPr="00871E65" w14:paraId="14DADEC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327B5C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B35E53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20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F367132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Give a cautious overall interpretation in light of objectives and evidence.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A132E1" w14:textId="77777777" w:rsidR="007B0ABD" w:rsidRDefault="00197D4D">
            <w:r>
              <w:t>Main manuscript pp. 13–18; Supplementary Methods pp. 3–8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1299F8D" w14:textId="77777777" w:rsidR="007B0ABD" w:rsidRDefault="00197D4D">
            <w:r>
              <w:t>Complete: interpretation is cautious and distinguishes diagnostic regression results from prospective policy parameters; full assumptions and governance requirements are documented in the Supplementary Methods.</w:t>
            </w:r>
          </w:p>
        </w:tc>
      </w:tr>
      <w:tr w:rsidR="00A91C11" w:rsidRPr="00871E65" w14:paraId="08589B4F" w14:textId="77777777" w:rsidTr="00871E65">
        <w:trPr>
          <w:cantSplit/>
          <w:jc w:val="center"/>
        </w:trPr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A264F8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Discussion</w:t>
            </w:r>
          </w:p>
        </w:tc>
        <w:tc>
          <w:tcPr>
            <w:tcW w:w="1152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0859A9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21</w:t>
            </w:r>
          </w:p>
        </w:tc>
        <w:tc>
          <w:tcPr>
            <w:tcW w:w="4925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645A86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Discuss generalizability of the findings.</w:t>
            </w:r>
          </w:p>
        </w:tc>
        <w:tc>
          <w:tcPr>
            <w:tcW w:w="169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3F18E03" w14:textId="77777777" w:rsidR="007B0ABD" w:rsidRDefault="00197D4D">
            <w:r>
              <w:t>Main manuscript pp. 5 and 18; Supplementary Methods p. 9</w:t>
            </w:r>
          </w:p>
        </w:tc>
        <w:tc>
          <w:tcPr>
            <w:tcW w:w="5789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E1DFEF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external generalizability is addressed through the BOOST perimeter, linkage level and regional-proxy limitations.</w:t>
            </w:r>
          </w:p>
        </w:tc>
      </w:tr>
      <w:tr w:rsidR="00A91C11" w:rsidRPr="00871E65" w14:paraId="700C3801" w14:textId="77777777" w:rsidTr="00871E65">
        <w:trPr>
          <w:cantSplit/>
          <w:jc w:val="center"/>
        </w:trPr>
        <w:tc>
          <w:tcPr>
            <w:tcW w:w="1699" w:type="dxa"/>
            <w:tcBorders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4AE41D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Other information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61E1224" w14:textId="77777777" w:rsidR="00A91C11" w:rsidRPr="00871E65" w:rsidRDefault="002627B5">
            <w:pPr>
              <w:keepLines/>
              <w:spacing w:after="0"/>
              <w:jc w:val="center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22</w:t>
            </w:r>
          </w:p>
        </w:tc>
        <w:tc>
          <w:tcPr>
            <w:tcW w:w="4925" w:type="dxa"/>
            <w:tcBorders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AAAE3E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State the funding source and the funder’s role.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0EB5F15" w14:textId="77777777" w:rsidR="007B0ABD" w:rsidRDefault="00197D4D">
            <w:r>
              <w:t>Main manuscript p. 20</w:t>
            </w:r>
          </w:p>
        </w:tc>
        <w:tc>
          <w:tcPr>
            <w:tcW w:w="5789" w:type="dxa"/>
            <w:tcBorders>
              <w:bottom w:val="single" w:sz="4" w:space="0" w:color="auto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AB8B50" w14:textId="77777777" w:rsidR="00A91C11" w:rsidRPr="00871E65" w:rsidRDefault="002627B5">
            <w:pPr>
              <w:keepLines/>
              <w:spacing w:after="0"/>
              <w:rPr>
                <w:sz w:val="16"/>
                <w:szCs w:val="24"/>
              </w:rPr>
            </w:pPr>
            <w:r w:rsidRPr="00871E65">
              <w:rPr>
                <w:rFonts w:eastAsia="Arial"/>
                <w:sz w:val="16"/>
                <w:szCs w:val="24"/>
              </w:rPr>
              <w:t>Complete: the manuscript states that no specific grant supported the research.</w:t>
            </w:r>
          </w:p>
        </w:tc>
      </w:tr>
    </w:tbl>
    <w:p w14:paraId="1FCD6431" w14:textId="77777777" w:rsidR="00A91C11" w:rsidRDefault="002627B5">
      <w:pPr>
        <w:keepLines/>
        <w:spacing w:before="80" w:after="20"/>
      </w:pPr>
      <w:r>
        <w:rPr>
          <w:rFonts w:eastAsia="Arial"/>
          <w:sz w:val="17"/>
        </w:rPr>
        <w:t>Source: STROBE Statement, https://www.strobe-statement.org/checklists/</w:t>
      </w:r>
    </w:p>
    <w:p w14:paraId="25897FF2" w14:textId="77777777" w:rsidR="00A91C11" w:rsidRDefault="002627B5">
      <w:pPr>
        <w:keepLines/>
        <w:spacing w:before="20" w:after="20"/>
      </w:pPr>
      <w:r>
        <w:t>Page references correspond to the revised HER main manuscript (23 pages) and the associated Supplementary Methods and Reproducibility Information (9 pages).</w:t>
      </w:r>
    </w:p>
    <w:sectPr w:rsidR="00A91C11" w:rsidSect="00034616">
      <w:footerReference w:type="default" r:id="rId8"/>
      <w:pgSz w:w="16838" w:h="11906" w:orient="landscape"/>
      <w:pgMar w:top="709" w:right="879" w:bottom="709" w:left="879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7466" w14:textId="77777777" w:rsidR="00197D4D" w:rsidRDefault="00197D4D">
      <w:pPr>
        <w:spacing w:after="0"/>
      </w:pPr>
      <w:r>
        <w:separator/>
      </w:r>
    </w:p>
  </w:endnote>
  <w:endnote w:type="continuationSeparator" w:id="0">
    <w:p w14:paraId="4B6BD016" w14:textId="77777777" w:rsidR="00197D4D" w:rsidRDefault="00197D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96EA" w14:textId="77777777" w:rsidR="00A91C11" w:rsidRDefault="002627B5">
    <w:pPr>
      <w:pStyle w:val="Pieddepage"/>
      <w:jc w:val="center"/>
    </w:pPr>
    <w:r>
      <w:rPr>
        <w:rFonts w:eastAsia="Arial"/>
        <w:sz w:val="16"/>
      </w:rPr>
      <w:fldChar w:fldCharType="begin"/>
    </w:r>
    <w:r>
      <w:rPr>
        <w:rFonts w:eastAsia="Arial"/>
        <w:sz w:val="16"/>
      </w:rPr>
      <w:instrText>PAGE</w:instrText>
    </w:r>
    <w:r>
      <w:rPr>
        <w:rFonts w:eastAsia="Arial"/>
        <w:sz w:val="16"/>
      </w:rPr>
      <w:fldChar w:fldCharType="separate"/>
    </w:r>
    <w:r w:rsidR="004A1447">
      <w:rPr>
        <w:rFonts w:eastAsia="Arial"/>
        <w:noProof/>
        <w:sz w:val="16"/>
      </w:rPr>
      <w:t>1</w:t>
    </w:r>
    <w:r>
      <w:rPr>
        <w:rFonts w:eastAsia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970D" w14:textId="77777777" w:rsidR="00197D4D" w:rsidRDefault="00197D4D">
      <w:pPr>
        <w:spacing w:after="0"/>
      </w:pPr>
      <w:r>
        <w:separator/>
      </w:r>
    </w:p>
  </w:footnote>
  <w:footnote w:type="continuationSeparator" w:id="0">
    <w:p w14:paraId="17CFEDB3" w14:textId="77777777" w:rsidR="00197D4D" w:rsidRDefault="00197D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5335426">
    <w:abstractNumId w:val="8"/>
  </w:num>
  <w:num w:numId="2" w16cid:durableId="17660186">
    <w:abstractNumId w:val="6"/>
  </w:num>
  <w:num w:numId="3" w16cid:durableId="1021711083">
    <w:abstractNumId w:val="5"/>
  </w:num>
  <w:num w:numId="4" w16cid:durableId="73354817">
    <w:abstractNumId w:val="4"/>
  </w:num>
  <w:num w:numId="5" w16cid:durableId="1845589577">
    <w:abstractNumId w:val="7"/>
  </w:num>
  <w:num w:numId="6" w16cid:durableId="766270945">
    <w:abstractNumId w:val="3"/>
  </w:num>
  <w:num w:numId="7" w16cid:durableId="1914508035">
    <w:abstractNumId w:val="2"/>
  </w:num>
  <w:num w:numId="8" w16cid:durableId="44570448">
    <w:abstractNumId w:val="1"/>
  </w:num>
  <w:num w:numId="9" w16cid:durableId="1867939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DFD"/>
    <w:rsid w:val="00034616"/>
    <w:rsid w:val="0006063C"/>
    <w:rsid w:val="000E3295"/>
    <w:rsid w:val="0015074B"/>
    <w:rsid w:val="00197D4D"/>
    <w:rsid w:val="002627B5"/>
    <w:rsid w:val="0029639D"/>
    <w:rsid w:val="00326F90"/>
    <w:rsid w:val="00403FF3"/>
    <w:rsid w:val="004A1447"/>
    <w:rsid w:val="007B0ABD"/>
    <w:rsid w:val="00871E65"/>
    <w:rsid w:val="00A824EA"/>
    <w:rsid w:val="00A91C11"/>
    <w:rsid w:val="00AA1D8D"/>
    <w:rsid w:val="00B47730"/>
    <w:rsid w:val="00CB0664"/>
    <w:rsid w:val="00CD4CBE"/>
    <w:rsid w:val="00D11602"/>
    <w:rsid w:val="00E458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656BD"/>
  <w14:defaultImageDpi w14:val="300"/>
  <w15:docId w15:val="{FF7DFD62-3A9B-4D70-B408-0E002979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000000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  <w:rPr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  <w:rPr>
      <w:color w:val="000000"/>
    </w:rPr>
  </w:style>
  <w:style w:type="paragraph" w:styleId="Sansinterligne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before="160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  <w:rPr>
      <w:color w:val="000000"/>
    </w:rPr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  <w:rPr>
      <w:color w:val="000000"/>
    </w:rPr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color w:val="000000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  <w:color w:val="000000"/>
    </w:rPr>
  </w:style>
  <w:style w:type="character" w:styleId="Accentuation">
    <w:name w:val="Emphasis"/>
    <w:basedOn w:val="Policepardfaut"/>
    <w:uiPriority w:val="20"/>
    <w:qFormat/>
    <w:rsid w:val="00FC693F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000000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000000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000000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000000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color w:val="000000"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rPr>
        <w:b/>
        <w:bCs/>
        <w:color w:val="000000"/>
      </w:r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b/>
        <w:bCs/>
        <w:color w:val="0000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000000"/>
      </w:tblBorders>
    </w:tblPr>
    <w:tblStylePr w:type="firstRow">
      <w:rPr>
        <w:b/>
        <w:bCs/>
      </w:rPr>
    </w:tblStylePr>
    <w:tblStylePr w:type="lastRow">
      <w:rPr>
        <w:b/>
        <w:bCs/>
        <w:color w:val="000000"/>
      </w:rPr>
    </w:tblStylePr>
    <w:tblStylePr w:type="firstCol">
      <w:rPr>
        <w:color w:val="000000"/>
      </w:rPr>
    </w:tblStylePr>
    <w:tblStylePr w:type="lastCol">
      <w:rPr>
        <w:color w:val="00000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1192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reporting checklist</dc:title>
  <dc:subject>Completed reporting checklist for submission to Health Economics Review</dc:subject>
  <dc:creator>Oumar Sagna</dc:creator>
  <cp:keywords/>
  <dc:description>generated by python-docx</dc:description>
  <cp:lastModifiedBy>Oumar Sagna</cp:lastModifiedBy>
  <cp:revision>2</cp:revision>
  <dcterms:created xsi:type="dcterms:W3CDTF">2026-09-12T21:36:00Z</dcterms:created>
  <dcterms:modified xsi:type="dcterms:W3CDTF">2026-09-12T21:36:00Z</dcterms:modified>
  <cp:category/>
</cp:coreProperties>
</file>