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B1488" w14:textId="77777777" w:rsidR="005E1E0D" w:rsidRDefault="002265E2">
      <w:pPr>
        <w:pStyle w:val="Titre"/>
        <w:jc w:val="center"/>
      </w:pPr>
      <w:r>
        <w:t>Supplementary Methods and Reproducibility Information</w:t>
      </w:r>
    </w:p>
    <w:p w14:paraId="4B9F6432" w14:textId="77777777" w:rsidR="005E1E0D" w:rsidRDefault="002265E2">
      <w:pPr>
        <w:jc w:val="center"/>
      </w:pPr>
      <w:r>
        <w:rPr>
          <w:b/>
          <w:sz w:val="22"/>
        </w:rPr>
        <w:t>Needs based health district budget allocation in Senegal</w:t>
      </w:r>
    </w:p>
    <w:p w14:paraId="3CD3B43F" w14:textId="77777777" w:rsidR="005E1E0D" w:rsidRDefault="002265E2">
      <w:pPr>
        <w:jc w:val="center"/>
      </w:pPr>
      <w:r>
        <w:rPr>
          <w:i/>
        </w:rPr>
        <w:t>Author: Oumar Sagna</w:t>
      </w:r>
      <w:r>
        <w:rPr>
          <w:i/>
        </w:rPr>
        <w:br/>
        <w:t>Correspondence: oumsagna2025@gmail.com</w:t>
      </w:r>
    </w:p>
    <w:p w14:paraId="20B6A5D0" w14:textId="77777777" w:rsidR="005E1E0D" w:rsidRDefault="002265E2">
      <w:pPr>
        <w:pStyle w:val="Titre1"/>
      </w:pPr>
      <w:r>
        <w:t>Purpose and scope</w:t>
      </w:r>
    </w:p>
    <w:p w14:paraId="1A03D6A2" w14:textId="77777777" w:rsidR="005E1E0D" w:rsidRDefault="002265E2">
      <w:r>
        <w:t>This supplementary document expands the methodological and reproducibility information reported in the main manuscript. It describes the administrative data source, analytical perimeter, deterministic linkage, variable construction, statistical specifications, quality controls and implementation of the prospective allocation simulator. It should be read with the main article and its full tables and figures.</w:t>
      </w:r>
    </w:p>
    <w:p w14:paraId="204DD5ED" w14:textId="77777777" w:rsidR="005E1E0D" w:rsidRDefault="002265E2">
      <w:pPr>
        <w:pStyle w:val="Titre1"/>
      </w:pPr>
      <w:r>
        <w:t>Data provenance and access</w:t>
      </w:r>
    </w:p>
    <w:p w14:paraId="6514AD1A" w14:textId="77777777" w:rsidR="005E1E0D" w:rsidRDefault="002265E2">
      <w:r>
        <w:t>Budget data were extracted on 10 August 2026 from the World Bank Senegal BOOST 2010-2018 database. The source is publicly accessible through the World Bank Data Catalog at https://datacatalog.worldbank.org/search/dataset/0038089/senegal-boost-platform, subject to the World Bank terms of use.</w:t>
      </w:r>
    </w:p>
    <w:p w14:paraId="6541ADA3" w14:textId="77777777" w:rsidR="00790EF8" w:rsidRDefault="009A7901">
      <w:pPr>
        <w:pStyle w:val="Lgende"/>
      </w:pPr>
      <w:r>
        <w:t>Supplementary Table S1. Data sources and analytical role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44"/>
        <w:gridCol w:w="3240"/>
        <w:gridCol w:w="1656"/>
        <w:gridCol w:w="3240"/>
      </w:tblGrid>
      <w:tr w:rsidR="005E1E0D" w14:paraId="6B6208EC" w14:textId="77777777">
        <w:trPr>
          <w:cantSplit/>
          <w:tblHeader/>
          <w:jc w:val="center"/>
        </w:trPr>
        <w:tc>
          <w:tcPr>
            <w:tcW w:w="1944" w:type="dxa"/>
            <w:tcMar>
              <w:top w:w="80" w:type="dxa"/>
              <w:left w:w="90" w:type="dxa"/>
              <w:bottom w:w="80" w:type="dxa"/>
              <w:right w:w="90" w:type="dxa"/>
            </w:tcMar>
            <w:vAlign w:val="center"/>
          </w:tcPr>
          <w:p w14:paraId="23AF3556" w14:textId="77777777" w:rsidR="005E1E0D" w:rsidRDefault="002265E2">
            <w:r>
              <w:rPr>
                <w:b/>
                <w:sz w:val="18"/>
              </w:rPr>
              <w:t>Domain</w:t>
            </w:r>
          </w:p>
        </w:tc>
        <w:tc>
          <w:tcPr>
            <w:tcW w:w="3240" w:type="dxa"/>
            <w:tcMar>
              <w:top w:w="80" w:type="dxa"/>
              <w:left w:w="90" w:type="dxa"/>
              <w:bottom w:w="80" w:type="dxa"/>
              <w:right w:w="90" w:type="dxa"/>
            </w:tcMar>
            <w:vAlign w:val="center"/>
          </w:tcPr>
          <w:p w14:paraId="139DE608" w14:textId="77777777" w:rsidR="005E1E0D" w:rsidRDefault="002265E2">
            <w:r>
              <w:rPr>
                <w:b/>
                <w:sz w:val="18"/>
              </w:rPr>
              <w:t>Source and reference year</w:t>
            </w:r>
          </w:p>
        </w:tc>
        <w:tc>
          <w:tcPr>
            <w:tcW w:w="1656" w:type="dxa"/>
            <w:tcMar>
              <w:top w:w="80" w:type="dxa"/>
              <w:left w:w="90" w:type="dxa"/>
              <w:bottom w:w="80" w:type="dxa"/>
              <w:right w:w="90" w:type="dxa"/>
            </w:tcMar>
            <w:vAlign w:val="center"/>
          </w:tcPr>
          <w:p w14:paraId="2B8E86D1" w14:textId="77777777" w:rsidR="005E1E0D" w:rsidRDefault="002265E2">
            <w:r>
              <w:rPr>
                <w:b/>
                <w:sz w:val="18"/>
              </w:rPr>
              <w:t>Geographic level</w:t>
            </w:r>
          </w:p>
        </w:tc>
        <w:tc>
          <w:tcPr>
            <w:tcW w:w="3240" w:type="dxa"/>
            <w:tcMar>
              <w:top w:w="80" w:type="dxa"/>
              <w:left w:w="90" w:type="dxa"/>
              <w:bottom w:w="80" w:type="dxa"/>
              <w:right w:w="90" w:type="dxa"/>
            </w:tcMar>
            <w:vAlign w:val="center"/>
          </w:tcPr>
          <w:p w14:paraId="15D6C576" w14:textId="77777777" w:rsidR="005E1E0D" w:rsidRDefault="002265E2">
            <w:r>
              <w:rPr>
                <w:b/>
                <w:sz w:val="18"/>
              </w:rPr>
              <w:t>Analytical use</w:t>
            </w:r>
          </w:p>
        </w:tc>
      </w:tr>
      <w:tr w:rsidR="005E1E0D" w14:paraId="6D32C2EE" w14:textId="77777777">
        <w:trPr>
          <w:cantSplit/>
          <w:jc w:val="center"/>
        </w:trPr>
        <w:tc>
          <w:tcPr>
            <w:tcW w:w="1944" w:type="dxa"/>
            <w:tcMar>
              <w:top w:w="80" w:type="dxa"/>
              <w:left w:w="90" w:type="dxa"/>
              <w:bottom w:w="80" w:type="dxa"/>
              <w:right w:w="90" w:type="dxa"/>
            </w:tcMar>
            <w:vAlign w:val="center"/>
          </w:tcPr>
          <w:p w14:paraId="2AFD2365" w14:textId="77777777" w:rsidR="005E1E0D" w:rsidRDefault="002265E2">
            <w:pPr>
              <w:spacing w:after="0" w:line="240" w:lineRule="auto"/>
            </w:pPr>
            <w:r>
              <w:rPr>
                <w:sz w:val="17"/>
              </w:rPr>
              <w:t>Budget allocation</w:t>
            </w:r>
          </w:p>
        </w:tc>
        <w:tc>
          <w:tcPr>
            <w:tcW w:w="3240" w:type="dxa"/>
            <w:tcMar>
              <w:top w:w="80" w:type="dxa"/>
              <w:left w:w="90" w:type="dxa"/>
              <w:bottom w:w="80" w:type="dxa"/>
              <w:right w:w="90" w:type="dxa"/>
            </w:tcMar>
            <w:vAlign w:val="center"/>
          </w:tcPr>
          <w:p w14:paraId="4C43B5A1" w14:textId="77777777" w:rsidR="005E1E0D" w:rsidRDefault="002265E2">
            <w:pPr>
              <w:spacing w:after="0" w:line="240" w:lineRule="auto"/>
            </w:pPr>
            <w:r>
              <w:rPr>
                <w:sz w:val="17"/>
              </w:rPr>
              <w:t>World Bank Senegal BOOST, 2016-2018</w:t>
            </w:r>
          </w:p>
        </w:tc>
        <w:tc>
          <w:tcPr>
            <w:tcW w:w="1656" w:type="dxa"/>
            <w:tcMar>
              <w:top w:w="80" w:type="dxa"/>
              <w:left w:w="90" w:type="dxa"/>
              <w:bottom w:w="80" w:type="dxa"/>
              <w:right w:w="90" w:type="dxa"/>
            </w:tcMar>
            <w:vAlign w:val="center"/>
          </w:tcPr>
          <w:p w14:paraId="5C9BB675" w14:textId="77777777" w:rsidR="005E1E0D" w:rsidRDefault="002265E2">
            <w:pPr>
              <w:spacing w:after="0" w:line="240" w:lineRule="auto"/>
            </w:pPr>
            <w:r>
              <w:rPr>
                <w:sz w:val="17"/>
              </w:rPr>
              <w:t>District and DRS</w:t>
            </w:r>
          </w:p>
        </w:tc>
        <w:tc>
          <w:tcPr>
            <w:tcW w:w="3240" w:type="dxa"/>
            <w:tcMar>
              <w:top w:w="80" w:type="dxa"/>
              <w:left w:w="90" w:type="dxa"/>
              <w:bottom w:w="80" w:type="dxa"/>
              <w:right w:w="90" w:type="dxa"/>
            </w:tcMar>
            <w:vAlign w:val="center"/>
          </w:tcPr>
          <w:p w14:paraId="5CB37F98" w14:textId="77777777" w:rsidR="005E1E0D" w:rsidRDefault="002265E2">
            <w:pPr>
              <w:spacing w:after="0" w:line="240" w:lineRule="auto"/>
            </w:pPr>
            <w:r>
              <w:rPr>
                <w:sz w:val="17"/>
              </w:rPr>
              <w:t>Initial LFI; observed outcome and historical anchor</w:t>
            </w:r>
          </w:p>
        </w:tc>
      </w:tr>
      <w:tr w:rsidR="005E1E0D" w14:paraId="13D6DF80" w14:textId="77777777">
        <w:trPr>
          <w:cantSplit/>
          <w:jc w:val="center"/>
        </w:trPr>
        <w:tc>
          <w:tcPr>
            <w:tcW w:w="1944" w:type="dxa"/>
            <w:tcMar>
              <w:top w:w="80" w:type="dxa"/>
              <w:left w:w="90" w:type="dxa"/>
              <w:bottom w:w="80" w:type="dxa"/>
              <w:right w:w="90" w:type="dxa"/>
            </w:tcMar>
            <w:vAlign w:val="center"/>
          </w:tcPr>
          <w:p w14:paraId="4F6D270F" w14:textId="77777777" w:rsidR="005E1E0D" w:rsidRDefault="002265E2">
            <w:pPr>
              <w:spacing w:after="0" w:line="240" w:lineRule="auto"/>
            </w:pPr>
            <w:r>
              <w:rPr>
                <w:sz w:val="17"/>
              </w:rPr>
              <w:t>Population and geography</w:t>
            </w:r>
          </w:p>
        </w:tc>
        <w:tc>
          <w:tcPr>
            <w:tcW w:w="3240" w:type="dxa"/>
            <w:tcMar>
              <w:top w:w="80" w:type="dxa"/>
              <w:left w:w="90" w:type="dxa"/>
              <w:bottom w:w="80" w:type="dxa"/>
              <w:right w:w="90" w:type="dxa"/>
            </w:tcMar>
            <w:vAlign w:val="center"/>
          </w:tcPr>
          <w:p w14:paraId="29805B5E" w14:textId="77777777" w:rsidR="005E1E0D" w:rsidRDefault="002265E2">
            <w:pPr>
              <w:spacing w:after="0" w:line="240" w:lineRule="auto"/>
            </w:pPr>
            <w:r>
              <w:rPr>
                <w:sz w:val="17"/>
              </w:rPr>
              <w:t>MSAS national health map, 2018</w:t>
            </w:r>
          </w:p>
        </w:tc>
        <w:tc>
          <w:tcPr>
            <w:tcW w:w="1656" w:type="dxa"/>
            <w:tcMar>
              <w:top w:w="80" w:type="dxa"/>
              <w:left w:w="90" w:type="dxa"/>
              <w:bottom w:w="80" w:type="dxa"/>
              <w:right w:w="90" w:type="dxa"/>
            </w:tcMar>
            <w:vAlign w:val="center"/>
          </w:tcPr>
          <w:p w14:paraId="3C3DF4B9" w14:textId="77777777" w:rsidR="005E1E0D" w:rsidRDefault="002265E2">
            <w:pPr>
              <w:spacing w:after="0" w:line="240" w:lineRule="auto"/>
            </w:pPr>
            <w:r>
              <w:rPr>
                <w:sz w:val="17"/>
              </w:rPr>
              <w:t>District</w:t>
            </w:r>
          </w:p>
        </w:tc>
        <w:tc>
          <w:tcPr>
            <w:tcW w:w="3240" w:type="dxa"/>
            <w:tcMar>
              <w:top w:w="80" w:type="dxa"/>
              <w:left w:w="90" w:type="dxa"/>
              <w:bottom w:w="80" w:type="dxa"/>
              <w:right w:w="90" w:type="dxa"/>
            </w:tcMar>
            <w:vAlign w:val="center"/>
          </w:tcPr>
          <w:p w14:paraId="2FE2334D" w14:textId="77777777" w:rsidR="005E1E0D" w:rsidRDefault="002265E2">
            <w:pPr>
              <w:spacing w:after="0" w:line="240" w:lineRule="auto"/>
            </w:pPr>
            <w:r>
              <w:rPr>
                <w:sz w:val="17"/>
              </w:rPr>
              <w:t>Population, area and inhabitants per health centre</w:t>
            </w:r>
          </w:p>
        </w:tc>
      </w:tr>
      <w:tr w:rsidR="005E1E0D" w14:paraId="44D2A0B2" w14:textId="77777777">
        <w:trPr>
          <w:cantSplit/>
          <w:jc w:val="center"/>
        </w:trPr>
        <w:tc>
          <w:tcPr>
            <w:tcW w:w="1944" w:type="dxa"/>
            <w:tcMar>
              <w:top w:w="80" w:type="dxa"/>
              <w:left w:w="90" w:type="dxa"/>
              <w:bottom w:w="80" w:type="dxa"/>
              <w:right w:w="90" w:type="dxa"/>
            </w:tcMar>
            <w:vAlign w:val="center"/>
          </w:tcPr>
          <w:p w14:paraId="3548F2C3" w14:textId="77777777" w:rsidR="005E1E0D" w:rsidRDefault="002265E2">
            <w:pPr>
              <w:spacing w:after="0" w:line="240" w:lineRule="auto"/>
            </w:pPr>
            <w:r>
              <w:rPr>
                <w:sz w:val="17"/>
              </w:rPr>
              <w:t>Health need</w:t>
            </w:r>
          </w:p>
        </w:tc>
        <w:tc>
          <w:tcPr>
            <w:tcW w:w="3240" w:type="dxa"/>
            <w:tcMar>
              <w:top w:w="80" w:type="dxa"/>
              <w:left w:w="90" w:type="dxa"/>
              <w:bottom w:w="80" w:type="dxa"/>
              <w:right w:w="90" w:type="dxa"/>
            </w:tcMar>
            <w:vAlign w:val="center"/>
          </w:tcPr>
          <w:p w14:paraId="4A9604B2" w14:textId="77777777" w:rsidR="005E1E0D" w:rsidRDefault="002265E2">
            <w:pPr>
              <w:spacing w:after="0" w:line="240" w:lineRule="auto"/>
            </w:pPr>
            <w:r>
              <w:rPr>
                <w:sz w:val="17"/>
              </w:rPr>
              <w:t>ANSD and ICF Continuous DHS, 2017</w:t>
            </w:r>
          </w:p>
        </w:tc>
        <w:tc>
          <w:tcPr>
            <w:tcW w:w="1656" w:type="dxa"/>
            <w:tcMar>
              <w:top w:w="80" w:type="dxa"/>
              <w:left w:w="90" w:type="dxa"/>
              <w:bottom w:w="80" w:type="dxa"/>
              <w:right w:w="90" w:type="dxa"/>
            </w:tcMar>
            <w:vAlign w:val="center"/>
          </w:tcPr>
          <w:p w14:paraId="783F030B" w14:textId="77777777" w:rsidR="005E1E0D" w:rsidRDefault="002265E2">
            <w:pPr>
              <w:spacing w:after="0" w:line="240" w:lineRule="auto"/>
            </w:pPr>
            <w:r>
              <w:rPr>
                <w:sz w:val="17"/>
              </w:rPr>
              <w:t>Region</w:t>
            </w:r>
          </w:p>
        </w:tc>
        <w:tc>
          <w:tcPr>
            <w:tcW w:w="3240" w:type="dxa"/>
            <w:tcMar>
              <w:top w:w="80" w:type="dxa"/>
              <w:left w:w="90" w:type="dxa"/>
              <w:bottom w:w="80" w:type="dxa"/>
              <w:right w:w="90" w:type="dxa"/>
            </w:tcMar>
            <w:vAlign w:val="center"/>
          </w:tcPr>
          <w:p w14:paraId="2464A9CB" w14:textId="77777777" w:rsidR="005E1E0D" w:rsidRDefault="002265E2">
            <w:pPr>
              <w:spacing w:after="0" w:line="240" w:lineRule="auto"/>
            </w:pPr>
            <w:r>
              <w:rPr>
                <w:sz w:val="17"/>
              </w:rPr>
              <w:t>Under-five mortality, stunting and standardized need index</w:t>
            </w:r>
          </w:p>
        </w:tc>
      </w:tr>
      <w:tr w:rsidR="005E1E0D" w14:paraId="7CE38A38" w14:textId="77777777">
        <w:trPr>
          <w:cantSplit/>
          <w:jc w:val="center"/>
        </w:trPr>
        <w:tc>
          <w:tcPr>
            <w:tcW w:w="1944" w:type="dxa"/>
            <w:tcMar>
              <w:top w:w="80" w:type="dxa"/>
              <w:left w:w="90" w:type="dxa"/>
              <w:bottom w:w="80" w:type="dxa"/>
              <w:right w:w="90" w:type="dxa"/>
            </w:tcMar>
            <w:vAlign w:val="center"/>
          </w:tcPr>
          <w:p w14:paraId="5F6B9F3C" w14:textId="77777777" w:rsidR="005E1E0D" w:rsidRDefault="002265E2">
            <w:pPr>
              <w:spacing w:after="0" w:line="240" w:lineRule="auto"/>
            </w:pPr>
            <w:r>
              <w:rPr>
                <w:sz w:val="17"/>
              </w:rPr>
              <w:t>Socioeconomic deprivation</w:t>
            </w:r>
          </w:p>
        </w:tc>
        <w:tc>
          <w:tcPr>
            <w:tcW w:w="3240" w:type="dxa"/>
            <w:tcMar>
              <w:top w:w="80" w:type="dxa"/>
              <w:left w:w="90" w:type="dxa"/>
              <w:bottom w:w="80" w:type="dxa"/>
              <w:right w:w="90" w:type="dxa"/>
            </w:tcMar>
            <w:vAlign w:val="center"/>
          </w:tcPr>
          <w:p w14:paraId="3EC8A115" w14:textId="77777777" w:rsidR="005E1E0D" w:rsidRDefault="002265E2">
            <w:pPr>
              <w:spacing w:after="0" w:line="240" w:lineRule="auto"/>
            </w:pPr>
            <w:r>
              <w:rPr>
                <w:sz w:val="17"/>
              </w:rPr>
              <w:t>ANSD EHCVM, 2018/2019</w:t>
            </w:r>
          </w:p>
        </w:tc>
        <w:tc>
          <w:tcPr>
            <w:tcW w:w="1656" w:type="dxa"/>
            <w:tcMar>
              <w:top w:w="80" w:type="dxa"/>
              <w:left w:w="90" w:type="dxa"/>
              <w:bottom w:w="80" w:type="dxa"/>
              <w:right w:w="90" w:type="dxa"/>
            </w:tcMar>
            <w:vAlign w:val="center"/>
          </w:tcPr>
          <w:p w14:paraId="31D865C4" w14:textId="77777777" w:rsidR="005E1E0D" w:rsidRDefault="002265E2">
            <w:pPr>
              <w:spacing w:after="0" w:line="240" w:lineRule="auto"/>
            </w:pPr>
            <w:r>
              <w:rPr>
                <w:sz w:val="17"/>
              </w:rPr>
              <w:t>Region</w:t>
            </w:r>
          </w:p>
        </w:tc>
        <w:tc>
          <w:tcPr>
            <w:tcW w:w="3240" w:type="dxa"/>
            <w:tcMar>
              <w:top w:w="80" w:type="dxa"/>
              <w:left w:w="90" w:type="dxa"/>
              <w:bottom w:w="80" w:type="dxa"/>
              <w:right w:w="90" w:type="dxa"/>
            </w:tcMar>
            <w:vAlign w:val="center"/>
          </w:tcPr>
          <w:p w14:paraId="55C4E073" w14:textId="77777777" w:rsidR="005E1E0D" w:rsidRDefault="002265E2">
            <w:pPr>
              <w:spacing w:after="0" w:line="240" w:lineRule="auto"/>
            </w:pPr>
            <w:r>
              <w:rPr>
                <w:sz w:val="17"/>
              </w:rPr>
              <w:t>Monetary poverty incidence</w:t>
            </w:r>
          </w:p>
        </w:tc>
      </w:tr>
      <w:tr w:rsidR="005E1E0D" w14:paraId="5EDA0FC0" w14:textId="77777777">
        <w:trPr>
          <w:cantSplit/>
          <w:jc w:val="center"/>
        </w:trPr>
        <w:tc>
          <w:tcPr>
            <w:tcW w:w="1944" w:type="dxa"/>
            <w:tcMar>
              <w:top w:w="80" w:type="dxa"/>
              <w:left w:w="90" w:type="dxa"/>
              <w:bottom w:w="80" w:type="dxa"/>
              <w:right w:w="90" w:type="dxa"/>
            </w:tcMar>
            <w:vAlign w:val="center"/>
          </w:tcPr>
          <w:p w14:paraId="403A7C82" w14:textId="77777777" w:rsidR="005E1E0D" w:rsidRDefault="002265E2">
            <w:pPr>
              <w:spacing w:after="0" w:line="240" w:lineRule="auto"/>
            </w:pPr>
            <w:r>
              <w:rPr>
                <w:sz w:val="17"/>
              </w:rPr>
              <w:t>Utilization and access</w:t>
            </w:r>
          </w:p>
        </w:tc>
        <w:tc>
          <w:tcPr>
            <w:tcW w:w="3240" w:type="dxa"/>
            <w:tcMar>
              <w:top w:w="80" w:type="dxa"/>
              <w:left w:w="90" w:type="dxa"/>
              <w:bottom w:w="80" w:type="dxa"/>
              <w:right w:w="90" w:type="dxa"/>
            </w:tcMar>
            <w:vAlign w:val="center"/>
          </w:tcPr>
          <w:p w14:paraId="1EC74BF0" w14:textId="77777777" w:rsidR="005E1E0D" w:rsidRDefault="002265E2">
            <w:pPr>
              <w:spacing w:after="0" w:line="240" w:lineRule="auto"/>
            </w:pPr>
            <w:r>
              <w:rPr>
                <w:sz w:val="17"/>
              </w:rPr>
              <w:t>ANSD and ICF Continuous DHS, 2017</w:t>
            </w:r>
          </w:p>
        </w:tc>
        <w:tc>
          <w:tcPr>
            <w:tcW w:w="1656" w:type="dxa"/>
            <w:tcMar>
              <w:top w:w="80" w:type="dxa"/>
              <w:left w:w="90" w:type="dxa"/>
              <w:bottom w:w="80" w:type="dxa"/>
              <w:right w:w="90" w:type="dxa"/>
            </w:tcMar>
            <w:vAlign w:val="center"/>
          </w:tcPr>
          <w:p w14:paraId="5EB8FF51" w14:textId="77777777" w:rsidR="005E1E0D" w:rsidRDefault="002265E2">
            <w:pPr>
              <w:spacing w:after="0" w:line="240" w:lineRule="auto"/>
            </w:pPr>
            <w:r>
              <w:rPr>
                <w:sz w:val="17"/>
              </w:rPr>
              <w:t>Region</w:t>
            </w:r>
          </w:p>
        </w:tc>
        <w:tc>
          <w:tcPr>
            <w:tcW w:w="3240" w:type="dxa"/>
            <w:tcMar>
              <w:top w:w="80" w:type="dxa"/>
              <w:left w:w="90" w:type="dxa"/>
              <w:bottom w:w="80" w:type="dxa"/>
              <w:right w:w="90" w:type="dxa"/>
            </w:tcMar>
            <w:vAlign w:val="center"/>
          </w:tcPr>
          <w:p w14:paraId="7A27AB0D" w14:textId="77777777" w:rsidR="005E1E0D" w:rsidRDefault="002265E2">
            <w:pPr>
              <w:spacing w:after="0" w:line="240" w:lineRule="auto"/>
            </w:pPr>
            <w:r>
              <w:rPr>
                <w:sz w:val="17"/>
              </w:rPr>
              <w:t>Facility-based delivery</w:t>
            </w:r>
          </w:p>
        </w:tc>
      </w:tr>
    </w:tbl>
    <w:p w14:paraId="6E9B26AB" w14:textId="77777777" w:rsidR="005E1E0D" w:rsidRDefault="005E1E0D">
      <w:pPr>
        <w:spacing w:after="0"/>
      </w:pPr>
    </w:p>
    <w:p w14:paraId="512759DE" w14:textId="77777777" w:rsidR="005E1E0D" w:rsidRDefault="002265E2">
      <w:pPr>
        <w:pStyle w:val="Titre1"/>
      </w:pPr>
      <w:r>
        <w:t>Administrative perimeter and sample construction</w:t>
      </w:r>
    </w:p>
    <w:p w14:paraId="6DAF7B47" w14:textId="77777777" w:rsidR="005E1E0D" w:rsidRDefault="002265E2">
      <w:r>
        <w:t>The source panel contained 71 health districts and 14 medical regions or regional health directorates (DRS). Budget records were restricted to decentralized Ministry of Health and Social Action chapters identifiable as districts or DRS. Central ministry units, hospitals, vertical programmes and entities outside this administrative perimeter were excluded. Districts and DRS were retained as separate administrative units because their functions and budget-generating processes differ.</w:t>
      </w:r>
    </w:p>
    <w:p w14:paraId="001946A3" w14:textId="77777777" w:rsidR="00790EF8" w:rsidRDefault="009A7901">
      <w:pPr>
        <w:pStyle w:val="Lgende"/>
      </w:pPr>
      <w:r>
        <w:t>Supplementary Table S2. Administrative sample construction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04"/>
        <w:gridCol w:w="3384"/>
        <w:gridCol w:w="4392"/>
      </w:tblGrid>
      <w:tr w:rsidR="005E1E0D" w14:paraId="6FBEA2F0" w14:textId="77777777">
        <w:trPr>
          <w:cantSplit/>
          <w:tblHeader/>
          <w:jc w:val="center"/>
        </w:trPr>
        <w:tc>
          <w:tcPr>
            <w:tcW w:w="2304" w:type="dxa"/>
            <w:tcMar>
              <w:top w:w="80" w:type="dxa"/>
              <w:left w:w="90" w:type="dxa"/>
              <w:bottom w:w="80" w:type="dxa"/>
              <w:right w:w="90" w:type="dxa"/>
            </w:tcMar>
            <w:vAlign w:val="center"/>
          </w:tcPr>
          <w:p w14:paraId="64B787CC" w14:textId="77777777" w:rsidR="005E1E0D" w:rsidRDefault="002265E2">
            <w:r>
              <w:rPr>
                <w:b/>
                <w:sz w:val="18"/>
              </w:rPr>
              <w:t>Step</w:t>
            </w:r>
          </w:p>
        </w:tc>
        <w:tc>
          <w:tcPr>
            <w:tcW w:w="3384" w:type="dxa"/>
            <w:tcMar>
              <w:top w:w="80" w:type="dxa"/>
              <w:left w:w="90" w:type="dxa"/>
              <w:bottom w:w="80" w:type="dxa"/>
              <w:right w:w="90" w:type="dxa"/>
            </w:tcMar>
            <w:vAlign w:val="center"/>
          </w:tcPr>
          <w:p w14:paraId="6FE179DF" w14:textId="77777777" w:rsidR="005E1E0D" w:rsidRDefault="002265E2">
            <w:r>
              <w:rPr>
                <w:b/>
                <w:sz w:val="18"/>
              </w:rPr>
              <w:t>Records retained</w:t>
            </w:r>
          </w:p>
        </w:tc>
        <w:tc>
          <w:tcPr>
            <w:tcW w:w="4392" w:type="dxa"/>
            <w:tcMar>
              <w:top w:w="80" w:type="dxa"/>
              <w:left w:w="90" w:type="dxa"/>
              <w:bottom w:w="80" w:type="dxa"/>
              <w:right w:w="90" w:type="dxa"/>
            </w:tcMar>
            <w:vAlign w:val="center"/>
          </w:tcPr>
          <w:p w14:paraId="380D428B" w14:textId="77777777" w:rsidR="005E1E0D" w:rsidRDefault="002265E2">
            <w:r>
              <w:rPr>
                <w:b/>
                <w:sz w:val="18"/>
              </w:rPr>
              <w:t>Role in analysis</w:t>
            </w:r>
          </w:p>
        </w:tc>
      </w:tr>
      <w:tr w:rsidR="005E1E0D" w14:paraId="55C977FE" w14:textId="77777777">
        <w:trPr>
          <w:cantSplit/>
          <w:jc w:val="center"/>
        </w:trPr>
        <w:tc>
          <w:tcPr>
            <w:tcW w:w="2304" w:type="dxa"/>
            <w:tcMar>
              <w:top w:w="80" w:type="dxa"/>
              <w:left w:w="90" w:type="dxa"/>
              <w:bottom w:w="80" w:type="dxa"/>
              <w:right w:w="90" w:type="dxa"/>
            </w:tcMar>
            <w:vAlign w:val="center"/>
          </w:tcPr>
          <w:p w14:paraId="7F7DC639" w14:textId="77777777" w:rsidR="005E1E0D" w:rsidRDefault="002265E2">
            <w:pPr>
              <w:spacing w:after="0" w:line="240" w:lineRule="auto"/>
            </w:pPr>
            <w:r>
              <w:rPr>
                <w:sz w:val="17"/>
              </w:rPr>
              <w:t>Decentralized health administration</w:t>
            </w:r>
          </w:p>
        </w:tc>
        <w:tc>
          <w:tcPr>
            <w:tcW w:w="3384" w:type="dxa"/>
            <w:tcMar>
              <w:top w:w="80" w:type="dxa"/>
              <w:left w:w="90" w:type="dxa"/>
              <w:bottom w:w="80" w:type="dxa"/>
              <w:right w:w="90" w:type="dxa"/>
            </w:tcMar>
            <w:vAlign w:val="center"/>
          </w:tcPr>
          <w:p w14:paraId="172A6E6C" w14:textId="77777777" w:rsidR="005E1E0D" w:rsidRDefault="002265E2">
            <w:pPr>
              <w:spacing w:after="0" w:line="240" w:lineRule="auto"/>
            </w:pPr>
            <w:r>
              <w:rPr>
                <w:sz w:val="17"/>
              </w:rPr>
              <w:t>85 entities x 3 years = 255 observations</w:t>
            </w:r>
          </w:p>
        </w:tc>
        <w:tc>
          <w:tcPr>
            <w:tcW w:w="4392" w:type="dxa"/>
            <w:tcMar>
              <w:top w:w="80" w:type="dxa"/>
              <w:left w:w="90" w:type="dxa"/>
              <w:bottom w:w="80" w:type="dxa"/>
              <w:right w:w="90" w:type="dxa"/>
            </w:tcMar>
            <w:vAlign w:val="center"/>
          </w:tcPr>
          <w:p w14:paraId="51DAE67F" w14:textId="77777777" w:rsidR="005E1E0D" w:rsidRDefault="002265E2">
            <w:pPr>
              <w:spacing w:after="0" w:line="240" w:lineRule="auto"/>
            </w:pPr>
            <w:r>
              <w:rPr>
                <w:sz w:val="17"/>
              </w:rPr>
              <w:t>Initial screened administrative panel</w:t>
            </w:r>
          </w:p>
        </w:tc>
      </w:tr>
      <w:tr w:rsidR="005E1E0D" w14:paraId="6750545B" w14:textId="77777777">
        <w:trPr>
          <w:cantSplit/>
          <w:jc w:val="center"/>
        </w:trPr>
        <w:tc>
          <w:tcPr>
            <w:tcW w:w="2304" w:type="dxa"/>
            <w:tcMar>
              <w:top w:w="80" w:type="dxa"/>
              <w:left w:w="90" w:type="dxa"/>
              <w:bottom w:w="80" w:type="dxa"/>
              <w:right w:w="90" w:type="dxa"/>
            </w:tcMar>
            <w:vAlign w:val="center"/>
          </w:tcPr>
          <w:p w14:paraId="2D0D2DA8" w14:textId="77777777" w:rsidR="005E1E0D" w:rsidRDefault="002265E2">
            <w:pPr>
              <w:spacing w:after="0" w:line="240" w:lineRule="auto"/>
            </w:pPr>
            <w:r>
              <w:rPr>
                <w:sz w:val="17"/>
              </w:rPr>
              <w:t>Health districts</w:t>
            </w:r>
          </w:p>
        </w:tc>
        <w:tc>
          <w:tcPr>
            <w:tcW w:w="3384" w:type="dxa"/>
            <w:tcMar>
              <w:top w:w="80" w:type="dxa"/>
              <w:left w:w="90" w:type="dxa"/>
              <w:bottom w:w="80" w:type="dxa"/>
              <w:right w:w="90" w:type="dxa"/>
            </w:tcMar>
            <w:vAlign w:val="center"/>
          </w:tcPr>
          <w:p w14:paraId="6D9D4C76" w14:textId="77777777" w:rsidR="005E1E0D" w:rsidRDefault="002265E2">
            <w:pPr>
              <w:spacing w:after="0" w:line="240" w:lineRule="auto"/>
            </w:pPr>
            <w:r>
              <w:rPr>
                <w:sz w:val="17"/>
              </w:rPr>
              <w:t>71 districts x 3 years = 213 observations</w:t>
            </w:r>
          </w:p>
        </w:tc>
        <w:tc>
          <w:tcPr>
            <w:tcW w:w="4392" w:type="dxa"/>
            <w:tcMar>
              <w:top w:w="80" w:type="dxa"/>
              <w:left w:w="90" w:type="dxa"/>
              <w:bottom w:w="80" w:type="dxa"/>
              <w:right w:w="90" w:type="dxa"/>
            </w:tcMar>
            <w:vAlign w:val="center"/>
          </w:tcPr>
          <w:p w14:paraId="468B412E" w14:textId="77777777" w:rsidR="005E1E0D" w:rsidRDefault="002265E2">
            <w:pPr>
              <w:spacing w:after="0" w:line="240" w:lineRule="auto"/>
            </w:pPr>
            <w:r>
              <w:rPr>
                <w:sz w:val="17"/>
              </w:rPr>
              <w:t>Primary balanced panel for Models M1-M5</w:t>
            </w:r>
          </w:p>
        </w:tc>
      </w:tr>
      <w:tr w:rsidR="005E1E0D" w14:paraId="41940463" w14:textId="77777777">
        <w:trPr>
          <w:cantSplit/>
          <w:jc w:val="center"/>
        </w:trPr>
        <w:tc>
          <w:tcPr>
            <w:tcW w:w="2304" w:type="dxa"/>
            <w:tcMar>
              <w:top w:w="80" w:type="dxa"/>
              <w:left w:w="90" w:type="dxa"/>
              <w:bottom w:w="80" w:type="dxa"/>
              <w:right w:w="90" w:type="dxa"/>
            </w:tcMar>
            <w:vAlign w:val="center"/>
          </w:tcPr>
          <w:p w14:paraId="0FC10E50" w14:textId="77777777" w:rsidR="005E1E0D" w:rsidRDefault="002265E2">
            <w:pPr>
              <w:spacing w:after="0" w:line="240" w:lineRule="auto"/>
            </w:pPr>
            <w:r>
              <w:rPr>
                <w:sz w:val="17"/>
              </w:rPr>
              <w:t>DRS</w:t>
            </w:r>
          </w:p>
        </w:tc>
        <w:tc>
          <w:tcPr>
            <w:tcW w:w="3384" w:type="dxa"/>
            <w:tcMar>
              <w:top w:w="80" w:type="dxa"/>
              <w:left w:w="90" w:type="dxa"/>
              <w:bottom w:w="80" w:type="dxa"/>
              <w:right w:w="90" w:type="dxa"/>
            </w:tcMar>
            <w:vAlign w:val="center"/>
          </w:tcPr>
          <w:p w14:paraId="7C4ED213" w14:textId="77777777" w:rsidR="005E1E0D" w:rsidRDefault="002265E2">
            <w:pPr>
              <w:spacing w:after="0" w:line="240" w:lineRule="auto"/>
            </w:pPr>
            <w:r>
              <w:rPr>
                <w:sz w:val="17"/>
              </w:rPr>
              <w:t>14 DRS x 3 years = 42 observations</w:t>
            </w:r>
          </w:p>
        </w:tc>
        <w:tc>
          <w:tcPr>
            <w:tcW w:w="4392" w:type="dxa"/>
            <w:tcMar>
              <w:top w:w="80" w:type="dxa"/>
              <w:left w:w="90" w:type="dxa"/>
              <w:bottom w:w="80" w:type="dxa"/>
              <w:right w:w="90" w:type="dxa"/>
            </w:tcMar>
            <w:vAlign w:val="center"/>
          </w:tcPr>
          <w:p w14:paraId="76DE19E3" w14:textId="77777777" w:rsidR="005E1E0D" w:rsidRDefault="002265E2">
            <w:pPr>
              <w:spacing w:after="0" w:line="240" w:lineRule="auto"/>
            </w:pPr>
            <w:r>
              <w:rPr>
                <w:sz w:val="17"/>
              </w:rPr>
              <w:t>Descriptive or sensitivity use; excluded from primary regressions</w:t>
            </w:r>
          </w:p>
        </w:tc>
      </w:tr>
      <w:tr w:rsidR="005E1E0D" w14:paraId="7C4E73B5" w14:textId="77777777">
        <w:trPr>
          <w:cantSplit/>
          <w:jc w:val="center"/>
        </w:trPr>
        <w:tc>
          <w:tcPr>
            <w:tcW w:w="2304" w:type="dxa"/>
            <w:tcMar>
              <w:top w:w="80" w:type="dxa"/>
              <w:left w:w="90" w:type="dxa"/>
              <w:bottom w:w="80" w:type="dxa"/>
              <w:right w:w="90" w:type="dxa"/>
            </w:tcMar>
            <w:vAlign w:val="center"/>
          </w:tcPr>
          <w:p w14:paraId="66792B98" w14:textId="77777777" w:rsidR="005E1E0D" w:rsidRDefault="002265E2">
            <w:pPr>
              <w:spacing w:after="0" w:line="240" w:lineRule="auto"/>
            </w:pPr>
            <w:r>
              <w:rPr>
                <w:sz w:val="17"/>
              </w:rPr>
              <w:t>Historical persistence</w:t>
            </w:r>
          </w:p>
        </w:tc>
        <w:tc>
          <w:tcPr>
            <w:tcW w:w="3384" w:type="dxa"/>
            <w:tcMar>
              <w:top w:w="80" w:type="dxa"/>
              <w:left w:w="90" w:type="dxa"/>
              <w:bottom w:w="80" w:type="dxa"/>
              <w:right w:w="90" w:type="dxa"/>
            </w:tcMar>
            <w:vAlign w:val="center"/>
          </w:tcPr>
          <w:p w14:paraId="518A5A0F" w14:textId="77777777" w:rsidR="005E1E0D" w:rsidRDefault="002265E2">
            <w:pPr>
              <w:spacing w:after="0" w:line="240" w:lineRule="auto"/>
            </w:pPr>
            <w:r>
              <w:rPr>
                <w:sz w:val="17"/>
              </w:rPr>
              <w:t>71 districts observed in 2018 with 2016 baseline</w:t>
            </w:r>
          </w:p>
        </w:tc>
        <w:tc>
          <w:tcPr>
            <w:tcW w:w="4392" w:type="dxa"/>
            <w:tcMar>
              <w:top w:w="80" w:type="dxa"/>
              <w:left w:w="90" w:type="dxa"/>
              <w:bottom w:w="80" w:type="dxa"/>
              <w:right w:w="90" w:type="dxa"/>
            </w:tcMar>
            <w:vAlign w:val="center"/>
          </w:tcPr>
          <w:p w14:paraId="43ADC43F" w14:textId="77777777" w:rsidR="005E1E0D" w:rsidRDefault="002265E2">
            <w:pPr>
              <w:spacing w:after="0" w:line="240" w:lineRule="auto"/>
            </w:pPr>
            <w:r>
              <w:rPr>
                <w:sz w:val="17"/>
              </w:rPr>
              <w:t>Cross-sectional Models M6-M7</w:t>
            </w:r>
          </w:p>
        </w:tc>
      </w:tr>
    </w:tbl>
    <w:p w14:paraId="68B9EA40" w14:textId="77777777" w:rsidR="005E1E0D" w:rsidRDefault="005E1E0D">
      <w:pPr>
        <w:spacing w:after="0"/>
      </w:pPr>
    </w:p>
    <w:p w14:paraId="3F5C9110" w14:textId="77777777" w:rsidR="005E1E0D" w:rsidRDefault="002265E2">
      <w:r>
        <w:t>The selection rules were institutional and geographic. No automated case-identification, phenotype or validation algorithm was used. Within the selected BOOST chapters, separately identifiable personnel lines were absent; this classification feature does not imply that districts incurred no labour costs.</w:t>
      </w:r>
    </w:p>
    <w:p w14:paraId="5D35D74C" w14:textId="77777777" w:rsidR="005E1E0D" w:rsidRDefault="002265E2">
      <w:pPr>
        <w:pStyle w:val="Titre1"/>
      </w:pPr>
      <w:r>
        <w:lastRenderedPageBreak/>
        <w:t>Linkage and missing data</w:t>
      </w:r>
    </w:p>
    <w:p w14:paraId="75915932" w14:textId="77777777" w:rsidR="005E1E0D" w:rsidRDefault="002265E2">
      <w:r>
        <w:t>The district regression file was linked deterministically by district and region to the corresponding population, geographic, service-availability, poverty and health-need variables. Regional socioeconomic and health indicators were assigned to all constituent districts in the relevant region. Their coefficients therefore identify between-region contrasts rather than within-region district differences. The final linked analytical file contained all 213 eligible district-year records, and no unmatched district identifiers remained.</w:t>
      </w:r>
    </w:p>
    <w:p w14:paraId="6417C427" w14:textId="77777777" w:rsidR="005E1E0D" w:rsidRDefault="002265E2">
      <w:pPr>
        <w:pStyle w:val="Listepuces"/>
      </w:pPr>
      <w:r>
        <w:t>The primary analytical dataset was balanced: 71 districts were observed in 2016, 2017 and 2018.</w:t>
      </w:r>
    </w:p>
    <w:p w14:paraId="7ECD0912" w14:textId="77777777" w:rsidR="005E1E0D" w:rsidRDefault="002265E2">
      <w:pPr>
        <w:pStyle w:val="Listepuces"/>
      </w:pPr>
      <w:r>
        <w:t>The reported regression models used the available complete analytical records.</w:t>
      </w:r>
    </w:p>
    <w:p w14:paraId="1AE1EFE0" w14:textId="77777777" w:rsidR="005E1E0D" w:rsidRDefault="002265E2">
      <w:pPr>
        <w:pStyle w:val="Listepuces"/>
      </w:pPr>
      <w:r>
        <w:t>No statistical imputation of missing district-level values was undertaken.</w:t>
      </w:r>
    </w:p>
    <w:p w14:paraId="68BC336C" w14:textId="77777777" w:rsidR="005E1E0D" w:rsidRDefault="002265E2">
      <w:pPr>
        <w:pStyle w:val="Listepuces"/>
      </w:pPr>
      <w:r>
        <w:t>Assignment of regional indicators to constituent districts was a geographic-level linkage, not imputation.</w:t>
      </w:r>
    </w:p>
    <w:p w14:paraId="170DA847" w14:textId="77777777" w:rsidR="005E1E0D" w:rsidRDefault="002265E2">
      <w:pPr>
        <w:pStyle w:val="Listepuces"/>
      </w:pPr>
      <w:r>
        <w:t>The administrative selection perimeter and linkage level should be considered when assessing generalizability.</w:t>
      </w:r>
    </w:p>
    <w:p w14:paraId="01FD70CE" w14:textId="77777777" w:rsidR="005E1E0D" w:rsidRDefault="002265E2">
      <w:pPr>
        <w:pStyle w:val="Titre1"/>
      </w:pPr>
      <w:r>
        <w:t>Analytical variables and derivations</w:t>
      </w:r>
    </w:p>
    <w:p w14:paraId="72DD4D79" w14:textId="77777777" w:rsidR="00790EF8" w:rsidRDefault="009A7901">
      <w:pPr>
        <w:pStyle w:val="Lgende"/>
      </w:pPr>
      <w:r>
        <w:t>Supplementary Table S3. Analytical variables and derivations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44"/>
        <w:gridCol w:w="3312"/>
        <w:gridCol w:w="2232"/>
        <w:gridCol w:w="2592"/>
      </w:tblGrid>
      <w:tr w:rsidR="005E1E0D" w14:paraId="2B4E3861" w14:textId="77777777">
        <w:trPr>
          <w:cantSplit/>
          <w:tblHeader/>
          <w:jc w:val="center"/>
        </w:trPr>
        <w:tc>
          <w:tcPr>
            <w:tcW w:w="1944" w:type="dxa"/>
            <w:tcMar>
              <w:top w:w="80" w:type="dxa"/>
              <w:left w:w="90" w:type="dxa"/>
              <w:bottom w:w="80" w:type="dxa"/>
              <w:right w:w="90" w:type="dxa"/>
            </w:tcMar>
            <w:vAlign w:val="center"/>
          </w:tcPr>
          <w:p w14:paraId="2EF21578" w14:textId="77777777" w:rsidR="005E1E0D" w:rsidRDefault="002265E2">
            <w:r>
              <w:rPr>
                <w:b/>
                <w:sz w:val="18"/>
              </w:rPr>
              <w:t>Construct</w:t>
            </w:r>
          </w:p>
        </w:tc>
        <w:tc>
          <w:tcPr>
            <w:tcW w:w="3312" w:type="dxa"/>
            <w:tcMar>
              <w:top w:w="80" w:type="dxa"/>
              <w:left w:w="90" w:type="dxa"/>
              <w:bottom w:w="80" w:type="dxa"/>
              <w:right w:w="90" w:type="dxa"/>
            </w:tcMar>
            <w:vAlign w:val="center"/>
          </w:tcPr>
          <w:p w14:paraId="182E6667" w14:textId="77777777" w:rsidR="005E1E0D" w:rsidRDefault="002265E2">
            <w:r>
              <w:rPr>
                <w:b/>
                <w:sz w:val="18"/>
              </w:rPr>
              <w:t>Coding or derivation</w:t>
            </w:r>
          </w:p>
        </w:tc>
        <w:tc>
          <w:tcPr>
            <w:tcW w:w="2232" w:type="dxa"/>
            <w:tcMar>
              <w:top w:w="80" w:type="dxa"/>
              <w:left w:w="90" w:type="dxa"/>
              <w:bottom w:w="80" w:type="dxa"/>
              <w:right w:w="90" w:type="dxa"/>
            </w:tcMar>
            <w:vAlign w:val="center"/>
          </w:tcPr>
          <w:p w14:paraId="471B2DAC" w14:textId="77777777" w:rsidR="005E1E0D" w:rsidRDefault="002265E2">
            <w:r>
              <w:rPr>
                <w:b/>
                <w:sz w:val="18"/>
              </w:rPr>
              <w:t>Level and unit</w:t>
            </w:r>
          </w:p>
        </w:tc>
        <w:tc>
          <w:tcPr>
            <w:tcW w:w="2592" w:type="dxa"/>
            <w:tcMar>
              <w:top w:w="80" w:type="dxa"/>
              <w:left w:w="90" w:type="dxa"/>
              <w:bottom w:w="80" w:type="dxa"/>
              <w:right w:w="90" w:type="dxa"/>
            </w:tcMar>
            <w:vAlign w:val="center"/>
          </w:tcPr>
          <w:p w14:paraId="78B3F86C" w14:textId="77777777" w:rsidR="005E1E0D" w:rsidRDefault="002265E2">
            <w:r>
              <w:rPr>
                <w:b/>
                <w:sz w:val="18"/>
              </w:rPr>
              <w:t>Analytical role</w:t>
            </w:r>
          </w:p>
        </w:tc>
      </w:tr>
      <w:tr w:rsidR="005E1E0D" w14:paraId="00EE5205" w14:textId="77777777">
        <w:trPr>
          <w:cantSplit/>
          <w:jc w:val="center"/>
        </w:trPr>
        <w:tc>
          <w:tcPr>
            <w:tcW w:w="1944" w:type="dxa"/>
            <w:tcMar>
              <w:top w:w="80" w:type="dxa"/>
              <w:left w:w="90" w:type="dxa"/>
              <w:bottom w:w="80" w:type="dxa"/>
              <w:right w:w="90" w:type="dxa"/>
            </w:tcMar>
            <w:vAlign w:val="center"/>
          </w:tcPr>
          <w:p w14:paraId="72D59F80" w14:textId="77777777" w:rsidR="005E1E0D" w:rsidRDefault="002265E2">
            <w:pPr>
              <w:spacing w:after="0" w:line="240" w:lineRule="auto"/>
            </w:pPr>
            <w:r>
              <w:rPr>
                <w:sz w:val="17"/>
              </w:rPr>
              <w:t>Initial allocation</w:t>
            </w:r>
          </w:p>
        </w:tc>
        <w:tc>
          <w:tcPr>
            <w:tcW w:w="3312" w:type="dxa"/>
            <w:tcMar>
              <w:top w:w="80" w:type="dxa"/>
              <w:left w:w="90" w:type="dxa"/>
              <w:bottom w:w="80" w:type="dxa"/>
              <w:right w:w="90" w:type="dxa"/>
            </w:tcMar>
            <w:vAlign w:val="center"/>
          </w:tcPr>
          <w:p w14:paraId="0854EF88" w14:textId="77777777" w:rsidR="005E1E0D" w:rsidRDefault="002265E2">
            <w:pPr>
              <w:spacing w:after="0" w:line="240" w:lineRule="auto"/>
            </w:pPr>
            <w:r>
              <w:rPr>
                <w:sz w:val="17"/>
              </w:rPr>
              <w:t>ln_budget = ln(budget_initial_fcfa)</w:t>
            </w:r>
          </w:p>
        </w:tc>
        <w:tc>
          <w:tcPr>
            <w:tcW w:w="2232" w:type="dxa"/>
            <w:tcMar>
              <w:top w:w="80" w:type="dxa"/>
              <w:left w:w="90" w:type="dxa"/>
              <w:bottom w:w="80" w:type="dxa"/>
              <w:right w:w="90" w:type="dxa"/>
            </w:tcMar>
            <w:vAlign w:val="center"/>
          </w:tcPr>
          <w:p w14:paraId="3D75FBF7" w14:textId="77777777" w:rsidR="005E1E0D" w:rsidRDefault="002265E2">
            <w:pPr>
              <w:spacing w:after="0" w:line="240" w:lineRule="auto"/>
            </w:pPr>
            <w:r>
              <w:rPr>
                <w:sz w:val="17"/>
              </w:rPr>
              <w:t>District-year; nominal FCFA</w:t>
            </w:r>
          </w:p>
        </w:tc>
        <w:tc>
          <w:tcPr>
            <w:tcW w:w="2592" w:type="dxa"/>
            <w:tcMar>
              <w:top w:w="80" w:type="dxa"/>
              <w:left w:w="90" w:type="dxa"/>
              <w:bottom w:w="80" w:type="dxa"/>
              <w:right w:w="90" w:type="dxa"/>
            </w:tcMar>
            <w:vAlign w:val="center"/>
          </w:tcPr>
          <w:p w14:paraId="724FF81C" w14:textId="77777777" w:rsidR="005E1E0D" w:rsidRDefault="002265E2">
            <w:pPr>
              <w:spacing w:after="0" w:line="240" w:lineRule="auto"/>
            </w:pPr>
            <w:r>
              <w:rPr>
                <w:sz w:val="17"/>
              </w:rPr>
              <w:t>Primary outcome; natural log</w:t>
            </w:r>
          </w:p>
        </w:tc>
      </w:tr>
      <w:tr w:rsidR="005E1E0D" w14:paraId="6D4A18F9" w14:textId="77777777">
        <w:trPr>
          <w:cantSplit/>
          <w:jc w:val="center"/>
        </w:trPr>
        <w:tc>
          <w:tcPr>
            <w:tcW w:w="1944" w:type="dxa"/>
            <w:tcMar>
              <w:top w:w="80" w:type="dxa"/>
              <w:left w:w="90" w:type="dxa"/>
              <w:bottom w:w="80" w:type="dxa"/>
              <w:right w:w="90" w:type="dxa"/>
            </w:tcMar>
            <w:vAlign w:val="center"/>
          </w:tcPr>
          <w:p w14:paraId="51CD496E" w14:textId="77777777" w:rsidR="005E1E0D" w:rsidRDefault="002265E2">
            <w:pPr>
              <w:spacing w:after="0" w:line="240" w:lineRule="auto"/>
            </w:pPr>
            <w:r>
              <w:rPr>
                <w:sz w:val="17"/>
              </w:rPr>
              <w:t>Population</w:t>
            </w:r>
          </w:p>
        </w:tc>
        <w:tc>
          <w:tcPr>
            <w:tcW w:w="3312" w:type="dxa"/>
            <w:tcMar>
              <w:top w:w="80" w:type="dxa"/>
              <w:left w:w="90" w:type="dxa"/>
              <w:bottom w:w="80" w:type="dxa"/>
              <w:right w:w="90" w:type="dxa"/>
            </w:tcMar>
            <w:vAlign w:val="center"/>
          </w:tcPr>
          <w:p w14:paraId="4B86E2F8" w14:textId="77777777" w:rsidR="005E1E0D" w:rsidRDefault="002265E2">
            <w:pPr>
              <w:spacing w:after="0" w:line="240" w:lineRule="auto"/>
            </w:pPr>
            <w:r>
              <w:rPr>
                <w:sz w:val="17"/>
              </w:rPr>
              <w:t>ln_population = ln(population_2018)</w:t>
            </w:r>
          </w:p>
        </w:tc>
        <w:tc>
          <w:tcPr>
            <w:tcW w:w="2232" w:type="dxa"/>
            <w:tcMar>
              <w:top w:w="80" w:type="dxa"/>
              <w:left w:w="90" w:type="dxa"/>
              <w:bottom w:w="80" w:type="dxa"/>
              <w:right w:w="90" w:type="dxa"/>
            </w:tcMar>
            <w:vAlign w:val="center"/>
          </w:tcPr>
          <w:p w14:paraId="10BE1984" w14:textId="77777777" w:rsidR="005E1E0D" w:rsidRDefault="002265E2">
            <w:pPr>
              <w:spacing w:after="0" w:line="240" w:lineRule="auto"/>
            </w:pPr>
            <w:r>
              <w:rPr>
                <w:sz w:val="17"/>
              </w:rPr>
              <w:t>District; persons</w:t>
            </w:r>
          </w:p>
        </w:tc>
        <w:tc>
          <w:tcPr>
            <w:tcW w:w="2592" w:type="dxa"/>
            <w:tcMar>
              <w:top w:w="80" w:type="dxa"/>
              <w:left w:w="90" w:type="dxa"/>
              <w:bottom w:w="80" w:type="dxa"/>
              <w:right w:w="90" w:type="dxa"/>
            </w:tcMar>
            <w:vAlign w:val="center"/>
          </w:tcPr>
          <w:p w14:paraId="67E59320" w14:textId="77777777" w:rsidR="005E1E0D" w:rsidRDefault="002265E2">
            <w:pPr>
              <w:spacing w:after="0" w:line="240" w:lineRule="auto"/>
            </w:pPr>
            <w:r>
              <w:rPr>
                <w:sz w:val="17"/>
              </w:rPr>
              <w:t>Capitation scale and elasticity</w:t>
            </w:r>
          </w:p>
        </w:tc>
      </w:tr>
      <w:tr w:rsidR="005E1E0D" w14:paraId="59F4D8C0" w14:textId="77777777">
        <w:trPr>
          <w:cantSplit/>
          <w:jc w:val="center"/>
        </w:trPr>
        <w:tc>
          <w:tcPr>
            <w:tcW w:w="1944" w:type="dxa"/>
            <w:tcMar>
              <w:top w:w="80" w:type="dxa"/>
              <w:left w:w="90" w:type="dxa"/>
              <w:bottom w:w="80" w:type="dxa"/>
              <w:right w:w="90" w:type="dxa"/>
            </w:tcMar>
            <w:vAlign w:val="center"/>
          </w:tcPr>
          <w:p w14:paraId="4EAD0D4E" w14:textId="77777777" w:rsidR="005E1E0D" w:rsidRDefault="002265E2">
            <w:pPr>
              <w:spacing w:after="0" w:line="240" w:lineRule="auto"/>
            </w:pPr>
            <w:r>
              <w:rPr>
                <w:sz w:val="17"/>
              </w:rPr>
              <w:t>Poverty</w:t>
            </w:r>
          </w:p>
        </w:tc>
        <w:tc>
          <w:tcPr>
            <w:tcW w:w="3312" w:type="dxa"/>
            <w:tcMar>
              <w:top w:w="80" w:type="dxa"/>
              <w:left w:w="90" w:type="dxa"/>
              <w:bottom w:w="80" w:type="dxa"/>
              <w:right w:w="90" w:type="dxa"/>
            </w:tcMar>
            <w:vAlign w:val="center"/>
          </w:tcPr>
          <w:p w14:paraId="5FE4451F" w14:textId="77777777" w:rsidR="005E1E0D" w:rsidRDefault="002265E2">
            <w:pPr>
              <w:spacing w:after="0" w:line="240" w:lineRule="auto"/>
            </w:pPr>
            <w:r>
              <w:rPr>
                <w:sz w:val="17"/>
              </w:rPr>
              <w:t>poverty_pct</w:t>
            </w:r>
          </w:p>
        </w:tc>
        <w:tc>
          <w:tcPr>
            <w:tcW w:w="2232" w:type="dxa"/>
            <w:tcMar>
              <w:top w:w="80" w:type="dxa"/>
              <w:left w:w="90" w:type="dxa"/>
              <w:bottom w:w="80" w:type="dxa"/>
              <w:right w:w="90" w:type="dxa"/>
            </w:tcMar>
            <w:vAlign w:val="center"/>
          </w:tcPr>
          <w:p w14:paraId="533CA3A8" w14:textId="77777777" w:rsidR="005E1E0D" w:rsidRDefault="002265E2">
            <w:pPr>
              <w:spacing w:after="0" w:line="240" w:lineRule="auto"/>
            </w:pPr>
            <w:r>
              <w:rPr>
                <w:sz w:val="17"/>
              </w:rPr>
              <w:t>Region; percent</w:t>
            </w:r>
          </w:p>
        </w:tc>
        <w:tc>
          <w:tcPr>
            <w:tcW w:w="2592" w:type="dxa"/>
            <w:tcMar>
              <w:top w:w="80" w:type="dxa"/>
              <w:left w:w="90" w:type="dxa"/>
              <w:bottom w:w="80" w:type="dxa"/>
              <w:right w:w="90" w:type="dxa"/>
            </w:tcMar>
            <w:vAlign w:val="center"/>
          </w:tcPr>
          <w:p w14:paraId="585F455D" w14:textId="77777777" w:rsidR="005E1E0D" w:rsidRDefault="002265E2">
            <w:pPr>
              <w:spacing w:after="0" w:line="240" w:lineRule="auto"/>
            </w:pPr>
            <w:r>
              <w:rPr>
                <w:sz w:val="17"/>
              </w:rPr>
              <w:t>Socioeconomic deprivation</w:t>
            </w:r>
          </w:p>
        </w:tc>
      </w:tr>
      <w:tr w:rsidR="005E1E0D" w14:paraId="1C5B5279" w14:textId="77777777">
        <w:trPr>
          <w:cantSplit/>
          <w:jc w:val="center"/>
        </w:trPr>
        <w:tc>
          <w:tcPr>
            <w:tcW w:w="1944" w:type="dxa"/>
            <w:tcMar>
              <w:top w:w="80" w:type="dxa"/>
              <w:left w:w="90" w:type="dxa"/>
              <w:bottom w:w="80" w:type="dxa"/>
              <w:right w:w="90" w:type="dxa"/>
            </w:tcMar>
            <w:vAlign w:val="center"/>
          </w:tcPr>
          <w:p w14:paraId="212C2108" w14:textId="77777777" w:rsidR="005E1E0D" w:rsidRDefault="002265E2">
            <w:pPr>
              <w:spacing w:after="0" w:line="240" w:lineRule="auto"/>
            </w:pPr>
            <w:r>
              <w:rPr>
                <w:sz w:val="17"/>
              </w:rPr>
              <w:t>Under-five mortality</w:t>
            </w:r>
          </w:p>
        </w:tc>
        <w:tc>
          <w:tcPr>
            <w:tcW w:w="3312" w:type="dxa"/>
            <w:tcMar>
              <w:top w:w="80" w:type="dxa"/>
              <w:left w:w="90" w:type="dxa"/>
              <w:bottom w:w="80" w:type="dxa"/>
              <w:right w:w="90" w:type="dxa"/>
            </w:tcMar>
            <w:vAlign w:val="center"/>
          </w:tcPr>
          <w:p w14:paraId="34FBFD3C" w14:textId="77777777" w:rsidR="005E1E0D" w:rsidRDefault="002265E2">
            <w:pPr>
              <w:spacing w:after="0" w:line="240" w:lineRule="auto"/>
            </w:pPr>
            <w:r>
              <w:rPr>
                <w:sz w:val="17"/>
              </w:rPr>
              <w:t>u5mr; z_u5mr = (u5mr - mean)/SD</w:t>
            </w:r>
          </w:p>
        </w:tc>
        <w:tc>
          <w:tcPr>
            <w:tcW w:w="2232" w:type="dxa"/>
            <w:tcMar>
              <w:top w:w="80" w:type="dxa"/>
              <w:left w:w="90" w:type="dxa"/>
              <w:bottom w:w="80" w:type="dxa"/>
              <w:right w:w="90" w:type="dxa"/>
            </w:tcMar>
            <w:vAlign w:val="center"/>
          </w:tcPr>
          <w:p w14:paraId="422EABA8" w14:textId="77777777" w:rsidR="005E1E0D" w:rsidRDefault="002265E2">
            <w:pPr>
              <w:spacing w:after="0" w:line="240" w:lineRule="auto"/>
            </w:pPr>
            <w:r>
              <w:rPr>
                <w:sz w:val="17"/>
              </w:rPr>
              <w:t>Region; per 1,000 live births</w:t>
            </w:r>
          </w:p>
        </w:tc>
        <w:tc>
          <w:tcPr>
            <w:tcW w:w="2592" w:type="dxa"/>
            <w:tcMar>
              <w:top w:w="80" w:type="dxa"/>
              <w:left w:w="90" w:type="dxa"/>
              <w:bottom w:w="80" w:type="dxa"/>
              <w:right w:w="90" w:type="dxa"/>
            </w:tcMar>
            <w:vAlign w:val="center"/>
          </w:tcPr>
          <w:p w14:paraId="137C231A" w14:textId="77777777" w:rsidR="005E1E0D" w:rsidRDefault="002265E2">
            <w:pPr>
              <w:spacing w:after="0" w:line="240" w:lineRule="auto"/>
            </w:pPr>
            <w:r>
              <w:rPr>
                <w:sz w:val="17"/>
              </w:rPr>
              <w:t>Health-need component</w:t>
            </w:r>
          </w:p>
        </w:tc>
      </w:tr>
      <w:tr w:rsidR="005E1E0D" w14:paraId="76D98F32" w14:textId="77777777">
        <w:trPr>
          <w:cantSplit/>
          <w:jc w:val="center"/>
        </w:trPr>
        <w:tc>
          <w:tcPr>
            <w:tcW w:w="1944" w:type="dxa"/>
            <w:tcMar>
              <w:top w:w="80" w:type="dxa"/>
              <w:left w:w="90" w:type="dxa"/>
              <w:bottom w:w="80" w:type="dxa"/>
              <w:right w:w="90" w:type="dxa"/>
            </w:tcMar>
            <w:vAlign w:val="center"/>
          </w:tcPr>
          <w:p w14:paraId="76779E02" w14:textId="77777777" w:rsidR="005E1E0D" w:rsidRDefault="002265E2">
            <w:pPr>
              <w:spacing w:after="0" w:line="240" w:lineRule="auto"/>
            </w:pPr>
            <w:r>
              <w:rPr>
                <w:sz w:val="17"/>
              </w:rPr>
              <w:t>Childhood stunting</w:t>
            </w:r>
          </w:p>
        </w:tc>
        <w:tc>
          <w:tcPr>
            <w:tcW w:w="3312" w:type="dxa"/>
            <w:tcMar>
              <w:top w:w="80" w:type="dxa"/>
              <w:left w:w="90" w:type="dxa"/>
              <w:bottom w:w="80" w:type="dxa"/>
              <w:right w:w="90" w:type="dxa"/>
            </w:tcMar>
            <w:vAlign w:val="center"/>
          </w:tcPr>
          <w:p w14:paraId="65F59974" w14:textId="77777777" w:rsidR="005E1E0D" w:rsidRDefault="002265E2">
            <w:pPr>
              <w:spacing w:after="0" w:line="240" w:lineRule="auto"/>
            </w:pPr>
            <w:r>
              <w:rPr>
                <w:sz w:val="17"/>
              </w:rPr>
              <w:t>stunting_pct; z_stunting = (stunting_pct - mean)/SD</w:t>
            </w:r>
          </w:p>
        </w:tc>
        <w:tc>
          <w:tcPr>
            <w:tcW w:w="2232" w:type="dxa"/>
            <w:tcMar>
              <w:top w:w="80" w:type="dxa"/>
              <w:left w:w="90" w:type="dxa"/>
              <w:bottom w:w="80" w:type="dxa"/>
              <w:right w:w="90" w:type="dxa"/>
            </w:tcMar>
            <w:vAlign w:val="center"/>
          </w:tcPr>
          <w:p w14:paraId="1A0CD22E" w14:textId="77777777" w:rsidR="005E1E0D" w:rsidRDefault="002265E2">
            <w:pPr>
              <w:spacing w:after="0" w:line="240" w:lineRule="auto"/>
            </w:pPr>
            <w:r>
              <w:rPr>
                <w:sz w:val="17"/>
              </w:rPr>
              <w:t>Region; percent</w:t>
            </w:r>
          </w:p>
        </w:tc>
        <w:tc>
          <w:tcPr>
            <w:tcW w:w="2592" w:type="dxa"/>
            <w:tcMar>
              <w:top w:w="80" w:type="dxa"/>
              <w:left w:w="90" w:type="dxa"/>
              <w:bottom w:w="80" w:type="dxa"/>
              <w:right w:w="90" w:type="dxa"/>
            </w:tcMar>
            <w:vAlign w:val="center"/>
          </w:tcPr>
          <w:p w14:paraId="78E7FCC8" w14:textId="77777777" w:rsidR="005E1E0D" w:rsidRDefault="002265E2">
            <w:pPr>
              <w:spacing w:after="0" w:line="240" w:lineRule="auto"/>
            </w:pPr>
            <w:r>
              <w:rPr>
                <w:sz w:val="17"/>
              </w:rPr>
              <w:t>Health-need component</w:t>
            </w:r>
          </w:p>
        </w:tc>
      </w:tr>
      <w:tr w:rsidR="005E1E0D" w14:paraId="5CE2BD56" w14:textId="77777777">
        <w:trPr>
          <w:cantSplit/>
          <w:jc w:val="center"/>
        </w:trPr>
        <w:tc>
          <w:tcPr>
            <w:tcW w:w="1944" w:type="dxa"/>
            <w:tcMar>
              <w:top w:w="80" w:type="dxa"/>
              <w:left w:w="90" w:type="dxa"/>
              <w:bottom w:w="80" w:type="dxa"/>
              <w:right w:w="90" w:type="dxa"/>
            </w:tcMar>
            <w:vAlign w:val="center"/>
          </w:tcPr>
          <w:p w14:paraId="13576BD3" w14:textId="77777777" w:rsidR="005E1E0D" w:rsidRDefault="002265E2">
            <w:pPr>
              <w:spacing w:after="0" w:line="240" w:lineRule="auto"/>
            </w:pPr>
            <w:r>
              <w:rPr>
                <w:sz w:val="17"/>
              </w:rPr>
              <w:t>Composite health need</w:t>
            </w:r>
          </w:p>
        </w:tc>
        <w:tc>
          <w:tcPr>
            <w:tcW w:w="3312" w:type="dxa"/>
            <w:tcMar>
              <w:top w:w="80" w:type="dxa"/>
              <w:left w:w="90" w:type="dxa"/>
              <w:bottom w:w="80" w:type="dxa"/>
              <w:right w:w="90" w:type="dxa"/>
            </w:tcMar>
            <w:vAlign w:val="center"/>
          </w:tcPr>
          <w:p w14:paraId="1BD03E78" w14:textId="77777777" w:rsidR="005E1E0D" w:rsidRDefault="002265E2">
            <w:pPr>
              <w:spacing w:after="0" w:line="240" w:lineRule="auto"/>
            </w:pPr>
            <w:r>
              <w:rPr>
                <w:sz w:val="17"/>
              </w:rPr>
              <w:t>need_index = (z_u5mr + z_stunting)/2</w:t>
            </w:r>
          </w:p>
        </w:tc>
        <w:tc>
          <w:tcPr>
            <w:tcW w:w="2232" w:type="dxa"/>
            <w:tcMar>
              <w:top w:w="80" w:type="dxa"/>
              <w:left w:w="90" w:type="dxa"/>
              <w:bottom w:w="80" w:type="dxa"/>
              <w:right w:w="90" w:type="dxa"/>
            </w:tcMar>
            <w:vAlign w:val="center"/>
          </w:tcPr>
          <w:p w14:paraId="1EF939A4" w14:textId="77777777" w:rsidR="005E1E0D" w:rsidRDefault="002265E2">
            <w:pPr>
              <w:spacing w:after="0" w:line="240" w:lineRule="auto"/>
            </w:pPr>
            <w:r>
              <w:rPr>
                <w:sz w:val="17"/>
              </w:rPr>
              <w:t>Region; SD units</w:t>
            </w:r>
          </w:p>
        </w:tc>
        <w:tc>
          <w:tcPr>
            <w:tcW w:w="2592" w:type="dxa"/>
            <w:tcMar>
              <w:top w:w="80" w:type="dxa"/>
              <w:left w:w="90" w:type="dxa"/>
              <w:bottom w:w="80" w:type="dxa"/>
              <w:right w:w="90" w:type="dxa"/>
            </w:tcMar>
            <w:vAlign w:val="center"/>
          </w:tcPr>
          <w:p w14:paraId="5A251D52" w14:textId="77777777" w:rsidR="005E1E0D" w:rsidRDefault="002265E2">
            <w:pPr>
              <w:spacing w:after="0" w:line="240" w:lineRule="auto"/>
            </w:pPr>
            <w:r>
              <w:rPr>
                <w:sz w:val="17"/>
              </w:rPr>
              <w:t>Equal-scale mean of two need indicators</w:t>
            </w:r>
          </w:p>
        </w:tc>
      </w:tr>
      <w:tr w:rsidR="005E1E0D" w14:paraId="1B378661" w14:textId="77777777">
        <w:trPr>
          <w:cantSplit/>
          <w:jc w:val="center"/>
        </w:trPr>
        <w:tc>
          <w:tcPr>
            <w:tcW w:w="1944" w:type="dxa"/>
            <w:tcMar>
              <w:top w:w="80" w:type="dxa"/>
              <w:left w:w="90" w:type="dxa"/>
              <w:bottom w:w="80" w:type="dxa"/>
              <w:right w:w="90" w:type="dxa"/>
            </w:tcMar>
            <w:vAlign w:val="center"/>
          </w:tcPr>
          <w:p w14:paraId="01867153" w14:textId="77777777" w:rsidR="005E1E0D" w:rsidRDefault="002265E2">
            <w:pPr>
              <w:spacing w:after="0" w:line="240" w:lineRule="auto"/>
            </w:pPr>
            <w:r>
              <w:rPr>
                <w:sz w:val="17"/>
              </w:rPr>
              <w:t>Area</w:t>
            </w:r>
          </w:p>
        </w:tc>
        <w:tc>
          <w:tcPr>
            <w:tcW w:w="3312" w:type="dxa"/>
            <w:tcMar>
              <w:top w:w="80" w:type="dxa"/>
              <w:left w:w="90" w:type="dxa"/>
              <w:bottom w:w="80" w:type="dxa"/>
              <w:right w:w="90" w:type="dxa"/>
            </w:tcMar>
            <w:vAlign w:val="center"/>
          </w:tcPr>
          <w:p w14:paraId="1DB631E7" w14:textId="77777777" w:rsidR="005E1E0D" w:rsidRDefault="002265E2">
            <w:pPr>
              <w:spacing w:after="0" w:line="240" w:lineRule="auto"/>
            </w:pPr>
            <w:r>
              <w:rPr>
                <w:sz w:val="17"/>
              </w:rPr>
              <w:t>ln_area = ln(area_km2)</w:t>
            </w:r>
          </w:p>
        </w:tc>
        <w:tc>
          <w:tcPr>
            <w:tcW w:w="2232" w:type="dxa"/>
            <w:tcMar>
              <w:top w:w="80" w:type="dxa"/>
              <w:left w:w="90" w:type="dxa"/>
              <w:bottom w:w="80" w:type="dxa"/>
              <w:right w:w="90" w:type="dxa"/>
            </w:tcMar>
            <w:vAlign w:val="center"/>
          </w:tcPr>
          <w:p w14:paraId="71A53FF6" w14:textId="77777777" w:rsidR="005E1E0D" w:rsidRDefault="002265E2">
            <w:pPr>
              <w:spacing w:after="0" w:line="240" w:lineRule="auto"/>
            </w:pPr>
            <w:r>
              <w:rPr>
                <w:sz w:val="17"/>
              </w:rPr>
              <w:t>District; km2</w:t>
            </w:r>
          </w:p>
        </w:tc>
        <w:tc>
          <w:tcPr>
            <w:tcW w:w="2592" w:type="dxa"/>
            <w:tcMar>
              <w:top w:w="80" w:type="dxa"/>
              <w:left w:w="90" w:type="dxa"/>
              <w:bottom w:w="80" w:type="dxa"/>
              <w:right w:w="90" w:type="dxa"/>
            </w:tcMar>
            <w:vAlign w:val="center"/>
          </w:tcPr>
          <w:p w14:paraId="6B93ABED" w14:textId="77777777" w:rsidR="005E1E0D" w:rsidRDefault="002265E2">
            <w:pPr>
              <w:spacing w:after="0" w:line="240" w:lineRule="auto"/>
            </w:pPr>
            <w:r>
              <w:rPr>
                <w:sz w:val="17"/>
              </w:rPr>
              <w:t>Geographic dispersion and delivery costs</w:t>
            </w:r>
          </w:p>
        </w:tc>
      </w:tr>
      <w:tr w:rsidR="005E1E0D" w14:paraId="5390A4EC" w14:textId="77777777">
        <w:trPr>
          <w:cantSplit/>
          <w:jc w:val="center"/>
        </w:trPr>
        <w:tc>
          <w:tcPr>
            <w:tcW w:w="1944" w:type="dxa"/>
            <w:tcMar>
              <w:top w:w="80" w:type="dxa"/>
              <w:left w:w="90" w:type="dxa"/>
              <w:bottom w:w="80" w:type="dxa"/>
              <w:right w:w="90" w:type="dxa"/>
            </w:tcMar>
            <w:vAlign w:val="center"/>
          </w:tcPr>
          <w:p w14:paraId="3C2B04A4" w14:textId="77777777" w:rsidR="005E1E0D" w:rsidRDefault="002265E2">
            <w:pPr>
              <w:spacing w:after="0" w:line="240" w:lineRule="auto"/>
            </w:pPr>
            <w:r>
              <w:rPr>
                <w:sz w:val="17"/>
              </w:rPr>
              <w:t>Health-centre workload</w:t>
            </w:r>
          </w:p>
        </w:tc>
        <w:tc>
          <w:tcPr>
            <w:tcW w:w="3312" w:type="dxa"/>
            <w:tcMar>
              <w:top w:w="80" w:type="dxa"/>
              <w:left w:w="90" w:type="dxa"/>
              <w:bottom w:w="80" w:type="dxa"/>
              <w:right w:w="90" w:type="dxa"/>
            </w:tcMar>
            <w:vAlign w:val="center"/>
          </w:tcPr>
          <w:p w14:paraId="595DD368" w14:textId="77777777" w:rsidR="005E1E0D" w:rsidRDefault="002265E2">
            <w:pPr>
              <w:spacing w:after="0" w:line="240" w:lineRule="auto"/>
            </w:pPr>
            <w:r>
              <w:rPr>
                <w:sz w:val="17"/>
              </w:rPr>
              <w:t>inhab_hc_10k = inhabitants_per_health_centre/10000</w:t>
            </w:r>
          </w:p>
        </w:tc>
        <w:tc>
          <w:tcPr>
            <w:tcW w:w="2232" w:type="dxa"/>
            <w:tcMar>
              <w:top w:w="80" w:type="dxa"/>
              <w:left w:w="90" w:type="dxa"/>
              <w:bottom w:w="80" w:type="dxa"/>
              <w:right w:w="90" w:type="dxa"/>
            </w:tcMar>
            <w:vAlign w:val="center"/>
          </w:tcPr>
          <w:p w14:paraId="7F840FB9" w14:textId="77777777" w:rsidR="005E1E0D" w:rsidRDefault="002265E2">
            <w:pPr>
              <w:spacing w:after="0" w:line="240" w:lineRule="auto"/>
            </w:pPr>
            <w:r>
              <w:rPr>
                <w:sz w:val="17"/>
              </w:rPr>
              <w:t>District; per 10,000</w:t>
            </w:r>
          </w:p>
        </w:tc>
        <w:tc>
          <w:tcPr>
            <w:tcW w:w="2592" w:type="dxa"/>
            <w:tcMar>
              <w:top w:w="80" w:type="dxa"/>
              <w:left w:w="90" w:type="dxa"/>
              <w:bottom w:w="80" w:type="dxa"/>
              <w:right w:w="90" w:type="dxa"/>
            </w:tcMar>
            <w:vAlign w:val="center"/>
          </w:tcPr>
          <w:p w14:paraId="085C2F56" w14:textId="77777777" w:rsidR="005E1E0D" w:rsidRDefault="002265E2">
            <w:pPr>
              <w:spacing w:after="0" w:line="240" w:lineRule="auto"/>
            </w:pPr>
            <w:r>
              <w:rPr>
                <w:sz w:val="17"/>
              </w:rPr>
              <w:t>Population pressure on infrastructure</w:t>
            </w:r>
          </w:p>
        </w:tc>
      </w:tr>
      <w:tr w:rsidR="005E1E0D" w14:paraId="5EB1E43A" w14:textId="77777777">
        <w:trPr>
          <w:cantSplit/>
          <w:jc w:val="center"/>
        </w:trPr>
        <w:tc>
          <w:tcPr>
            <w:tcW w:w="1944" w:type="dxa"/>
            <w:tcMar>
              <w:top w:w="80" w:type="dxa"/>
              <w:left w:w="90" w:type="dxa"/>
              <w:bottom w:w="80" w:type="dxa"/>
              <w:right w:w="90" w:type="dxa"/>
            </w:tcMar>
            <w:vAlign w:val="center"/>
          </w:tcPr>
          <w:p w14:paraId="6F13D1CA" w14:textId="77777777" w:rsidR="005E1E0D" w:rsidRDefault="002265E2">
            <w:pPr>
              <w:spacing w:after="0" w:line="240" w:lineRule="auto"/>
            </w:pPr>
            <w:r>
              <w:rPr>
                <w:sz w:val="17"/>
              </w:rPr>
              <w:t>Facility delivery</w:t>
            </w:r>
          </w:p>
        </w:tc>
        <w:tc>
          <w:tcPr>
            <w:tcW w:w="3312" w:type="dxa"/>
            <w:tcMar>
              <w:top w:w="80" w:type="dxa"/>
              <w:left w:w="90" w:type="dxa"/>
              <w:bottom w:w="80" w:type="dxa"/>
              <w:right w:w="90" w:type="dxa"/>
            </w:tcMar>
            <w:vAlign w:val="center"/>
          </w:tcPr>
          <w:p w14:paraId="66642D57" w14:textId="77777777" w:rsidR="005E1E0D" w:rsidRDefault="002265E2">
            <w:pPr>
              <w:spacing w:after="0" w:line="240" w:lineRule="auto"/>
            </w:pPr>
            <w:r>
              <w:rPr>
                <w:sz w:val="17"/>
              </w:rPr>
              <w:t>facility_birth_pct</w:t>
            </w:r>
          </w:p>
        </w:tc>
        <w:tc>
          <w:tcPr>
            <w:tcW w:w="2232" w:type="dxa"/>
            <w:tcMar>
              <w:top w:w="80" w:type="dxa"/>
              <w:left w:w="90" w:type="dxa"/>
              <w:bottom w:w="80" w:type="dxa"/>
              <w:right w:w="90" w:type="dxa"/>
            </w:tcMar>
            <w:vAlign w:val="center"/>
          </w:tcPr>
          <w:p w14:paraId="2C2C3F4B" w14:textId="77777777" w:rsidR="005E1E0D" w:rsidRDefault="002265E2">
            <w:pPr>
              <w:spacing w:after="0" w:line="240" w:lineRule="auto"/>
            </w:pPr>
            <w:r>
              <w:rPr>
                <w:sz w:val="17"/>
              </w:rPr>
              <w:t>Region; percent</w:t>
            </w:r>
          </w:p>
        </w:tc>
        <w:tc>
          <w:tcPr>
            <w:tcW w:w="2592" w:type="dxa"/>
            <w:tcMar>
              <w:top w:w="80" w:type="dxa"/>
              <w:left w:w="90" w:type="dxa"/>
              <w:bottom w:w="80" w:type="dxa"/>
              <w:right w:w="90" w:type="dxa"/>
            </w:tcMar>
            <w:vAlign w:val="center"/>
          </w:tcPr>
          <w:p w14:paraId="3884EE2C" w14:textId="77777777" w:rsidR="005E1E0D" w:rsidRDefault="002265E2">
            <w:pPr>
              <w:spacing w:after="0" w:line="240" w:lineRule="auto"/>
            </w:pPr>
            <w:r>
              <w:rPr>
                <w:sz w:val="17"/>
              </w:rPr>
              <w:t>Utilization and effective access</w:t>
            </w:r>
          </w:p>
        </w:tc>
      </w:tr>
      <w:tr w:rsidR="005E1E0D" w14:paraId="3F8BFBD6" w14:textId="77777777">
        <w:trPr>
          <w:cantSplit/>
          <w:jc w:val="center"/>
        </w:trPr>
        <w:tc>
          <w:tcPr>
            <w:tcW w:w="1944" w:type="dxa"/>
            <w:tcMar>
              <w:top w:w="80" w:type="dxa"/>
              <w:left w:w="90" w:type="dxa"/>
              <w:bottom w:w="80" w:type="dxa"/>
              <w:right w:w="90" w:type="dxa"/>
            </w:tcMar>
            <w:vAlign w:val="center"/>
          </w:tcPr>
          <w:p w14:paraId="698D6188" w14:textId="77777777" w:rsidR="005E1E0D" w:rsidRDefault="002265E2">
            <w:pPr>
              <w:spacing w:after="0" w:line="240" w:lineRule="auto"/>
            </w:pPr>
            <w:r>
              <w:rPr>
                <w:sz w:val="17"/>
              </w:rPr>
              <w:t>Historical allocation</w:t>
            </w:r>
          </w:p>
        </w:tc>
        <w:tc>
          <w:tcPr>
            <w:tcW w:w="3312" w:type="dxa"/>
            <w:tcMar>
              <w:top w:w="80" w:type="dxa"/>
              <w:left w:w="90" w:type="dxa"/>
              <w:bottom w:w="80" w:type="dxa"/>
              <w:right w:w="90" w:type="dxa"/>
            </w:tcMar>
            <w:vAlign w:val="center"/>
          </w:tcPr>
          <w:p w14:paraId="6FE37DCA" w14:textId="77777777" w:rsidR="005E1E0D" w:rsidRDefault="002265E2">
            <w:pPr>
              <w:spacing w:after="0" w:line="240" w:lineRule="auto"/>
            </w:pPr>
            <w:r>
              <w:rPr>
                <w:sz w:val="17"/>
              </w:rPr>
              <w:t>ln_budget2016</w:t>
            </w:r>
          </w:p>
        </w:tc>
        <w:tc>
          <w:tcPr>
            <w:tcW w:w="2232" w:type="dxa"/>
            <w:tcMar>
              <w:top w:w="80" w:type="dxa"/>
              <w:left w:w="90" w:type="dxa"/>
              <w:bottom w:w="80" w:type="dxa"/>
              <w:right w:w="90" w:type="dxa"/>
            </w:tcMar>
            <w:vAlign w:val="center"/>
          </w:tcPr>
          <w:p w14:paraId="055D90FE" w14:textId="77777777" w:rsidR="005E1E0D" w:rsidRDefault="002265E2">
            <w:pPr>
              <w:spacing w:after="0" w:line="240" w:lineRule="auto"/>
            </w:pPr>
            <w:r>
              <w:rPr>
                <w:sz w:val="17"/>
              </w:rPr>
              <w:t>District; natural log FCFA</w:t>
            </w:r>
          </w:p>
        </w:tc>
        <w:tc>
          <w:tcPr>
            <w:tcW w:w="2592" w:type="dxa"/>
            <w:tcMar>
              <w:top w:w="80" w:type="dxa"/>
              <w:left w:w="90" w:type="dxa"/>
              <w:bottom w:w="80" w:type="dxa"/>
              <w:right w:w="90" w:type="dxa"/>
            </w:tcMar>
            <w:vAlign w:val="center"/>
          </w:tcPr>
          <w:p w14:paraId="7190153F" w14:textId="77777777" w:rsidR="005E1E0D" w:rsidRDefault="002265E2">
            <w:pPr>
              <w:spacing w:after="0" w:line="240" w:lineRule="auto"/>
            </w:pPr>
            <w:r>
              <w:rPr>
                <w:sz w:val="17"/>
              </w:rPr>
              <w:t>2016 baseline predicting 2018 allocation</w:t>
            </w:r>
          </w:p>
        </w:tc>
      </w:tr>
      <w:tr w:rsidR="005E1E0D" w14:paraId="1D1E7B9B" w14:textId="77777777">
        <w:trPr>
          <w:cantSplit/>
          <w:jc w:val="center"/>
        </w:trPr>
        <w:tc>
          <w:tcPr>
            <w:tcW w:w="1944" w:type="dxa"/>
            <w:tcMar>
              <w:top w:w="80" w:type="dxa"/>
              <w:left w:w="90" w:type="dxa"/>
              <w:bottom w:w="80" w:type="dxa"/>
              <w:right w:w="90" w:type="dxa"/>
            </w:tcMar>
            <w:vAlign w:val="center"/>
          </w:tcPr>
          <w:p w14:paraId="78491495" w14:textId="77777777" w:rsidR="005E1E0D" w:rsidRDefault="002265E2">
            <w:pPr>
              <w:spacing w:after="0" w:line="240" w:lineRule="auto"/>
            </w:pPr>
            <w:r>
              <w:rPr>
                <w:sz w:val="17"/>
              </w:rPr>
              <w:t>Year controls</w:t>
            </w:r>
          </w:p>
        </w:tc>
        <w:tc>
          <w:tcPr>
            <w:tcW w:w="3312" w:type="dxa"/>
            <w:tcMar>
              <w:top w:w="80" w:type="dxa"/>
              <w:left w:w="90" w:type="dxa"/>
              <w:bottom w:w="80" w:type="dxa"/>
              <w:right w:w="90" w:type="dxa"/>
            </w:tcMar>
            <w:vAlign w:val="center"/>
          </w:tcPr>
          <w:p w14:paraId="26A7A226" w14:textId="77777777" w:rsidR="005E1E0D" w:rsidRDefault="002265E2">
            <w:pPr>
              <w:spacing w:after="0" w:line="240" w:lineRule="auto"/>
            </w:pPr>
            <w:r>
              <w:rPr>
                <w:sz w:val="17"/>
              </w:rPr>
              <w:t>i.year; base = 2016</w:t>
            </w:r>
          </w:p>
        </w:tc>
        <w:tc>
          <w:tcPr>
            <w:tcW w:w="2232" w:type="dxa"/>
            <w:tcMar>
              <w:top w:w="80" w:type="dxa"/>
              <w:left w:w="90" w:type="dxa"/>
              <w:bottom w:w="80" w:type="dxa"/>
              <w:right w:w="90" w:type="dxa"/>
            </w:tcMar>
            <w:vAlign w:val="center"/>
          </w:tcPr>
          <w:p w14:paraId="080455C3" w14:textId="77777777" w:rsidR="005E1E0D" w:rsidRDefault="002265E2">
            <w:pPr>
              <w:spacing w:after="0" w:line="240" w:lineRule="auto"/>
            </w:pPr>
            <w:r>
              <w:rPr>
                <w:sz w:val="17"/>
              </w:rPr>
              <w:t>District-year; binary</w:t>
            </w:r>
          </w:p>
        </w:tc>
        <w:tc>
          <w:tcPr>
            <w:tcW w:w="2592" w:type="dxa"/>
            <w:tcMar>
              <w:top w:w="80" w:type="dxa"/>
              <w:left w:w="90" w:type="dxa"/>
              <w:bottom w:w="80" w:type="dxa"/>
              <w:right w:w="90" w:type="dxa"/>
            </w:tcMar>
            <w:vAlign w:val="center"/>
          </w:tcPr>
          <w:p w14:paraId="295AD808" w14:textId="77777777" w:rsidR="005E1E0D" w:rsidRDefault="002265E2">
            <w:pPr>
              <w:spacing w:after="0" w:line="240" w:lineRule="auto"/>
            </w:pPr>
            <w:r>
              <w:rPr>
                <w:sz w:val="17"/>
              </w:rPr>
              <w:t>Common nominal annual shifts</w:t>
            </w:r>
          </w:p>
        </w:tc>
      </w:tr>
      <w:tr w:rsidR="005E1E0D" w14:paraId="7434FAFB" w14:textId="77777777">
        <w:trPr>
          <w:cantSplit/>
          <w:jc w:val="center"/>
        </w:trPr>
        <w:tc>
          <w:tcPr>
            <w:tcW w:w="1944" w:type="dxa"/>
            <w:tcMar>
              <w:top w:w="80" w:type="dxa"/>
              <w:left w:w="90" w:type="dxa"/>
              <w:bottom w:w="80" w:type="dxa"/>
              <w:right w:w="90" w:type="dxa"/>
            </w:tcMar>
            <w:vAlign w:val="center"/>
          </w:tcPr>
          <w:p w14:paraId="3578B4D6" w14:textId="77777777" w:rsidR="005E1E0D" w:rsidRDefault="002265E2">
            <w:pPr>
              <w:spacing w:after="0" w:line="240" w:lineRule="auto"/>
            </w:pPr>
            <w:r>
              <w:rPr>
                <w:sz w:val="17"/>
              </w:rPr>
              <w:t>Inference cluster</w:t>
            </w:r>
          </w:p>
        </w:tc>
        <w:tc>
          <w:tcPr>
            <w:tcW w:w="3312" w:type="dxa"/>
            <w:tcMar>
              <w:top w:w="80" w:type="dxa"/>
              <w:left w:w="90" w:type="dxa"/>
              <w:bottom w:w="80" w:type="dxa"/>
              <w:right w:w="90" w:type="dxa"/>
            </w:tcMar>
            <w:vAlign w:val="center"/>
          </w:tcPr>
          <w:p w14:paraId="72BE532D" w14:textId="77777777" w:rsidR="005E1E0D" w:rsidRDefault="002265E2">
            <w:pPr>
              <w:spacing w:after="0" w:line="240" w:lineRule="auto"/>
            </w:pPr>
            <w:r>
              <w:rPr>
                <w:sz w:val="17"/>
              </w:rPr>
              <w:t>region_id</w:t>
            </w:r>
          </w:p>
        </w:tc>
        <w:tc>
          <w:tcPr>
            <w:tcW w:w="2232" w:type="dxa"/>
            <w:tcMar>
              <w:top w:w="80" w:type="dxa"/>
              <w:left w:w="90" w:type="dxa"/>
              <w:bottom w:w="80" w:type="dxa"/>
              <w:right w:w="90" w:type="dxa"/>
            </w:tcMar>
            <w:vAlign w:val="center"/>
          </w:tcPr>
          <w:p w14:paraId="0A89D299" w14:textId="77777777" w:rsidR="005E1E0D" w:rsidRDefault="002265E2">
            <w:pPr>
              <w:spacing w:after="0" w:line="240" w:lineRule="auto"/>
            </w:pPr>
            <w:r>
              <w:rPr>
                <w:sz w:val="17"/>
              </w:rPr>
              <w:t>Region; 14 clusters</w:t>
            </w:r>
          </w:p>
        </w:tc>
        <w:tc>
          <w:tcPr>
            <w:tcW w:w="2592" w:type="dxa"/>
            <w:tcMar>
              <w:top w:w="80" w:type="dxa"/>
              <w:left w:w="90" w:type="dxa"/>
              <w:bottom w:w="80" w:type="dxa"/>
              <w:right w:w="90" w:type="dxa"/>
            </w:tcMar>
            <w:vAlign w:val="center"/>
          </w:tcPr>
          <w:p w14:paraId="6460E4C3" w14:textId="77777777" w:rsidR="005E1E0D" w:rsidRDefault="002265E2">
            <w:pPr>
              <w:spacing w:after="0" w:line="240" w:lineRule="auto"/>
            </w:pPr>
            <w:r>
              <w:rPr>
                <w:sz w:val="17"/>
              </w:rPr>
              <w:t>Within-region error dependence</w:t>
            </w:r>
          </w:p>
        </w:tc>
      </w:tr>
    </w:tbl>
    <w:p w14:paraId="2F8D6FD6" w14:textId="77777777" w:rsidR="005E1E0D" w:rsidRDefault="005E1E0D">
      <w:pPr>
        <w:spacing w:after="0"/>
      </w:pPr>
    </w:p>
    <w:p w14:paraId="600839EF" w14:textId="77777777" w:rsidR="005E1E0D" w:rsidRDefault="002265E2">
      <w:pPr>
        <w:pStyle w:val="Titre1"/>
      </w:pPr>
      <w:r>
        <w:t>Statistical analysis and model specifications</w:t>
      </w:r>
    </w:p>
    <w:p w14:paraId="36A373D2" w14:textId="77777777" w:rsidR="005E1E0D" w:rsidRDefault="002265E2">
      <w:r>
        <w:t>Allocations were summarized overall and by year using means, medians, standard deviations, ranges and totals. Pairwise correlations and variance-inflation factors were examined before regression modelling. Seven prespecified nested models separated population scale, deprivation, health need, geography, service conditions and historical persistence.</w:t>
      </w:r>
    </w:p>
    <w:p w14:paraId="379F0BA4" w14:textId="77777777" w:rsidR="005E1E0D" w:rsidRDefault="002265E2">
      <w:pPr>
        <w:pStyle w:val="Titre2"/>
      </w:pPr>
      <w:r>
        <w:t>General panel model</w:t>
      </w:r>
    </w:p>
    <w:p w14:paraId="6B8E6FF0" w14:textId="77777777" w:rsidR="005E1E0D" w:rsidRDefault="002265E2">
      <w:pPr>
        <w:jc w:val="center"/>
      </w:pPr>
      <w:r>
        <w:rPr>
          <w:i/>
        </w:rPr>
        <w:t>ln(Budget_it) = alpha + beta1 ln(Population_i) + beta2 Poverty_r + beta3 HealthNeed_r + beta4 ln(Area_i) + beta5 InhabitantsCentre_i + beta6 FacilityDelivery_r + delta_2017 + delta_2018 + epsilon_it</w:t>
      </w:r>
    </w:p>
    <w:p w14:paraId="52693077" w14:textId="77777777" w:rsidR="005E1E0D" w:rsidRDefault="002265E2">
      <w:r>
        <w:t>Models M1-M5 were estimated by pooled ordinary least squares with 2016 as the omitted year. Standard errors were clustered by region. With 14 clusters, selected hypotheses were additionally assessed using wild cluster bootstrap-t tests with 9,999 replications, Rademacher weights and a fixed random seed. Tests were two-sided; p-values below 0.05 were considered statistically significant and values below 0.10 suggestive.</w:t>
      </w:r>
    </w:p>
    <w:p w14:paraId="28751CD3" w14:textId="77777777" w:rsidR="00790EF8" w:rsidRDefault="009A7901">
      <w:pPr>
        <w:pStyle w:val="Lgende"/>
      </w:pPr>
      <w:r>
        <w:lastRenderedPageBreak/>
        <w:t>Supplementary Table S4. Model specifications and analytical purpose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92"/>
        <w:gridCol w:w="1728"/>
        <w:gridCol w:w="4536"/>
        <w:gridCol w:w="3024"/>
      </w:tblGrid>
      <w:tr w:rsidR="005E1E0D" w14:paraId="08DB197B" w14:textId="77777777">
        <w:trPr>
          <w:cantSplit/>
          <w:tblHeader/>
          <w:jc w:val="center"/>
        </w:trPr>
        <w:tc>
          <w:tcPr>
            <w:tcW w:w="792" w:type="dxa"/>
            <w:tcMar>
              <w:top w:w="80" w:type="dxa"/>
              <w:left w:w="90" w:type="dxa"/>
              <w:bottom w:w="80" w:type="dxa"/>
              <w:right w:w="90" w:type="dxa"/>
            </w:tcMar>
            <w:vAlign w:val="center"/>
          </w:tcPr>
          <w:p w14:paraId="2FDF8B18" w14:textId="77777777" w:rsidR="005E1E0D" w:rsidRDefault="002265E2">
            <w:r>
              <w:rPr>
                <w:b/>
                <w:sz w:val="18"/>
              </w:rPr>
              <w:t>Model</w:t>
            </w:r>
          </w:p>
        </w:tc>
        <w:tc>
          <w:tcPr>
            <w:tcW w:w="1728" w:type="dxa"/>
            <w:tcMar>
              <w:top w:w="80" w:type="dxa"/>
              <w:left w:w="90" w:type="dxa"/>
              <w:bottom w:w="80" w:type="dxa"/>
              <w:right w:w="90" w:type="dxa"/>
            </w:tcMar>
            <w:vAlign w:val="center"/>
          </w:tcPr>
          <w:p w14:paraId="2DE7D34A" w14:textId="77777777" w:rsidR="005E1E0D" w:rsidRDefault="002265E2">
            <w:r>
              <w:rPr>
                <w:b/>
                <w:sz w:val="18"/>
              </w:rPr>
              <w:t>Sample</w:t>
            </w:r>
          </w:p>
        </w:tc>
        <w:tc>
          <w:tcPr>
            <w:tcW w:w="4536" w:type="dxa"/>
            <w:tcMar>
              <w:top w:w="80" w:type="dxa"/>
              <w:left w:w="90" w:type="dxa"/>
              <w:bottom w:w="80" w:type="dxa"/>
              <w:right w:w="90" w:type="dxa"/>
            </w:tcMar>
            <w:vAlign w:val="center"/>
          </w:tcPr>
          <w:p w14:paraId="31A180DF" w14:textId="77777777" w:rsidR="005E1E0D" w:rsidRDefault="002265E2">
            <w:r>
              <w:rPr>
                <w:b/>
                <w:sz w:val="18"/>
              </w:rPr>
              <w:t>Regressors</w:t>
            </w:r>
          </w:p>
        </w:tc>
        <w:tc>
          <w:tcPr>
            <w:tcW w:w="3024" w:type="dxa"/>
            <w:tcMar>
              <w:top w:w="80" w:type="dxa"/>
              <w:left w:w="90" w:type="dxa"/>
              <w:bottom w:w="80" w:type="dxa"/>
              <w:right w:w="90" w:type="dxa"/>
            </w:tcMar>
            <w:vAlign w:val="center"/>
          </w:tcPr>
          <w:p w14:paraId="1BD9AD53" w14:textId="77777777" w:rsidR="005E1E0D" w:rsidRDefault="002265E2">
            <w:r>
              <w:rPr>
                <w:b/>
                <w:sz w:val="18"/>
              </w:rPr>
              <w:t>Purpose</w:t>
            </w:r>
          </w:p>
        </w:tc>
      </w:tr>
      <w:tr w:rsidR="005E1E0D" w14:paraId="59D990E8" w14:textId="77777777">
        <w:trPr>
          <w:cantSplit/>
          <w:jc w:val="center"/>
        </w:trPr>
        <w:tc>
          <w:tcPr>
            <w:tcW w:w="792" w:type="dxa"/>
            <w:tcMar>
              <w:top w:w="80" w:type="dxa"/>
              <w:left w:w="90" w:type="dxa"/>
              <w:bottom w:w="80" w:type="dxa"/>
              <w:right w:w="90" w:type="dxa"/>
            </w:tcMar>
            <w:vAlign w:val="center"/>
          </w:tcPr>
          <w:p w14:paraId="586D2C5E" w14:textId="77777777" w:rsidR="005E1E0D" w:rsidRDefault="002265E2">
            <w:pPr>
              <w:spacing w:after="0" w:line="240" w:lineRule="auto"/>
            </w:pPr>
            <w:r>
              <w:rPr>
                <w:sz w:val="17"/>
              </w:rPr>
              <w:t>M1</w:t>
            </w:r>
          </w:p>
        </w:tc>
        <w:tc>
          <w:tcPr>
            <w:tcW w:w="1728" w:type="dxa"/>
            <w:tcMar>
              <w:top w:w="80" w:type="dxa"/>
              <w:left w:w="90" w:type="dxa"/>
              <w:bottom w:w="80" w:type="dxa"/>
              <w:right w:w="90" w:type="dxa"/>
            </w:tcMar>
            <w:vAlign w:val="center"/>
          </w:tcPr>
          <w:p w14:paraId="6F4C0430" w14:textId="77777777" w:rsidR="005E1E0D" w:rsidRDefault="002265E2">
            <w:pPr>
              <w:spacing w:after="0" w:line="240" w:lineRule="auto"/>
            </w:pPr>
            <w:r>
              <w:rPr>
                <w:sz w:val="17"/>
              </w:rPr>
              <w:t>Panel, n=213</w:t>
            </w:r>
          </w:p>
        </w:tc>
        <w:tc>
          <w:tcPr>
            <w:tcW w:w="4536" w:type="dxa"/>
            <w:tcMar>
              <w:top w:w="80" w:type="dxa"/>
              <w:left w:w="90" w:type="dxa"/>
              <w:bottom w:w="80" w:type="dxa"/>
              <w:right w:w="90" w:type="dxa"/>
            </w:tcMar>
            <w:vAlign w:val="center"/>
          </w:tcPr>
          <w:p w14:paraId="524990CF" w14:textId="77777777" w:rsidR="005E1E0D" w:rsidRDefault="002265E2">
            <w:pPr>
              <w:spacing w:after="0" w:line="240" w:lineRule="auto"/>
            </w:pPr>
            <w:r>
              <w:rPr>
                <w:sz w:val="17"/>
              </w:rPr>
              <w:t>ln_population + year indicators</w:t>
            </w:r>
          </w:p>
        </w:tc>
        <w:tc>
          <w:tcPr>
            <w:tcW w:w="3024" w:type="dxa"/>
            <w:tcMar>
              <w:top w:w="80" w:type="dxa"/>
              <w:left w:w="90" w:type="dxa"/>
              <w:bottom w:w="80" w:type="dxa"/>
              <w:right w:w="90" w:type="dxa"/>
            </w:tcMar>
            <w:vAlign w:val="center"/>
          </w:tcPr>
          <w:p w14:paraId="6B453A46" w14:textId="77777777" w:rsidR="005E1E0D" w:rsidRDefault="002265E2">
            <w:pPr>
              <w:spacing w:after="0" w:line="240" w:lineRule="auto"/>
            </w:pPr>
            <w:r>
              <w:rPr>
                <w:sz w:val="17"/>
              </w:rPr>
              <w:t>Population baseline and proportionality test</w:t>
            </w:r>
          </w:p>
        </w:tc>
      </w:tr>
      <w:tr w:rsidR="005E1E0D" w14:paraId="62275764" w14:textId="77777777">
        <w:trPr>
          <w:cantSplit/>
          <w:jc w:val="center"/>
        </w:trPr>
        <w:tc>
          <w:tcPr>
            <w:tcW w:w="792" w:type="dxa"/>
            <w:tcMar>
              <w:top w:w="80" w:type="dxa"/>
              <w:left w:w="90" w:type="dxa"/>
              <w:bottom w:w="80" w:type="dxa"/>
              <w:right w:w="90" w:type="dxa"/>
            </w:tcMar>
            <w:vAlign w:val="center"/>
          </w:tcPr>
          <w:p w14:paraId="0A98E954" w14:textId="77777777" w:rsidR="005E1E0D" w:rsidRDefault="002265E2">
            <w:pPr>
              <w:spacing w:after="0" w:line="240" w:lineRule="auto"/>
            </w:pPr>
            <w:r>
              <w:rPr>
                <w:sz w:val="17"/>
              </w:rPr>
              <w:t>M2</w:t>
            </w:r>
          </w:p>
        </w:tc>
        <w:tc>
          <w:tcPr>
            <w:tcW w:w="1728" w:type="dxa"/>
            <w:tcMar>
              <w:top w:w="80" w:type="dxa"/>
              <w:left w:w="90" w:type="dxa"/>
              <w:bottom w:w="80" w:type="dxa"/>
              <w:right w:w="90" w:type="dxa"/>
            </w:tcMar>
            <w:vAlign w:val="center"/>
          </w:tcPr>
          <w:p w14:paraId="273BF536" w14:textId="77777777" w:rsidR="005E1E0D" w:rsidRDefault="002265E2">
            <w:pPr>
              <w:spacing w:after="0" w:line="240" w:lineRule="auto"/>
            </w:pPr>
            <w:r>
              <w:rPr>
                <w:sz w:val="17"/>
              </w:rPr>
              <w:t>Panel, n=213</w:t>
            </w:r>
          </w:p>
        </w:tc>
        <w:tc>
          <w:tcPr>
            <w:tcW w:w="4536" w:type="dxa"/>
            <w:tcMar>
              <w:top w:w="80" w:type="dxa"/>
              <w:left w:w="90" w:type="dxa"/>
              <w:bottom w:w="80" w:type="dxa"/>
              <w:right w:w="90" w:type="dxa"/>
            </w:tcMar>
            <w:vAlign w:val="center"/>
          </w:tcPr>
          <w:p w14:paraId="423AED36" w14:textId="77777777" w:rsidR="005E1E0D" w:rsidRDefault="002265E2">
            <w:pPr>
              <w:spacing w:after="0" w:line="240" w:lineRule="auto"/>
            </w:pPr>
            <w:r>
              <w:rPr>
                <w:sz w:val="17"/>
              </w:rPr>
              <w:t>M1 + poverty_pct</w:t>
            </w:r>
          </w:p>
        </w:tc>
        <w:tc>
          <w:tcPr>
            <w:tcW w:w="3024" w:type="dxa"/>
            <w:tcMar>
              <w:top w:w="80" w:type="dxa"/>
              <w:left w:w="90" w:type="dxa"/>
              <w:bottom w:w="80" w:type="dxa"/>
              <w:right w:w="90" w:type="dxa"/>
            </w:tcMar>
            <w:vAlign w:val="center"/>
          </w:tcPr>
          <w:p w14:paraId="69AB0D3A" w14:textId="77777777" w:rsidR="005E1E0D" w:rsidRDefault="002265E2">
            <w:pPr>
              <w:spacing w:after="0" w:line="240" w:lineRule="auto"/>
            </w:pPr>
            <w:r>
              <w:rPr>
                <w:sz w:val="17"/>
              </w:rPr>
              <w:t>Vertical equity</w:t>
            </w:r>
          </w:p>
        </w:tc>
      </w:tr>
      <w:tr w:rsidR="005E1E0D" w14:paraId="6ACEE362" w14:textId="77777777">
        <w:trPr>
          <w:cantSplit/>
          <w:jc w:val="center"/>
        </w:trPr>
        <w:tc>
          <w:tcPr>
            <w:tcW w:w="792" w:type="dxa"/>
            <w:tcMar>
              <w:top w:w="80" w:type="dxa"/>
              <w:left w:w="90" w:type="dxa"/>
              <w:bottom w:w="80" w:type="dxa"/>
              <w:right w:w="90" w:type="dxa"/>
            </w:tcMar>
            <w:vAlign w:val="center"/>
          </w:tcPr>
          <w:p w14:paraId="1A5071B2" w14:textId="77777777" w:rsidR="005E1E0D" w:rsidRDefault="002265E2">
            <w:pPr>
              <w:spacing w:after="0" w:line="240" w:lineRule="auto"/>
            </w:pPr>
            <w:r>
              <w:rPr>
                <w:sz w:val="17"/>
              </w:rPr>
              <w:t>M3</w:t>
            </w:r>
          </w:p>
        </w:tc>
        <w:tc>
          <w:tcPr>
            <w:tcW w:w="1728" w:type="dxa"/>
            <w:tcMar>
              <w:top w:w="80" w:type="dxa"/>
              <w:left w:w="90" w:type="dxa"/>
              <w:bottom w:w="80" w:type="dxa"/>
              <w:right w:w="90" w:type="dxa"/>
            </w:tcMar>
            <w:vAlign w:val="center"/>
          </w:tcPr>
          <w:p w14:paraId="1B266F64" w14:textId="77777777" w:rsidR="005E1E0D" w:rsidRDefault="002265E2">
            <w:pPr>
              <w:spacing w:after="0" w:line="240" w:lineRule="auto"/>
            </w:pPr>
            <w:r>
              <w:rPr>
                <w:sz w:val="17"/>
              </w:rPr>
              <w:t>Panel, n=213</w:t>
            </w:r>
          </w:p>
        </w:tc>
        <w:tc>
          <w:tcPr>
            <w:tcW w:w="4536" w:type="dxa"/>
            <w:tcMar>
              <w:top w:w="80" w:type="dxa"/>
              <w:left w:w="90" w:type="dxa"/>
              <w:bottom w:w="80" w:type="dxa"/>
              <w:right w:w="90" w:type="dxa"/>
            </w:tcMar>
            <w:vAlign w:val="center"/>
          </w:tcPr>
          <w:p w14:paraId="2C8C0BDF" w14:textId="77777777" w:rsidR="005E1E0D" w:rsidRDefault="002265E2">
            <w:pPr>
              <w:spacing w:after="0" w:line="240" w:lineRule="auto"/>
            </w:pPr>
            <w:r>
              <w:rPr>
                <w:sz w:val="17"/>
              </w:rPr>
              <w:t>M2 + need_index</w:t>
            </w:r>
          </w:p>
        </w:tc>
        <w:tc>
          <w:tcPr>
            <w:tcW w:w="3024" w:type="dxa"/>
            <w:tcMar>
              <w:top w:w="80" w:type="dxa"/>
              <w:left w:w="90" w:type="dxa"/>
              <w:bottom w:w="80" w:type="dxa"/>
              <w:right w:w="90" w:type="dxa"/>
            </w:tcMar>
            <w:vAlign w:val="center"/>
          </w:tcPr>
          <w:p w14:paraId="13B03ADD" w14:textId="77777777" w:rsidR="005E1E0D" w:rsidRDefault="002265E2">
            <w:pPr>
              <w:spacing w:after="0" w:line="240" w:lineRule="auto"/>
            </w:pPr>
            <w:r>
              <w:rPr>
                <w:sz w:val="17"/>
              </w:rPr>
              <w:t>Epidemiological need</w:t>
            </w:r>
          </w:p>
        </w:tc>
      </w:tr>
      <w:tr w:rsidR="005E1E0D" w14:paraId="18FF0635" w14:textId="77777777">
        <w:trPr>
          <w:cantSplit/>
          <w:jc w:val="center"/>
        </w:trPr>
        <w:tc>
          <w:tcPr>
            <w:tcW w:w="792" w:type="dxa"/>
            <w:tcMar>
              <w:top w:w="80" w:type="dxa"/>
              <w:left w:w="90" w:type="dxa"/>
              <w:bottom w:w="80" w:type="dxa"/>
              <w:right w:w="90" w:type="dxa"/>
            </w:tcMar>
            <w:vAlign w:val="center"/>
          </w:tcPr>
          <w:p w14:paraId="1DF62229" w14:textId="77777777" w:rsidR="005E1E0D" w:rsidRDefault="002265E2">
            <w:pPr>
              <w:spacing w:after="0" w:line="240" w:lineRule="auto"/>
            </w:pPr>
            <w:r>
              <w:rPr>
                <w:sz w:val="17"/>
              </w:rPr>
              <w:t>M4</w:t>
            </w:r>
          </w:p>
        </w:tc>
        <w:tc>
          <w:tcPr>
            <w:tcW w:w="1728" w:type="dxa"/>
            <w:tcMar>
              <w:top w:w="80" w:type="dxa"/>
              <w:left w:w="90" w:type="dxa"/>
              <w:bottom w:w="80" w:type="dxa"/>
              <w:right w:w="90" w:type="dxa"/>
            </w:tcMar>
            <w:vAlign w:val="center"/>
          </w:tcPr>
          <w:p w14:paraId="0689469B" w14:textId="77777777" w:rsidR="005E1E0D" w:rsidRDefault="002265E2">
            <w:pPr>
              <w:spacing w:after="0" w:line="240" w:lineRule="auto"/>
            </w:pPr>
            <w:r>
              <w:rPr>
                <w:sz w:val="17"/>
              </w:rPr>
              <w:t>Panel, n=213</w:t>
            </w:r>
          </w:p>
        </w:tc>
        <w:tc>
          <w:tcPr>
            <w:tcW w:w="4536" w:type="dxa"/>
            <w:tcMar>
              <w:top w:w="80" w:type="dxa"/>
              <w:left w:w="90" w:type="dxa"/>
              <w:bottom w:w="80" w:type="dxa"/>
              <w:right w:w="90" w:type="dxa"/>
            </w:tcMar>
            <w:vAlign w:val="center"/>
          </w:tcPr>
          <w:p w14:paraId="5B665544" w14:textId="77777777" w:rsidR="005E1E0D" w:rsidRDefault="002265E2">
            <w:pPr>
              <w:spacing w:after="0" w:line="240" w:lineRule="auto"/>
            </w:pPr>
            <w:r>
              <w:rPr>
                <w:sz w:val="17"/>
              </w:rPr>
              <w:t>M3 + ln_area + inhab_hc_10k</w:t>
            </w:r>
          </w:p>
        </w:tc>
        <w:tc>
          <w:tcPr>
            <w:tcW w:w="3024" w:type="dxa"/>
            <w:tcMar>
              <w:top w:w="80" w:type="dxa"/>
              <w:left w:w="90" w:type="dxa"/>
              <w:bottom w:w="80" w:type="dxa"/>
              <w:right w:w="90" w:type="dxa"/>
            </w:tcMar>
            <w:vAlign w:val="center"/>
          </w:tcPr>
          <w:p w14:paraId="7FE1EAF0" w14:textId="77777777" w:rsidR="005E1E0D" w:rsidRDefault="002265E2">
            <w:pPr>
              <w:spacing w:after="0" w:line="240" w:lineRule="auto"/>
            </w:pPr>
            <w:r>
              <w:rPr>
                <w:sz w:val="17"/>
              </w:rPr>
              <w:t>Geography and capacity pressure</w:t>
            </w:r>
          </w:p>
        </w:tc>
      </w:tr>
      <w:tr w:rsidR="005E1E0D" w14:paraId="1016A653" w14:textId="77777777">
        <w:trPr>
          <w:cantSplit/>
          <w:jc w:val="center"/>
        </w:trPr>
        <w:tc>
          <w:tcPr>
            <w:tcW w:w="792" w:type="dxa"/>
            <w:tcMar>
              <w:top w:w="80" w:type="dxa"/>
              <w:left w:w="90" w:type="dxa"/>
              <w:bottom w:w="80" w:type="dxa"/>
              <w:right w:w="90" w:type="dxa"/>
            </w:tcMar>
            <w:vAlign w:val="center"/>
          </w:tcPr>
          <w:p w14:paraId="0A9DCD0A" w14:textId="77777777" w:rsidR="005E1E0D" w:rsidRDefault="002265E2">
            <w:pPr>
              <w:spacing w:after="0" w:line="240" w:lineRule="auto"/>
            </w:pPr>
            <w:r>
              <w:rPr>
                <w:sz w:val="17"/>
              </w:rPr>
              <w:t>M5</w:t>
            </w:r>
          </w:p>
        </w:tc>
        <w:tc>
          <w:tcPr>
            <w:tcW w:w="1728" w:type="dxa"/>
            <w:tcMar>
              <w:top w:w="80" w:type="dxa"/>
              <w:left w:w="90" w:type="dxa"/>
              <w:bottom w:w="80" w:type="dxa"/>
              <w:right w:w="90" w:type="dxa"/>
            </w:tcMar>
            <w:vAlign w:val="center"/>
          </w:tcPr>
          <w:p w14:paraId="62CFAB6F" w14:textId="77777777" w:rsidR="005E1E0D" w:rsidRDefault="002265E2">
            <w:pPr>
              <w:spacing w:after="0" w:line="240" w:lineRule="auto"/>
            </w:pPr>
            <w:r>
              <w:rPr>
                <w:sz w:val="17"/>
              </w:rPr>
              <w:t>Panel, n=213</w:t>
            </w:r>
          </w:p>
        </w:tc>
        <w:tc>
          <w:tcPr>
            <w:tcW w:w="4536" w:type="dxa"/>
            <w:tcMar>
              <w:top w:w="80" w:type="dxa"/>
              <w:left w:w="90" w:type="dxa"/>
              <w:bottom w:w="80" w:type="dxa"/>
              <w:right w:w="90" w:type="dxa"/>
            </w:tcMar>
            <w:vAlign w:val="center"/>
          </w:tcPr>
          <w:p w14:paraId="53F0A102" w14:textId="77777777" w:rsidR="005E1E0D" w:rsidRDefault="002265E2">
            <w:pPr>
              <w:spacing w:after="0" w:line="240" w:lineRule="auto"/>
            </w:pPr>
            <w:r>
              <w:rPr>
                <w:sz w:val="17"/>
              </w:rPr>
              <w:t>M4 + facility_birth_pct</w:t>
            </w:r>
          </w:p>
        </w:tc>
        <w:tc>
          <w:tcPr>
            <w:tcW w:w="3024" w:type="dxa"/>
            <w:tcMar>
              <w:top w:w="80" w:type="dxa"/>
              <w:left w:w="90" w:type="dxa"/>
              <w:bottom w:w="80" w:type="dxa"/>
              <w:right w:w="90" w:type="dxa"/>
            </w:tcMar>
            <w:vAlign w:val="center"/>
          </w:tcPr>
          <w:p w14:paraId="515DA1D7" w14:textId="77777777" w:rsidR="005E1E0D" w:rsidRDefault="002265E2">
            <w:pPr>
              <w:spacing w:after="0" w:line="240" w:lineRule="auto"/>
            </w:pPr>
            <w:r>
              <w:rPr>
                <w:sz w:val="17"/>
              </w:rPr>
              <w:t>Extended needs and service model</w:t>
            </w:r>
          </w:p>
        </w:tc>
      </w:tr>
      <w:tr w:rsidR="005E1E0D" w14:paraId="2A558DEE" w14:textId="77777777">
        <w:trPr>
          <w:cantSplit/>
          <w:jc w:val="center"/>
        </w:trPr>
        <w:tc>
          <w:tcPr>
            <w:tcW w:w="792" w:type="dxa"/>
            <w:tcMar>
              <w:top w:w="80" w:type="dxa"/>
              <w:left w:w="90" w:type="dxa"/>
              <w:bottom w:w="80" w:type="dxa"/>
              <w:right w:w="90" w:type="dxa"/>
            </w:tcMar>
            <w:vAlign w:val="center"/>
          </w:tcPr>
          <w:p w14:paraId="4FF7833C" w14:textId="77777777" w:rsidR="005E1E0D" w:rsidRDefault="002265E2">
            <w:pPr>
              <w:spacing w:after="0" w:line="240" w:lineRule="auto"/>
            </w:pPr>
            <w:r>
              <w:rPr>
                <w:sz w:val="17"/>
              </w:rPr>
              <w:t>M6</w:t>
            </w:r>
          </w:p>
        </w:tc>
        <w:tc>
          <w:tcPr>
            <w:tcW w:w="1728" w:type="dxa"/>
            <w:tcMar>
              <w:top w:w="80" w:type="dxa"/>
              <w:left w:w="90" w:type="dxa"/>
              <w:bottom w:w="80" w:type="dxa"/>
              <w:right w:w="90" w:type="dxa"/>
            </w:tcMar>
            <w:vAlign w:val="center"/>
          </w:tcPr>
          <w:p w14:paraId="657280C4" w14:textId="77777777" w:rsidR="005E1E0D" w:rsidRDefault="002265E2">
            <w:pPr>
              <w:spacing w:after="0" w:line="240" w:lineRule="auto"/>
            </w:pPr>
            <w:r>
              <w:rPr>
                <w:sz w:val="17"/>
              </w:rPr>
              <w:t>2018, n=71</w:t>
            </w:r>
          </w:p>
        </w:tc>
        <w:tc>
          <w:tcPr>
            <w:tcW w:w="4536" w:type="dxa"/>
            <w:tcMar>
              <w:top w:w="80" w:type="dxa"/>
              <w:left w:w="90" w:type="dxa"/>
              <w:bottom w:w="80" w:type="dxa"/>
              <w:right w:w="90" w:type="dxa"/>
            </w:tcMar>
            <w:vAlign w:val="center"/>
          </w:tcPr>
          <w:p w14:paraId="74C2D596" w14:textId="77777777" w:rsidR="005E1E0D" w:rsidRDefault="002265E2">
            <w:pPr>
              <w:spacing w:after="0" w:line="240" w:lineRule="auto"/>
            </w:pPr>
            <w:r>
              <w:rPr>
                <w:sz w:val="17"/>
              </w:rPr>
              <w:t>ln_budget2016</w:t>
            </w:r>
          </w:p>
        </w:tc>
        <w:tc>
          <w:tcPr>
            <w:tcW w:w="3024" w:type="dxa"/>
            <w:tcMar>
              <w:top w:w="80" w:type="dxa"/>
              <w:left w:w="90" w:type="dxa"/>
              <w:bottom w:w="80" w:type="dxa"/>
              <w:right w:w="90" w:type="dxa"/>
            </w:tcMar>
            <w:vAlign w:val="center"/>
          </w:tcPr>
          <w:p w14:paraId="7188DB64" w14:textId="77777777" w:rsidR="005E1E0D" w:rsidRDefault="002265E2">
            <w:pPr>
              <w:spacing w:after="0" w:line="240" w:lineRule="auto"/>
            </w:pPr>
            <w:r>
              <w:rPr>
                <w:sz w:val="17"/>
              </w:rPr>
              <w:t>Unadjusted historical persistence</w:t>
            </w:r>
          </w:p>
        </w:tc>
      </w:tr>
      <w:tr w:rsidR="005E1E0D" w14:paraId="52DF3649" w14:textId="77777777">
        <w:trPr>
          <w:cantSplit/>
          <w:jc w:val="center"/>
        </w:trPr>
        <w:tc>
          <w:tcPr>
            <w:tcW w:w="792" w:type="dxa"/>
            <w:tcMar>
              <w:top w:w="80" w:type="dxa"/>
              <w:left w:w="90" w:type="dxa"/>
              <w:bottom w:w="80" w:type="dxa"/>
              <w:right w:w="90" w:type="dxa"/>
            </w:tcMar>
            <w:vAlign w:val="center"/>
          </w:tcPr>
          <w:p w14:paraId="2F32AE04" w14:textId="77777777" w:rsidR="005E1E0D" w:rsidRDefault="002265E2">
            <w:pPr>
              <w:spacing w:after="0" w:line="240" w:lineRule="auto"/>
            </w:pPr>
            <w:r>
              <w:rPr>
                <w:sz w:val="17"/>
              </w:rPr>
              <w:t>M7</w:t>
            </w:r>
          </w:p>
        </w:tc>
        <w:tc>
          <w:tcPr>
            <w:tcW w:w="1728" w:type="dxa"/>
            <w:tcMar>
              <w:top w:w="80" w:type="dxa"/>
              <w:left w:w="90" w:type="dxa"/>
              <w:bottom w:w="80" w:type="dxa"/>
              <w:right w:w="90" w:type="dxa"/>
            </w:tcMar>
            <w:vAlign w:val="center"/>
          </w:tcPr>
          <w:p w14:paraId="464A9F07" w14:textId="77777777" w:rsidR="005E1E0D" w:rsidRDefault="002265E2">
            <w:pPr>
              <w:spacing w:after="0" w:line="240" w:lineRule="auto"/>
            </w:pPr>
            <w:r>
              <w:rPr>
                <w:sz w:val="17"/>
              </w:rPr>
              <w:t>2018, n=71</w:t>
            </w:r>
          </w:p>
        </w:tc>
        <w:tc>
          <w:tcPr>
            <w:tcW w:w="4536" w:type="dxa"/>
            <w:tcMar>
              <w:top w:w="80" w:type="dxa"/>
              <w:left w:w="90" w:type="dxa"/>
              <w:bottom w:w="80" w:type="dxa"/>
              <w:right w:w="90" w:type="dxa"/>
            </w:tcMar>
            <w:vAlign w:val="center"/>
          </w:tcPr>
          <w:p w14:paraId="37C3A5A3" w14:textId="77777777" w:rsidR="005E1E0D" w:rsidRDefault="002265E2">
            <w:pPr>
              <w:spacing w:after="0" w:line="240" w:lineRule="auto"/>
            </w:pPr>
            <w:r>
              <w:rPr>
                <w:sz w:val="17"/>
              </w:rPr>
              <w:t>M6 + ln_population + poverty_pct + need_index + ln_area</w:t>
            </w:r>
          </w:p>
        </w:tc>
        <w:tc>
          <w:tcPr>
            <w:tcW w:w="3024" w:type="dxa"/>
            <w:tcMar>
              <w:top w:w="80" w:type="dxa"/>
              <w:left w:w="90" w:type="dxa"/>
              <w:bottom w:w="80" w:type="dxa"/>
              <w:right w:w="90" w:type="dxa"/>
            </w:tcMar>
            <w:vAlign w:val="center"/>
          </w:tcPr>
          <w:p w14:paraId="67B62CBD" w14:textId="77777777" w:rsidR="005E1E0D" w:rsidRDefault="002265E2">
            <w:pPr>
              <w:spacing w:after="0" w:line="240" w:lineRule="auto"/>
            </w:pPr>
            <w:r>
              <w:rPr>
                <w:sz w:val="17"/>
              </w:rPr>
              <w:t>Adjusted historical persistence</w:t>
            </w:r>
          </w:p>
        </w:tc>
      </w:tr>
    </w:tbl>
    <w:p w14:paraId="58327060" w14:textId="77777777" w:rsidR="005E1E0D" w:rsidRDefault="005E1E0D">
      <w:pPr>
        <w:spacing w:after="0"/>
      </w:pPr>
    </w:p>
    <w:p w14:paraId="220DF542" w14:textId="77777777" w:rsidR="005E1E0D" w:rsidRDefault="002265E2">
      <w:r>
        <w:t>The population-proportionality hypothesis tested whether the population elasticity equalled one. Models M6-M7 estimated the elasticity of the 2018 allocation with respect to the 2016 allocation. The specifications are associational and should not be interpreted as causal estimators. Analyses were performed in Stata/SE 13.1.</w:t>
      </w:r>
    </w:p>
    <w:p w14:paraId="0C86AB6A" w14:textId="77777777" w:rsidR="005E1E0D" w:rsidRDefault="002265E2">
      <w:pPr>
        <w:pStyle w:val="Titre1"/>
      </w:pPr>
      <w:r>
        <w:t>Prospective allocation framework</w:t>
      </w:r>
    </w:p>
    <w:p w14:paraId="256AAB18" w14:textId="77777777" w:rsidR="005E1E0D" w:rsidRDefault="002265E2">
      <w:r>
        <w:t>The regression analysis was diagnostic and was not applied mechanically as a prospective funding formula. The simulator instead implements a budget-constrained, needs-oriented allocation rule. For district i and year t, the needs share is q_it = 0.60 population + 0.15 poverty + 0.15 health need + 0.05 geography + 0.05 service supply. The historical share h_it is the previous allocation divided by the previous national total. The transition parameter lambda_t blends historical and needs-based shares, while theta represents a 20% equal minimum component.</w:t>
      </w:r>
    </w:p>
    <w:p w14:paraId="08328A4B" w14:textId="77777777" w:rsidR="00790EF8" w:rsidRDefault="009A7901">
      <w:pPr>
        <w:pStyle w:val="Lgende"/>
      </w:pPr>
      <w:r>
        <w:t>Supplementary Table S5. Default parameters of the prospective allocation framework</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152"/>
        <w:gridCol w:w="5328"/>
        <w:gridCol w:w="3600"/>
      </w:tblGrid>
      <w:tr w:rsidR="005E1E0D" w14:paraId="089C12A8" w14:textId="77777777">
        <w:trPr>
          <w:cantSplit/>
          <w:tblHeader/>
          <w:jc w:val="center"/>
        </w:trPr>
        <w:tc>
          <w:tcPr>
            <w:tcW w:w="1152" w:type="dxa"/>
            <w:tcMar>
              <w:top w:w="80" w:type="dxa"/>
              <w:left w:w="90" w:type="dxa"/>
              <w:bottom w:w="80" w:type="dxa"/>
              <w:right w:w="90" w:type="dxa"/>
            </w:tcMar>
            <w:vAlign w:val="center"/>
          </w:tcPr>
          <w:p w14:paraId="15F0192B" w14:textId="77777777" w:rsidR="005E1E0D" w:rsidRDefault="002265E2">
            <w:r>
              <w:rPr>
                <w:b/>
                <w:sz w:val="18"/>
              </w:rPr>
              <w:t>Parameter</w:t>
            </w:r>
          </w:p>
        </w:tc>
        <w:tc>
          <w:tcPr>
            <w:tcW w:w="5328" w:type="dxa"/>
            <w:tcMar>
              <w:top w:w="80" w:type="dxa"/>
              <w:left w:w="90" w:type="dxa"/>
              <w:bottom w:w="80" w:type="dxa"/>
              <w:right w:w="90" w:type="dxa"/>
            </w:tcMar>
            <w:vAlign w:val="center"/>
          </w:tcPr>
          <w:p w14:paraId="370249C2" w14:textId="77777777" w:rsidR="005E1E0D" w:rsidRDefault="002265E2">
            <w:r>
              <w:rPr>
                <w:b/>
                <w:sz w:val="18"/>
              </w:rPr>
              <w:t>Default specification</w:t>
            </w:r>
          </w:p>
        </w:tc>
        <w:tc>
          <w:tcPr>
            <w:tcW w:w="3600" w:type="dxa"/>
            <w:tcMar>
              <w:top w:w="80" w:type="dxa"/>
              <w:left w:w="90" w:type="dxa"/>
              <w:bottom w:w="80" w:type="dxa"/>
              <w:right w:w="90" w:type="dxa"/>
            </w:tcMar>
            <w:vAlign w:val="center"/>
          </w:tcPr>
          <w:p w14:paraId="6DD467B9" w14:textId="77777777" w:rsidR="005E1E0D" w:rsidRDefault="002265E2">
            <w:r>
              <w:rPr>
                <w:b/>
                <w:sz w:val="18"/>
              </w:rPr>
              <w:t>Interpretation</w:t>
            </w:r>
          </w:p>
        </w:tc>
      </w:tr>
      <w:tr w:rsidR="005E1E0D" w14:paraId="77C58572" w14:textId="77777777">
        <w:trPr>
          <w:cantSplit/>
          <w:jc w:val="center"/>
        </w:trPr>
        <w:tc>
          <w:tcPr>
            <w:tcW w:w="1152" w:type="dxa"/>
            <w:tcMar>
              <w:top w:w="80" w:type="dxa"/>
              <w:left w:w="90" w:type="dxa"/>
              <w:bottom w:w="80" w:type="dxa"/>
              <w:right w:w="90" w:type="dxa"/>
            </w:tcMar>
            <w:vAlign w:val="center"/>
          </w:tcPr>
          <w:p w14:paraId="6684609D" w14:textId="77777777" w:rsidR="005E1E0D" w:rsidRDefault="002265E2">
            <w:pPr>
              <w:spacing w:after="0" w:line="240" w:lineRule="auto"/>
            </w:pPr>
            <w:r>
              <w:rPr>
                <w:sz w:val="17"/>
              </w:rPr>
              <w:t>q_it</w:t>
            </w:r>
          </w:p>
        </w:tc>
        <w:tc>
          <w:tcPr>
            <w:tcW w:w="5328" w:type="dxa"/>
            <w:tcMar>
              <w:top w:w="80" w:type="dxa"/>
              <w:left w:w="90" w:type="dxa"/>
              <w:bottom w:w="80" w:type="dxa"/>
              <w:right w:w="90" w:type="dxa"/>
            </w:tcMar>
            <w:vAlign w:val="center"/>
          </w:tcPr>
          <w:p w14:paraId="7F7B5FF7" w14:textId="77777777" w:rsidR="005E1E0D" w:rsidRDefault="002265E2">
            <w:pPr>
              <w:spacing w:after="0" w:line="240" w:lineRule="auto"/>
            </w:pPr>
            <w:r>
              <w:rPr>
                <w:sz w:val="17"/>
              </w:rPr>
              <w:t>0.60 population + 0.15 poverty + 0.15 health need + 0.05 geography + 0.05 supply</w:t>
            </w:r>
          </w:p>
        </w:tc>
        <w:tc>
          <w:tcPr>
            <w:tcW w:w="3600" w:type="dxa"/>
            <w:tcMar>
              <w:top w:w="80" w:type="dxa"/>
              <w:left w:w="90" w:type="dxa"/>
              <w:bottom w:w="80" w:type="dxa"/>
              <w:right w:w="90" w:type="dxa"/>
            </w:tcMar>
            <w:vAlign w:val="center"/>
          </w:tcPr>
          <w:p w14:paraId="3B1D8D61" w14:textId="77777777" w:rsidR="005E1E0D" w:rsidRDefault="002265E2">
            <w:pPr>
              <w:spacing w:after="0" w:line="240" w:lineRule="auto"/>
            </w:pPr>
            <w:r>
              <w:rPr>
                <w:sz w:val="17"/>
              </w:rPr>
              <w:t>Composite needs-based share</w:t>
            </w:r>
          </w:p>
        </w:tc>
      </w:tr>
      <w:tr w:rsidR="005E1E0D" w14:paraId="05399577" w14:textId="77777777">
        <w:trPr>
          <w:cantSplit/>
          <w:jc w:val="center"/>
        </w:trPr>
        <w:tc>
          <w:tcPr>
            <w:tcW w:w="1152" w:type="dxa"/>
            <w:tcMar>
              <w:top w:w="80" w:type="dxa"/>
              <w:left w:w="90" w:type="dxa"/>
              <w:bottom w:w="80" w:type="dxa"/>
              <w:right w:w="90" w:type="dxa"/>
            </w:tcMar>
            <w:vAlign w:val="center"/>
          </w:tcPr>
          <w:p w14:paraId="6F9D63FE" w14:textId="77777777" w:rsidR="005E1E0D" w:rsidRDefault="002265E2">
            <w:pPr>
              <w:spacing w:after="0" w:line="240" w:lineRule="auto"/>
            </w:pPr>
            <w:r>
              <w:rPr>
                <w:sz w:val="17"/>
              </w:rPr>
              <w:t>h_it</w:t>
            </w:r>
          </w:p>
        </w:tc>
        <w:tc>
          <w:tcPr>
            <w:tcW w:w="5328" w:type="dxa"/>
            <w:tcMar>
              <w:top w:w="80" w:type="dxa"/>
              <w:left w:w="90" w:type="dxa"/>
              <w:bottom w:w="80" w:type="dxa"/>
              <w:right w:w="90" w:type="dxa"/>
            </w:tcMar>
            <w:vAlign w:val="center"/>
          </w:tcPr>
          <w:p w14:paraId="0411F19A" w14:textId="77777777" w:rsidR="005E1E0D" w:rsidRDefault="002265E2">
            <w:pPr>
              <w:spacing w:after="0" w:line="240" w:lineRule="auto"/>
            </w:pPr>
            <w:r>
              <w:rPr>
                <w:sz w:val="17"/>
              </w:rPr>
              <w:t>Allocation in t-1 / total allocation in t-1</w:t>
            </w:r>
          </w:p>
        </w:tc>
        <w:tc>
          <w:tcPr>
            <w:tcW w:w="3600" w:type="dxa"/>
            <w:tcMar>
              <w:top w:w="80" w:type="dxa"/>
              <w:left w:w="90" w:type="dxa"/>
              <w:bottom w:w="80" w:type="dxa"/>
              <w:right w:w="90" w:type="dxa"/>
            </w:tcMar>
            <w:vAlign w:val="center"/>
          </w:tcPr>
          <w:p w14:paraId="3F6E4AD5" w14:textId="77777777" w:rsidR="005E1E0D" w:rsidRDefault="002265E2">
            <w:pPr>
              <w:spacing w:after="0" w:line="240" w:lineRule="auto"/>
            </w:pPr>
            <w:r>
              <w:rPr>
                <w:sz w:val="17"/>
              </w:rPr>
              <w:t>Historical share</w:t>
            </w:r>
          </w:p>
        </w:tc>
      </w:tr>
      <w:tr w:rsidR="005E1E0D" w14:paraId="36C5F8F7" w14:textId="77777777">
        <w:trPr>
          <w:cantSplit/>
          <w:jc w:val="center"/>
        </w:trPr>
        <w:tc>
          <w:tcPr>
            <w:tcW w:w="1152" w:type="dxa"/>
            <w:tcMar>
              <w:top w:w="80" w:type="dxa"/>
              <w:left w:w="90" w:type="dxa"/>
              <w:bottom w:w="80" w:type="dxa"/>
              <w:right w:w="90" w:type="dxa"/>
            </w:tcMar>
            <w:vAlign w:val="center"/>
          </w:tcPr>
          <w:p w14:paraId="0D279FAB" w14:textId="77777777" w:rsidR="005E1E0D" w:rsidRDefault="002265E2">
            <w:pPr>
              <w:spacing w:after="0" w:line="240" w:lineRule="auto"/>
            </w:pPr>
            <w:r>
              <w:rPr>
                <w:sz w:val="17"/>
              </w:rPr>
              <w:t>lambda_t</w:t>
            </w:r>
          </w:p>
        </w:tc>
        <w:tc>
          <w:tcPr>
            <w:tcW w:w="5328" w:type="dxa"/>
            <w:tcMar>
              <w:top w:w="80" w:type="dxa"/>
              <w:left w:w="90" w:type="dxa"/>
              <w:bottom w:w="80" w:type="dxa"/>
              <w:right w:w="90" w:type="dxa"/>
            </w:tcMar>
            <w:vAlign w:val="center"/>
          </w:tcPr>
          <w:p w14:paraId="442527C1" w14:textId="77777777" w:rsidR="005E1E0D" w:rsidRDefault="002265E2">
            <w:pPr>
              <w:spacing w:after="0" w:line="240" w:lineRule="auto"/>
            </w:pPr>
            <w:r>
              <w:rPr>
                <w:sz w:val="17"/>
              </w:rPr>
              <w:t>0 before 2026; 0.50 in 2026; 0.75 in 2027; 1.00 from 2028</w:t>
            </w:r>
          </w:p>
        </w:tc>
        <w:tc>
          <w:tcPr>
            <w:tcW w:w="3600" w:type="dxa"/>
            <w:tcMar>
              <w:top w:w="80" w:type="dxa"/>
              <w:left w:w="90" w:type="dxa"/>
              <w:bottom w:w="80" w:type="dxa"/>
              <w:right w:w="90" w:type="dxa"/>
            </w:tcMar>
            <w:vAlign w:val="center"/>
          </w:tcPr>
          <w:p w14:paraId="6072FFA3" w14:textId="77777777" w:rsidR="005E1E0D" w:rsidRDefault="002265E2">
            <w:pPr>
              <w:spacing w:after="0" w:line="240" w:lineRule="auto"/>
            </w:pPr>
            <w:r>
              <w:rPr>
                <w:sz w:val="17"/>
              </w:rPr>
              <w:t>Phased convergence toward needs</w:t>
            </w:r>
          </w:p>
        </w:tc>
      </w:tr>
      <w:tr w:rsidR="005E1E0D" w14:paraId="38DB708F" w14:textId="77777777">
        <w:trPr>
          <w:cantSplit/>
          <w:jc w:val="center"/>
        </w:trPr>
        <w:tc>
          <w:tcPr>
            <w:tcW w:w="1152" w:type="dxa"/>
            <w:tcMar>
              <w:top w:w="80" w:type="dxa"/>
              <w:left w:w="90" w:type="dxa"/>
              <w:bottom w:w="80" w:type="dxa"/>
              <w:right w:w="90" w:type="dxa"/>
            </w:tcMar>
            <w:vAlign w:val="center"/>
          </w:tcPr>
          <w:p w14:paraId="63ECF305" w14:textId="77777777" w:rsidR="005E1E0D" w:rsidRDefault="002265E2">
            <w:pPr>
              <w:spacing w:after="0" w:line="240" w:lineRule="auto"/>
            </w:pPr>
            <w:r>
              <w:rPr>
                <w:sz w:val="17"/>
              </w:rPr>
              <w:t>theta</w:t>
            </w:r>
          </w:p>
        </w:tc>
        <w:tc>
          <w:tcPr>
            <w:tcW w:w="5328" w:type="dxa"/>
            <w:tcMar>
              <w:top w:w="80" w:type="dxa"/>
              <w:left w:w="90" w:type="dxa"/>
              <w:bottom w:w="80" w:type="dxa"/>
              <w:right w:w="90" w:type="dxa"/>
            </w:tcMar>
            <w:vAlign w:val="center"/>
          </w:tcPr>
          <w:p w14:paraId="1433F81C" w14:textId="77777777" w:rsidR="005E1E0D" w:rsidRDefault="002265E2">
            <w:pPr>
              <w:spacing w:after="0" w:line="240" w:lineRule="auto"/>
            </w:pPr>
            <w:r>
              <w:rPr>
                <w:sz w:val="17"/>
              </w:rPr>
              <w:t>0.20</w:t>
            </w:r>
          </w:p>
        </w:tc>
        <w:tc>
          <w:tcPr>
            <w:tcW w:w="3600" w:type="dxa"/>
            <w:tcMar>
              <w:top w:w="80" w:type="dxa"/>
              <w:left w:w="90" w:type="dxa"/>
              <w:bottom w:w="80" w:type="dxa"/>
              <w:right w:w="90" w:type="dxa"/>
            </w:tcMar>
            <w:vAlign w:val="center"/>
          </w:tcPr>
          <w:p w14:paraId="28C2163A" w14:textId="77777777" w:rsidR="005E1E0D" w:rsidRDefault="002265E2">
            <w:pPr>
              <w:spacing w:after="0" w:line="240" w:lineRule="auto"/>
            </w:pPr>
            <w:r>
              <w:rPr>
                <w:sz w:val="17"/>
              </w:rPr>
              <w:t>Equal minimum operating component</w:t>
            </w:r>
          </w:p>
        </w:tc>
      </w:tr>
      <w:tr w:rsidR="005E1E0D" w14:paraId="5F1368FF" w14:textId="77777777">
        <w:trPr>
          <w:cantSplit/>
          <w:jc w:val="center"/>
        </w:trPr>
        <w:tc>
          <w:tcPr>
            <w:tcW w:w="1152" w:type="dxa"/>
            <w:tcMar>
              <w:top w:w="80" w:type="dxa"/>
              <w:left w:w="90" w:type="dxa"/>
              <w:bottom w:w="80" w:type="dxa"/>
              <w:right w:w="90" w:type="dxa"/>
            </w:tcMar>
            <w:vAlign w:val="center"/>
          </w:tcPr>
          <w:p w14:paraId="5579EE59" w14:textId="77777777" w:rsidR="005E1E0D" w:rsidRDefault="002265E2">
            <w:pPr>
              <w:spacing w:after="0" w:line="240" w:lineRule="auto"/>
            </w:pPr>
            <w:r>
              <w:rPr>
                <w:sz w:val="17"/>
              </w:rPr>
              <w:t>E_t</w:t>
            </w:r>
          </w:p>
        </w:tc>
        <w:tc>
          <w:tcPr>
            <w:tcW w:w="5328" w:type="dxa"/>
            <w:tcMar>
              <w:top w:w="80" w:type="dxa"/>
              <w:left w:w="90" w:type="dxa"/>
              <w:bottom w:w="80" w:type="dxa"/>
              <w:right w:w="90" w:type="dxa"/>
            </w:tcMar>
            <w:vAlign w:val="center"/>
          </w:tcPr>
          <w:p w14:paraId="41B9A25A" w14:textId="77777777" w:rsidR="005E1E0D" w:rsidRDefault="002265E2">
            <w:pPr>
              <w:spacing w:after="0" w:line="240" w:lineRule="auto"/>
            </w:pPr>
            <w:r>
              <w:rPr>
                <w:sz w:val="17"/>
              </w:rPr>
              <w:t>Approved or scenario national envelope</w:t>
            </w:r>
          </w:p>
        </w:tc>
        <w:tc>
          <w:tcPr>
            <w:tcW w:w="3600" w:type="dxa"/>
            <w:tcMar>
              <w:top w:w="80" w:type="dxa"/>
              <w:left w:w="90" w:type="dxa"/>
              <w:bottom w:w="80" w:type="dxa"/>
              <w:right w:w="90" w:type="dxa"/>
            </w:tcMar>
            <w:vAlign w:val="center"/>
          </w:tcPr>
          <w:p w14:paraId="09961E41" w14:textId="77777777" w:rsidR="005E1E0D" w:rsidRDefault="002265E2">
            <w:pPr>
              <w:spacing w:after="0" w:line="240" w:lineRule="auto"/>
            </w:pPr>
            <w:r>
              <w:rPr>
                <w:sz w:val="17"/>
              </w:rPr>
              <w:t>Budget-neutral total available for allocation</w:t>
            </w:r>
          </w:p>
        </w:tc>
      </w:tr>
    </w:tbl>
    <w:p w14:paraId="06AFE01F" w14:textId="77777777" w:rsidR="005E1E0D" w:rsidRDefault="005E1E0D">
      <w:pPr>
        <w:spacing w:after="0"/>
      </w:pPr>
    </w:p>
    <w:p w14:paraId="2435C4CE" w14:textId="77777777" w:rsidR="005E1E0D" w:rsidRDefault="002265E2">
      <w:r>
        <w:t>All non-population indicators should be oriented in the same direction, transformed using prespecified rules, checked for outliers and missingness, and normalized before use. Scenario assumptions are planning parameters, not forecasts. Weights, safeguards and annual envelopes require governance validation before operational adoption.</w:t>
      </w:r>
    </w:p>
    <w:p w14:paraId="3DCBC783" w14:textId="77777777" w:rsidR="00790EF8" w:rsidRDefault="009A7901">
      <w:pPr>
        <w:pStyle w:val="Titre2"/>
      </w:pPr>
      <w:r>
        <w:t>Detailed prospective allocation model</w:t>
      </w:r>
    </w:p>
    <w:p w14:paraId="4DB1BAAA" w14:textId="77777777" w:rsidR="009A7901" w:rsidRDefault="009A7901">
      <w:pPr>
        <w:pStyle w:val="Titre3"/>
      </w:pPr>
      <w:r>
        <w:rPr>
          <w:rFonts w:ascii="Arial" w:eastAsia="Arial" w:hAnsi="Arial" w:cs="Arial"/>
        </w:rPr>
        <w:t>Purpose and design principles</w:t>
      </w:r>
    </w:p>
    <w:p w14:paraId="3652EFF0" w14:textId="77777777" w:rsidR="009A7901" w:rsidRDefault="009A7901">
      <w:r>
        <w:rPr>
          <w:rFonts w:eastAsia="Arial" w:cs="Arial"/>
        </w:rPr>
        <w:t xml:space="preserve">The regression models above are diagnostic: they quantify how allocations were associated with observed characteristics and historical budgets, but they should not be used mechanically as a prospective funding formula. Applying the estimated negative poverty coefficient or the weak population elasticity would reproduce features of the historical allocation process rather than correct them. Consistent with international approaches to geographic resource allocation, the proposed framework translates explicit </w:t>
      </w:r>
      <w:r>
        <w:rPr>
          <w:rFonts w:eastAsia="Arial" w:cs="Arial"/>
        </w:rPr>
        <w:t>policy objectives into transparent weights for population, deprivation, health need, unavoidable delivery costs and service-capacity gaps [4–6,18–20]. The framework is prospective, budget neutral, reproducible and designed for phased implementation; its weights are policy parameters to be validated, not regression coefficients.</w:t>
      </w:r>
    </w:p>
    <w:p w14:paraId="26CB9E69" w14:textId="77777777" w:rsidR="009A7901" w:rsidRDefault="009A7901">
      <w:pPr>
        <w:pStyle w:val="Titre3"/>
      </w:pPr>
      <w:r>
        <w:rPr>
          <w:rFonts w:ascii="Arial" w:eastAsia="Arial" w:hAnsi="Arial" w:cs="Arial"/>
        </w:rPr>
        <w:t>Budget-constrained allocation rule</w:t>
      </w:r>
    </w:p>
    <w:p w14:paraId="6C88DBE9" w14:textId="77777777" w:rsidR="009A7901" w:rsidRDefault="009A7901">
      <w:r>
        <w:rPr>
          <w:rFonts w:eastAsia="Arial" w:cs="Arial"/>
        </w:rPr>
        <w:t>Let Eₜ denote the total district envelope available in year t, N the number of eligible districts and θ the proportion reserved for an equal minimum operating allocation. The target allocation for district i is:</w:t>
      </w:r>
    </w:p>
    <w:p w14:paraId="59697B92" w14:textId="77777777" w:rsidR="009A7901" w:rsidRDefault="009A7901">
      <w:pPr>
        <w:jc w:val="center"/>
      </w:pPr>
      <w:r>
        <w:rPr>
          <w:rFonts w:eastAsia="Arial" w:cs="Arial"/>
        </w:rPr>
        <w:t>B*</w:t>
      </w:r>
      <w:r>
        <w:rPr>
          <w:rFonts w:eastAsia="Arial" w:cs="Arial"/>
        </w:rPr>
        <w:t>ᵢ</w:t>
      </w:r>
      <w:r>
        <w:rPr>
          <w:rFonts w:eastAsia="Arial" w:cs="Arial"/>
        </w:rPr>
        <w:t>ₜ</w:t>
      </w:r>
      <w:r>
        <w:rPr>
          <w:rFonts w:eastAsia="Arial" w:cs="Arial"/>
        </w:rPr>
        <w:t xml:space="preserve"> = θ(Eₜ/N) + (1 − θ)Eₜq</w:t>
      </w:r>
      <w:r>
        <w:rPr>
          <w:rFonts w:eastAsia="Arial" w:cs="Arial"/>
        </w:rPr>
        <w:t>ᵢ</w:t>
      </w:r>
    </w:p>
    <w:p w14:paraId="3EB668AE" w14:textId="77777777" w:rsidR="009A7901" w:rsidRDefault="009A7901">
      <w:r>
        <w:rPr>
          <w:rFonts w:eastAsia="Arial" w:cs="Arial"/>
        </w:rPr>
        <w:lastRenderedPageBreak/>
        <w:t>where B*</w:t>
      </w:r>
      <w:r>
        <w:rPr>
          <w:rFonts w:eastAsia="Arial" w:cs="Arial"/>
        </w:rPr>
        <w:t>ᵢ</w:t>
      </w:r>
      <w:r>
        <w:rPr>
          <w:rFonts w:eastAsia="Arial" w:cs="Arial"/>
        </w:rPr>
        <w:t>ₜ</w:t>
      </w:r>
      <w:r>
        <w:rPr>
          <w:rFonts w:eastAsia="Arial" w:cs="Arial"/>
        </w:rPr>
        <w:t xml:space="preserve"> is the needs-based target allocation and q</w:t>
      </w:r>
      <w:r>
        <w:rPr>
          <w:rFonts w:eastAsia="Arial" w:cs="Arial"/>
        </w:rPr>
        <w:t>ᵢ</w:t>
      </w:r>
      <w:r>
        <w:rPr>
          <w:rFonts w:eastAsia="Arial" w:cs="Arial"/>
        </w:rPr>
        <w:t xml:space="preserve"> is district i’s share of the weighted need-and-cost pool, with Σ</w:t>
      </w:r>
      <w:r>
        <w:rPr>
          <w:rFonts w:eastAsia="Arial" w:cs="Arial"/>
        </w:rPr>
        <w:t>ᵢ</w:t>
      </w:r>
      <w:r>
        <w:rPr>
          <w:rFonts w:eastAsia="Arial" w:cs="Arial"/>
        </w:rPr>
        <w:t>q</w:t>
      </w:r>
      <w:r>
        <w:rPr>
          <w:rFonts w:eastAsia="Arial" w:cs="Arial"/>
        </w:rPr>
        <w:t>ᵢ</w:t>
      </w:r>
      <w:r>
        <w:rPr>
          <w:rFonts w:eastAsia="Arial" w:cs="Arial"/>
        </w:rPr>
        <w:t xml:space="preserve"> = 1. The first term guarantees a common operating floor; the second allocates the remainder according to relative need and unavoidable cost. An initial θ in the range 0.15–0.20 would reserve 15%–20% of the envelope for fixed district functions—including administration, planning, supervision, communication, routine data monitoring and essential coordination—and distribute 80%–85% through the wei</w:t>
      </w:r>
      <w:r>
        <w:rPr>
          <w:rFonts w:eastAsia="Arial" w:cs="Arial"/>
        </w:rPr>
        <w:t>ghted formula. The value of θ should be costed against a defined minimum service package before adoption.</w:t>
      </w:r>
    </w:p>
    <w:p w14:paraId="76DAB07A" w14:textId="77777777" w:rsidR="009A7901" w:rsidRDefault="009A7901">
      <w:pPr>
        <w:pStyle w:val="Titre3"/>
      </w:pPr>
      <w:r>
        <w:rPr>
          <w:rFonts w:ascii="Arial" w:eastAsia="Arial" w:hAnsi="Arial" w:cs="Arial"/>
        </w:rPr>
        <w:t>Composite allocation share</w:t>
      </w:r>
    </w:p>
    <w:p w14:paraId="3EB12D49" w14:textId="77777777" w:rsidR="009A7901" w:rsidRDefault="009A7901">
      <w:r>
        <w:rPr>
          <w:rFonts w:eastAsia="Arial" w:cs="Arial"/>
        </w:rPr>
        <w:t>An illustrative starting specification is:</w:t>
      </w:r>
    </w:p>
    <w:p w14:paraId="2E2311D4" w14:textId="77777777" w:rsidR="009A7901" w:rsidRDefault="009A7901">
      <w:pPr>
        <w:jc w:val="center"/>
      </w:pPr>
      <w:r>
        <w:rPr>
          <w:rFonts w:eastAsia="Arial" w:cs="Arial"/>
        </w:rPr>
        <w:t>q</w:t>
      </w:r>
      <w:r>
        <w:rPr>
          <w:rFonts w:eastAsia="Arial" w:cs="Arial"/>
        </w:rPr>
        <w:t>ᵢ</w:t>
      </w:r>
      <w:r>
        <w:rPr>
          <w:rFonts w:eastAsia="Arial" w:cs="Arial"/>
        </w:rPr>
        <w:t xml:space="preserve"> = 0.60p</w:t>
      </w:r>
      <w:r>
        <w:rPr>
          <w:rFonts w:eastAsia="Arial" w:cs="Arial"/>
        </w:rPr>
        <w:t>ᵢ</w:t>
      </w:r>
      <w:r>
        <w:rPr>
          <w:rFonts w:eastAsia="Arial" w:cs="Arial"/>
        </w:rPr>
        <w:t xml:space="preserve"> + 0.15d</w:t>
      </w:r>
      <w:r>
        <w:rPr>
          <w:rFonts w:eastAsia="Arial" w:cs="Arial"/>
        </w:rPr>
        <w:t>ᵢ</w:t>
      </w:r>
      <w:r>
        <w:rPr>
          <w:rFonts w:eastAsia="Arial" w:cs="Arial"/>
        </w:rPr>
        <w:t xml:space="preserve"> + 0.15n</w:t>
      </w:r>
      <w:r>
        <w:rPr>
          <w:rFonts w:eastAsia="Arial" w:cs="Arial"/>
        </w:rPr>
        <w:t>ᵢ</w:t>
      </w:r>
      <w:r>
        <w:rPr>
          <w:rFonts w:eastAsia="Arial" w:cs="Arial"/>
        </w:rPr>
        <w:t xml:space="preserve"> + 0.05g</w:t>
      </w:r>
      <w:r>
        <w:rPr>
          <w:rFonts w:eastAsia="Arial" w:cs="Arial"/>
        </w:rPr>
        <w:t>ᵢ</w:t>
      </w:r>
      <w:r>
        <w:rPr>
          <w:rFonts w:eastAsia="Arial" w:cs="Arial"/>
        </w:rPr>
        <w:t xml:space="preserve"> + 0.05s</w:t>
      </w:r>
      <w:r>
        <w:rPr>
          <w:rFonts w:eastAsia="Arial" w:cs="Arial"/>
        </w:rPr>
        <w:t>ᵢ</w:t>
      </w:r>
    </w:p>
    <w:p w14:paraId="126FB05C" w14:textId="77777777" w:rsidR="009A7901" w:rsidRDefault="009A7901">
      <w:r>
        <w:rPr>
          <w:rFonts w:eastAsia="Arial" w:cs="Arial"/>
        </w:rPr>
        <w:t>The component shares p</w:t>
      </w:r>
      <w:r>
        <w:rPr>
          <w:rFonts w:eastAsia="Arial" w:cs="Arial"/>
        </w:rPr>
        <w:t>ᵢ</w:t>
      </w:r>
      <w:r>
        <w:rPr>
          <w:rFonts w:eastAsia="Arial" w:cs="Arial"/>
        </w:rPr>
        <w:t>, d</w:t>
      </w:r>
      <w:r>
        <w:rPr>
          <w:rFonts w:eastAsia="Arial" w:cs="Arial"/>
        </w:rPr>
        <w:t>ᵢ</w:t>
      </w:r>
      <w:r>
        <w:rPr>
          <w:rFonts w:eastAsia="Arial" w:cs="Arial"/>
        </w:rPr>
        <w:t>, n</w:t>
      </w:r>
      <w:r>
        <w:rPr>
          <w:rFonts w:eastAsia="Arial" w:cs="Arial"/>
        </w:rPr>
        <w:t>ᵢ</w:t>
      </w:r>
      <w:r>
        <w:rPr>
          <w:rFonts w:eastAsia="Arial" w:cs="Arial"/>
        </w:rPr>
        <w:t>, g</w:t>
      </w:r>
      <w:r>
        <w:rPr>
          <w:rFonts w:eastAsia="Arial" w:cs="Arial"/>
        </w:rPr>
        <w:t>ᵢ</w:t>
      </w:r>
      <w:r>
        <w:rPr>
          <w:rFonts w:eastAsia="Arial" w:cs="Arial"/>
        </w:rPr>
        <w:t xml:space="preserve"> and s</w:t>
      </w:r>
      <w:r>
        <w:rPr>
          <w:rFonts w:eastAsia="Arial" w:cs="Arial"/>
        </w:rPr>
        <w:t>ᵢ</w:t>
      </w:r>
      <w:r>
        <w:rPr>
          <w:rFonts w:eastAsia="Arial" w:cs="Arial"/>
        </w:rPr>
        <w:t xml:space="preserve"> are non-negative and each sums to one across districts. Population receives the largest weight because it represents the main volume of services to be provided. </w:t>
      </w:r>
      <w:r>
        <w:rPr>
          <w:rFonts w:eastAsia="Arial" w:cs="Arial"/>
        </w:rPr>
        <w:t>Deprivation and health need provide vertical-equity adjustments, while geography and service gaps compensate for higher delivery costs and insufficient capacity. The 60/15/15/5/5 weights are starting values for simulation and consultation; they do not represent estimates from Models M1–M7.</w:t>
      </w:r>
    </w:p>
    <w:p w14:paraId="61CD71B1" w14:textId="77777777" w:rsidR="009A7901" w:rsidRDefault="009A7901">
      <w:pPr>
        <w:pStyle w:val="Titre3"/>
      </w:pPr>
      <w:r>
        <w:rPr>
          <w:rFonts w:ascii="Arial" w:eastAsia="Arial" w:hAnsi="Arial" w:cs="Arial"/>
        </w:rPr>
        <w:t>Construction and normalization of components</w:t>
      </w:r>
    </w:p>
    <w:p w14:paraId="218F7CF4" w14:textId="77777777" w:rsidR="009A7901" w:rsidRDefault="009A7901">
      <w:r>
        <w:rPr>
          <w:rFonts w:eastAsia="Arial" w:cs="Arial"/>
          <w:b/>
        </w:rPr>
        <w:t>Population share.</w:t>
      </w:r>
    </w:p>
    <w:p w14:paraId="18B95477" w14:textId="77777777" w:rsidR="009A7901" w:rsidRDefault="009A7901">
      <w:pPr>
        <w:jc w:val="center"/>
      </w:pPr>
      <w:r>
        <w:rPr>
          <w:rFonts w:eastAsia="Arial" w:cs="Arial"/>
        </w:rPr>
        <w:t>p</w:t>
      </w:r>
      <w:r>
        <w:rPr>
          <w:rFonts w:eastAsia="Arial" w:cs="Arial"/>
        </w:rPr>
        <w:t>ᵢ</w:t>
      </w:r>
      <w:r>
        <w:rPr>
          <w:rFonts w:eastAsia="Arial" w:cs="Arial"/>
        </w:rPr>
        <w:t xml:space="preserve"> = Population</w:t>
      </w:r>
      <w:r>
        <w:rPr>
          <w:rFonts w:eastAsia="Arial" w:cs="Arial"/>
        </w:rPr>
        <w:t>ᵢ</w:t>
      </w:r>
      <w:r>
        <w:rPr>
          <w:rFonts w:eastAsia="Arial" w:cs="Arial"/>
        </w:rPr>
        <w:t xml:space="preserve"> / ΣⱼPopulationⱼ</w:t>
      </w:r>
    </w:p>
    <w:p w14:paraId="18EA1912" w14:textId="77777777" w:rsidR="009A7901" w:rsidRDefault="009A7901">
      <w:r>
        <w:rPr>
          <w:rFonts w:eastAsia="Arial" w:cs="Arial"/>
        </w:rPr>
        <w:t>The population denominator should use the most reliable official district estimates, updated on a published schedule and reconciled with administrative boundary changes.</w:t>
      </w:r>
    </w:p>
    <w:p w14:paraId="67D09816" w14:textId="77777777" w:rsidR="009A7901" w:rsidRDefault="009A7901">
      <w:r>
        <w:rPr>
          <w:rFonts w:eastAsia="Arial" w:cs="Arial"/>
          <w:b/>
        </w:rPr>
        <w:t>Deprivation share.</w:t>
      </w:r>
    </w:p>
    <w:p w14:paraId="486767F2" w14:textId="77777777" w:rsidR="009A7901" w:rsidRDefault="009A7901">
      <w:r>
        <w:rPr>
          <w:rFonts w:eastAsia="Arial" w:cs="Arial"/>
        </w:rPr>
        <w:t>For a deprivation indicator D</w:t>
      </w:r>
      <w:r>
        <w:rPr>
          <w:rFonts w:eastAsia="Arial" w:cs="Arial"/>
        </w:rPr>
        <w:t>ᵢ</w:t>
      </w:r>
      <w:r>
        <w:rPr>
          <w:rFonts w:eastAsia="Arial" w:cs="Arial"/>
        </w:rPr>
        <w:t xml:space="preserve"> in which higher values denote greater deprivation, first calculate r</w:t>
      </w:r>
      <w:r>
        <w:rPr>
          <w:rFonts w:eastAsia="Arial" w:cs="Arial"/>
        </w:rPr>
        <w:t>ᴰᵢ</w:t>
      </w:r>
      <w:r>
        <w:rPr>
          <w:rFonts w:eastAsia="Arial" w:cs="Arial"/>
        </w:rPr>
        <w:t xml:space="preserve"> = (D</w:t>
      </w:r>
      <w:r>
        <w:rPr>
          <w:rFonts w:eastAsia="Arial" w:cs="Arial"/>
        </w:rPr>
        <w:t>ᵢ</w:t>
      </w:r>
      <w:r>
        <w:rPr>
          <w:rFonts w:eastAsia="Arial" w:cs="Arial"/>
        </w:rPr>
        <w:t xml:space="preserve"> − Dmin)/(Dmax − Dmin), then set d</w:t>
      </w:r>
      <w:r>
        <w:rPr>
          <w:rFonts w:eastAsia="Arial" w:cs="Arial"/>
        </w:rPr>
        <w:t>ᵢ</w:t>
      </w:r>
      <w:r>
        <w:rPr>
          <w:rFonts w:eastAsia="Arial" w:cs="Arial"/>
        </w:rPr>
        <w:t xml:space="preserve"> = r</w:t>
      </w:r>
      <w:r>
        <w:rPr>
          <w:rFonts w:eastAsia="Arial" w:cs="Arial"/>
        </w:rPr>
        <w:t>ᴰᵢ</w:t>
      </w:r>
      <w:r>
        <w:rPr>
          <w:rFonts w:eastAsia="Arial" w:cs="Arial"/>
        </w:rPr>
        <w:t>/Σⱼr</w:t>
      </w:r>
      <w:r>
        <w:rPr>
          <w:rFonts w:eastAsia="Arial" w:cs="Arial"/>
        </w:rPr>
        <w:t>ᴰⱼ</w:t>
      </w:r>
      <w:r>
        <w:rPr>
          <w:rFonts w:eastAsia="Arial" w:cs="Arial"/>
        </w:rPr>
        <w:t>. Monetary poverty may be used initially, but a validated multidimensional measure is preferable when district-level data become available. Regional values may be used only as an explicitly documented interim proxy.</w:t>
      </w:r>
    </w:p>
    <w:p w14:paraId="420B9498" w14:textId="77777777" w:rsidR="009A7901" w:rsidRDefault="009A7901">
      <w:r>
        <w:rPr>
          <w:rFonts w:eastAsia="Arial" w:cs="Arial"/>
          <w:b/>
        </w:rPr>
        <w:t>Health-need share.</w:t>
      </w:r>
    </w:p>
    <w:p w14:paraId="5150515A" w14:textId="77777777" w:rsidR="009A7901" w:rsidRDefault="009A7901">
      <w:r>
        <w:rPr>
          <w:rFonts w:eastAsia="Arial" w:cs="Arial"/>
        </w:rPr>
        <w:t>A parsimonious initial index may combine under-five mortality and childhood stunting with equal weights: h</w:t>
      </w:r>
      <w:r>
        <w:rPr>
          <w:rFonts w:eastAsia="Arial" w:cs="Arial"/>
        </w:rPr>
        <w:t>ᵢ</w:t>
      </w:r>
      <w:r>
        <w:rPr>
          <w:rFonts w:eastAsia="Arial" w:cs="Arial"/>
        </w:rPr>
        <w:t xml:space="preserve"> = 0.50z(U5MR</w:t>
      </w:r>
      <w:r>
        <w:rPr>
          <w:rFonts w:eastAsia="Arial" w:cs="Arial"/>
        </w:rPr>
        <w:t>ᵢ</w:t>
      </w:r>
      <w:r>
        <w:rPr>
          <w:rFonts w:eastAsia="Arial" w:cs="Arial"/>
        </w:rPr>
        <w:t>) + 0.50z(Stunting</w:t>
      </w:r>
      <w:r>
        <w:rPr>
          <w:rFonts w:eastAsia="Arial" w:cs="Arial"/>
        </w:rPr>
        <w:t>ᵢ</w:t>
      </w:r>
      <w:r>
        <w:rPr>
          <w:rFonts w:eastAsia="Arial" w:cs="Arial"/>
        </w:rPr>
        <w:t>). Because z-scores may be negative, h</w:t>
      </w:r>
      <w:r>
        <w:rPr>
          <w:rFonts w:eastAsia="Arial" w:cs="Arial"/>
        </w:rPr>
        <w:t>ᵢ</w:t>
      </w:r>
      <w:r>
        <w:rPr>
          <w:rFonts w:eastAsia="Arial" w:cs="Arial"/>
        </w:rPr>
        <w:t xml:space="preserve"> should subsequently be rescaled to 0–1 and normalized across districts to obtain n</w:t>
      </w:r>
      <w:r>
        <w:rPr>
          <w:rFonts w:eastAsia="Arial" w:cs="Arial"/>
        </w:rPr>
        <w:t>ᵢ</w:t>
      </w:r>
      <w:r>
        <w:rPr>
          <w:rFonts w:eastAsia="Arial" w:cs="Arial"/>
        </w:rPr>
        <w:t>. Subject to data quality and avoidance of double counting, later versions may incorporate maternal mortality, malaria, tuberculosis, HIV, noncommunicable diseases, malnutrition and mental-health need.</w:t>
      </w:r>
    </w:p>
    <w:p w14:paraId="114DC423" w14:textId="77777777" w:rsidR="009A7901" w:rsidRDefault="009A7901">
      <w:r>
        <w:rPr>
          <w:rFonts w:eastAsia="Arial" w:cs="Arial"/>
          <w:b/>
        </w:rPr>
        <w:t>Geographic cost share.</w:t>
      </w:r>
    </w:p>
    <w:p w14:paraId="6F6A2F67" w14:textId="77777777" w:rsidR="009A7901" w:rsidRDefault="009A7901">
      <w:r>
        <w:rPr>
          <w:rFonts w:eastAsia="Arial" w:cs="Arial"/>
        </w:rPr>
        <w:t>A geographic constraint score may initially combine normalized area and population dispersion in equal proportions, graw</w:t>
      </w:r>
      <w:r>
        <w:rPr>
          <w:rFonts w:eastAsia="Arial" w:cs="Arial"/>
        </w:rPr>
        <w:t>ᵢ</w:t>
      </w:r>
      <w:r>
        <w:rPr>
          <w:rFonts w:eastAsia="Arial" w:cs="Arial"/>
        </w:rPr>
        <w:t xml:space="preserve"> = 0.50AreaIndex</w:t>
      </w:r>
      <w:r>
        <w:rPr>
          <w:rFonts w:eastAsia="Arial" w:cs="Arial"/>
        </w:rPr>
        <w:t>ᵢ</w:t>
      </w:r>
      <w:r>
        <w:rPr>
          <w:rFonts w:eastAsia="Arial" w:cs="Arial"/>
        </w:rPr>
        <w:t xml:space="preserve"> + 0.50DispersionIndex</w:t>
      </w:r>
      <w:r>
        <w:rPr>
          <w:rFonts w:eastAsia="Arial" w:cs="Arial"/>
        </w:rPr>
        <w:t>ᵢ</w:t>
      </w:r>
      <w:r>
        <w:rPr>
          <w:rFonts w:eastAsia="Arial" w:cs="Arial"/>
        </w:rPr>
        <w:t>, and may later incorporate remoteness, travel time, insularity and verified transport or supply-chain costs. The resulting non-negative score is divided by its sum across districts to obtain g</w:t>
      </w:r>
      <w:r>
        <w:rPr>
          <w:rFonts w:eastAsia="Arial" w:cs="Arial"/>
        </w:rPr>
        <w:t>ᵢ</w:t>
      </w:r>
      <w:r>
        <w:rPr>
          <w:rFonts w:eastAsia="Arial" w:cs="Arial"/>
        </w:rPr>
        <w:t>.</w:t>
      </w:r>
    </w:p>
    <w:p w14:paraId="57A98790" w14:textId="77777777" w:rsidR="009A7901" w:rsidRDefault="009A7901">
      <w:r>
        <w:rPr>
          <w:rFonts w:eastAsia="Arial" w:cs="Arial"/>
          <w:b/>
        </w:rPr>
        <w:t>Service-capacity-gap share.</w:t>
      </w:r>
    </w:p>
    <w:p w14:paraId="1DC296FA" w14:textId="77777777" w:rsidR="009A7901" w:rsidRDefault="009A7901">
      <w:r>
        <w:rPr>
          <w:rFonts w:eastAsia="Arial" w:cs="Arial"/>
        </w:rPr>
        <w:t>A simple starting indicator is the inhabitants-per-health-centre ratio. It should be oriented so that higher pressure produces a higher allocation: rˢ</w:t>
      </w:r>
      <w:r>
        <w:rPr>
          <w:rFonts w:eastAsia="Arial" w:cs="Arial"/>
        </w:rPr>
        <w:t>ᵢ</w:t>
      </w:r>
      <w:r>
        <w:rPr>
          <w:rFonts w:eastAsia="Arial" w:cs="Arial"/>
        </w:rPr>
        <w:t xml:space="preserve"> = (Ratio</w:t>
      </w:r>
      <w:r>
        <w:rPr>
          <w:rFonts w:eastAsia="Arial" w:cs="Arial"/>
        </w:rPr>
        <w:t>ᵢ</w:t>
      </w:r>
      <w:r>
        <w:rPr>
          <w:rFonts w:eastAsia="Arial" w:cs="Arial"/>
        </w:rPr>
        <w:t xml:space="preserve"> − Ratiomin)/(Ratiomax − Ratiomin), followed by s</w:t>
      </w:r>
      <w:r>
        <w:rPr>
          <w:rFonts w:eastAsia="Arial" w:cs="Arial"/>
        </w:rPr>
        <w:t>ᵢ</w:t>
      </w:r>
      <w:r>
        <w:rPr>
          <w:rFonts w:eastAsia="Arial" w:cs="Arial"/>
        </w:rPr>
        <w:t xml:space="preserve"> = rˢ</w:t>
      </w:r>
      <w:r>
        <w:rPr>
          <w:rFonts w:eastAsia="Arial" w:cs="Arial"/>
        </w:rPr>
        <w:t>ᵢ</w:t>
      </w:r>
      <w:r>
        <w:rPr>
          <w:rFonts w:eastAsia="Arial" w:cs="Arial"/>
        </w:rPr>
        <w:t>/Σⱼrˢⱼ. Where reliable data exist, this component should incorporate deficits in staffing, facility availability and readiness, while avoiding incentives to preserve remediable underperformance.</w:t>
      </w:r>
    </w:p>
    <w:p w14:paraId="4D26AB5E" w14:textId="77777777" w:rsidR="009A7901" w:rsidRDefault="009A7901">
      <w:r>
        <w:rPr>
          <w:rFonts w:eastAsia="Arial" w:cs="Arial"/>
        </w:rPr>
        <w:t>For every non-population domain, indicators should be oriented in the same direction, transformed using prespecified rules, checked for outliers and missingness, and then normalized. If an indicator has no cross-district variation, it should be omitted for that cycle and its weight reallocated according to a prespecified rule. All transformations, data years and imputation procedures should be documented in a technical manual.</w:t>
      </w:r>
    </w:p>
    <w:p w14:paraId="5F8917FA" w14:textId="77777777" w:rsidR="009A7901" w:rsidRDefault="009A7901">
      <w:pPr>
        <w:pStyle w:val="Lgende"/>
        <w:keepNext/>
      </w:pPr>
      <w:r>
        <w:rPr>
          <w:rFonts w:eastAsia="Arial" w:cs="Arial"/>
        </w:rPr>
        <w:t>Supplementary Table S6. Illustrative components of a prospective district allocation formula</w:t>
      </w:r>
    </w:p>
    <w:tbl>
      <w:tblPr>
        <w:tblStyle w:val="Grilledutableau"/>
        <w:tblW w:w="0" w:type="auto"/>
        <w:tblBorders>
          <w:top w:val="single" w:sz="8" w:space="0" w:color="000000"/>
          <w:left w:val="nil"/>
          <w:bottom w:val="single" w:sz="8" w:space="0" w:color="000000"/>
          <w:right w:val="nil"/>
          <w:insideH w:val="single" w:sz="3" w:space="0" w:color="BFBFBF"/>
          <w:insideV w:val="nil"/>
        </w:tblBorders>
        <w:tblLayout w:type="fixed"/>
        <w:tblLook w:val="04A0" w:firstRow="1" w:lastRow="0" w:firstColumn="1" w:lastColumn="0" w:noHBand="0" w:noVBand="1"/>
      </w:tblPr>
      <w:tblGrid>
        <w:gridCol w:w="1814"/>
        <w:gridCol w:w="1303"/>
        <w:gridCol w:w="3401"/>
        <w:gridCol w:w="2834"/>
      </w:tblGrid>
      <w:tr w:rsidR="00F50919" w14:paraId="5325FE00" w14:textId="77777777">
        <w:trPr>
          <w:tblHeader/>
        </w:trPr>
        <w:tc>
          <w:tcPr>
            <w:tcW w:w="1814" w:type="dxa"/>
            <w:tcMar>
              <w:top w:w="60" w:type="dxa"/>
              <w:left w:w="70" w:type="dxa"/>
              <w:bottom w:w="60" w:type="dxa"/>
              <w:right w:w="70" w:type="dxa"/>
            </w:tcMar>
            <w:vAlign w:val="center"/>
          </w:tcPr>
          <w:p w14:paraId="2969C211" w14:textId="77777777" w:rsidR="009A7901" w:rsidRDefault="009A7901">
            <w:pPr>
              <w:spacing w:line="240" w:lineRule="auto"/>
            </w:pPr>
            <w:r>
              <w:rPr>
                <w:rFonts w:eastAsia="Arial" w:cs="Arial"/>
                <w:b/>
                <w:sz w:val="15"/>
              </w:rPr>
              <w:t>Component</w:t>
            </w:r>
          </w:p>
        </w:tc>
        <w:tc>
          <w:tcPr>
            <w:tcW w:w="1303" w:type="dxa"/>
            <w:tcMar>
              <w:top w:w="60" w:type="dxa"/>
              <w:left w:w="70" w:type="dxa"/>
              <w:bottom w:w="60" w:type="dxa"/>
              <w:right w:w="70" w:type="dxa"/>
            </w:tcMar>
            <w:vAlign w:val="center"/>
          </w:tcPr>
          <w:p w14:paraId="5946BD66" w14:textId="77777777" w:rsidR="009A7901" w:rsidRDefault="009A7901">
            <w:pPr>
              <w:spacing w:line="240" w:lineRule="auto"/>
            </w:pPr>
            <w:r>
              <w:rPr>
                <w:rFonts w:eastAsia="Arial" w:cs="Arial"/>
                <w:b/>
                <w:sz w:val="15"/>
              </w:rPr>
              <w:t>Illustrative weight</w:t>
            </w:r>
          </w:p>
        </w:tc>
        <w:tc>
          <w:tcPr>
            <w:tcW w:w="3401" w:type="dxa"/>
            <w:tcMar>
              <w:top w:w="60" w:type="dxa"/>
              <w:left w:w="70" w:type="dxa"/>
              <w:bottom w:w="60" w:type="dxa"/>
              <w:right w:w="70" w:type="dxa"/>
            </w:tcMar>
            <w:vAlign w:val="center"/>
          </w:tcPr>
          <w:p w14:paraId="09DCC6E1" w14:textId="77777777" w:rsidR="009A7901" w:rsidRDefault="009A7901">
            <w:pPr>
              <w:spacing w:line="240" w:lineRule="auto"/>
            </w:pPr>
            <w:r>
              <w:rPr>
                <w:rFonts w:eastAsia="Arial" w:cs="Arial"/>
                <w:b/>
                <w:sz w:val="15"/>
              </w:rPr>
              <w:t>Operational definition</w:t>
            </w:r>
          </w:p>
        </w:tc>
        <w:tc>
          <w:tcPr>
            <w:tcW w:w="2834" w:type="dxa"/>
            <w:tcMar>
              <w:top w:w="60" w:type="dxa"/>
              <w:left w:w="70" w:type="dxa"/>
              <w:bottom w:w="60" w:type="dxa"/>
              <w:right w:w="70" w:type="dxa"/>
            </w:tcMar>
            <w:vAlign w:val="center"/>
          </w:tcPr>
          <w:p w14:paraId="75C64A86" w14:textId="77777777" w:rsidR="009A7901" w:rsidRDefault="009A7901">
            <w:pPr>
              <w:spacing w:line="240" w:lineRule="auto"/>
            </w:pPr>
            <w:r>
              <w:rPr>
                <w:rFonts w:eastAsia="Arial" w:cs="Arial"/>
                <w:b/>
                <w:sz w:val="15"/>
              </w:rPr>
              <w:t>Allocation rationale</w:t>
            </w:r>
          </w:p>
        </w:tc>
      </w:tr>
      <w:tr w:rsidR="00F50919" w14:paraId="302CD2DD" w14:textId="77777777">
        <w:tc>
          <w:tcPr>
            <w:tcW w:w="1814" w:type="dxa"/>
            <w:tcMar>
              <w:top w:w="60" w:type="dxa"/>
              <w:left w:w="70" w:type="dxa"/>
              <w:bottom w:w="60" w:type="dxa"/>
              <w:right w:w="70" w:type="dxa"/>
            </w:tcMar>
            <w:vAlign w:val="center"/>
          </w:tcPr>
          <w:p w14:paraId="738E21A2" w14:textId="77777777" w:rsidR="009A7901" w:rsidRDefault="009A7901">
            <w:pPr>
              <w:spacing w:line="240" w:lineRule="auto"/>
            </w:pPr>
            <w:r>
              <w:rPr>
                <w:rFonts w:eastAsia="Arial" w:cs="Arial"/>
                <w:sz w:val="15"/>
              </w:rPr>
              <w:t>Population share (p</w:t>
            </w:r>
            <w:r>
              <w:rPr>
                <w:rFonts w:eastAsia="Arial" w:cs="Arial"/>
                <w:sz w:val="15"/>
              </w:rPr>
              <w:t>ᵢ</w:t>
            </w:r>
            <w:r>
              <w:rPr>
                <w:rFonts w:eastAsia="Arial" w:cs="Arial"/>
                <w:sz w:val="15"/>
              </w:rPr>
              <w:t>)</w:t>
            </w:r>
          </w:p>
        </w:tc>
        <w:tc>
          <w:tcPr>
            <w:tcW w:w="1303" w:type="dxa"/>
            <w:tcMar>
              <w:top w:w="60" w:type="dxa"/>
              <w:left w:w="70" w:type="dxa"/>
              <w:bottom w:w="60" w:type="dxa"/>
              <w:right w:w="70" w:type="dxa"/>
            </w:tcMar>
            <w:vAlign w:val="center"/>
          </w:tcPr>
          <w:p w14:paraId="2EAD49AD" w14:textId="77777777" w:rsidR="009A7901" w:rsidRDefault="009A7901">
            <w:pPr>
              <w:spacing w:line="240" w:lineRule="auto"/>
            </w:pPr>
            <w:r>
              <w:rPr>
                <w:rFonts w:eastAsia="Arial" w:cs="Arial"/>
                <w:sz w:val="15"/>
              </w:rPr>
              <w:t>60%</w:t>
            </w:r>
          </w:p>
        </w:tc>
        <w:tc>
          <w:tcPr>
            <w:tcW w:w="3401" w:type="dxa"/>
            <w:tcMar>
              <w:top w:w="60" w:type="dxa"/>
              <w:left w:w="70" w:type="dxa"/>
              <w:bottom w:w="60" w:type="dxa"/>
              <w:right w:w="70" w:type="dxa"/>
            </w:tcMar>
            <w:vAlign w:val="center"/>
          </w:tcPr>
          <w:p w14:paraId="48F03535" w14:textId="77777777" w:rsidR="009A7901" w:rsidRDefault="009A7901">
            <w:pPr>
              <w:spacing w:line="240" w:lineRule="auto"/>
            </w:pPr>
            <w:r>
              <w:rPr>
                <w:rFonts w:eastAsia="Arial" w:cs="Arial"/>
                <w:sz w:val="15"/>
              </w:rPr>
              <w:t>District population divided by total population; updated using the most reliable official estimates.</w:t>
            </w:r>
          </w:p>
        </w:tc>
        <w:tc>
          <w:tcPr>
            <w:tcW w:w="2834" w:type="dxa"/>
            <w:tcMar>
              <w:top w:w="60" w:type="dxa"/>
              <w:left w:w="70" w:type="dxa"/>
              <w:bottom w:w="60" w:type="dxa"/>
              <w:right w:w="70" w:type="dxa"/>
            </w:tcMar>
            <w:vAlign w:val="center"/>
          </w:tcPr>
          <w:p w14:paraId="42361768" w14:textId="77777777" w:rsidR="009A7901" w:rsidRDefault="009A7901">
            <w:pPr>
              <w:spacing w:line="240" w:lineRule="auto"/>
            </w:pPr>
            <w:r>
              <w:rPr>
                <w:rFonts w:eastAsia="Arial" w:cs="Arial"/>
                <w:sz w:val="15"/>
              </w:rPr>
              <w:t>Principal capitation base supporting horizontal equity.</w:t>
            </w:r>
          </w:p>
        </w:tc>
      </w:tr>
      <w:tr w:rsidR="00F50919" w14:paraId="0EA30DEA" w14:textId="77777777">
        <w:tc>
          <w:tcPr>
            <w:tcW w:w="1814" w:type="dxa"/>
            <w:tcMar>
              <w:top w:w="60" w:type="dxa"/>
              <w:left w:w="70" w:type="dxa"/>
              <w:bottom w:w="60" w:type="dxa"/>
              <w:right w:w="70" w:type="dxa"/>
            </w:tcMar>
            <w:vAlign w:val="center"/>
          </w:tcPr>
          <w:p w14:paraId="42A23935" w14:textId="77777777" w:rsidR="009A7901" w:rsidRDefault="009A7901">
            <w:pPr>
              <w:spacing w:line="240" w:lineRule="auto"/>
            </w:pPr>
            <w:r>
              <w:rPr>
                <w:rFonts w:eastAsia="Arial" w:cs="Arial"/>
                <w:sz w:val="15"/>
              </w:rPr>
              <w:t>Deprivation share (d</w:t>
            </w:r>
            <w:r>
              <w:rPr>
                <w:rFonts w:eastAsia="Arial" w:cs="Arial"/>
                <w:sz w:val="15"/>
              </w:rPr>
              <w:t>ᵢ</w:t>
            </w:r>
            <w:r>
              <w:rPr>
                <w:rFonts w:eastAsia="Arial" w:cs="Arial"/>
                <w:sz w:val="15"/>
              </w:rPr>
              <w:t>)</w:t>
            </w:r>
          </w:p>
        </w:tc>
        <w:tc>
          <w:tcPr>
            <w:tcW w:w="1303" w:type="dxa"/>
            <w:tcMar>
              <w:top w:w="60" w:type="dxa"/>
              <w:left w:w="70" w:type="dxa"/>
              <w:bottom w:w="60" w:type="dxa"/>
              <w:right w:w="70" w:type="dxa"/>
            </w:tcMar>
            <w:vAlign w:val="center"/>
          </w:tcPr>
          <w:p w14:paraId="647986AF" w14:textId="77777777" w:rsidR="009A7901" w:rsidRDefault="009A7901">
            <w:pPr>
              <w:spacing w:line="240" w:lineRule="auto"/>
            </w:pPr>
            <w:r>
              <w:rPr>
                <w:rFonts w:eastAsia="Arial" w:cs="Arial"/>
                <w:sz w:val="15"/>
              </w:rPr>
              <w:t>15%</w:t>
            </w:r>
          </w:p>
        </w:tc>
        <w:tc>
          <w:tcPr>
            <w:tcW w:w="3401" w:type="dxa"/>
            <w:tcMar>
              <w:top w:w="60" w:type="dxa"/>
              <w:left w:w="70" w:type="dxa"/>
              <w:bottom w:w="60" w:type="dxa"/>
              <w:right w:w="70" w:type="dxa"/>
            </w:tcMar>
            <w:vAlign w:val="center"/>
          </w:tcPr>
          <w:p w14:paraId="2530DF03" w14:textId="77777777" w:rsidR="009A7901" w:rsidRDefault="009A7901">
            <w:pPr>
              <w:spacing w:line="240" w:lineRule="auto"/>
            </w:pPr>
            <w:r>
              <w:rPr>
                <w:rFonts w:eastAsia="Arial" w:cs="Arial"/>
                <w:sz w:val="15"/>
              </w:rPr>
              <w:t>Normalized poverty or validated multidimensional deprivation, preferably at district level.</w:t>
            </w:r>
          </w:p>
        </w:tc>
        <w:tc>
          <w:tcPr>
            <w:tcW w:w="2834" w:type="dxa"/>
            <w:tcMar>
              <w:top w:w="60" w:type="dxa"/>
              <w:left w:w="70" w:type="dxa"/>
              <w:bottom w:w="60" w:type="dxa"/>
              <w:right w:w="70" w:type="dxa"/>
            </w:tcMar>
            <w:vAlign w:val="center"/>
          </w:tcPr>
          <w:p w14:paraId="5EE83E18" w14:textId="77777777" w:rsidR="009A7901" w:rsidRDefault="009A7901">
            <w:pPr>
              <w:spacing w:line="240" w:lineRule="auto"/>
            </w:pPr>
            <w:r>
              <w:rPr>
                <w:rFonts w:eastAsia="Arial" w:cs="Arial"/>
                <w:sz w:val="15"/>
              </w:rPr>
              <w:t>Directs resources toward populations with lower ability to pay.</w:t>
            </w:r>
          </w:p>
        </w:tc>
      </w:tr>
      <w:tr w:rsidR="00F50919" w14:paraId="72CF91B9" w14:textId="77777777">
        <w:tc>
          <w:tcPr>
            <w:tcW w:w="1814" w:type="dxa"/>
            <w:tcMar>
              <w:top w:w="60" w:type="dxa"/>
              <w:left w:w="70" w:type="dxa"/>
              <w:bottom w:w="60" w:type="dxa"/>
              <w:right w:w="70" w:type="dxa"/>
            </w:tcMar>
            <w:vAlign w:val="center"/>
          </w:tcPr>
          <w:p w14:paraId="205992C4" w14:textId="77777777" w:rsidR="009A7901" w:rsidRDefault="009A7901">
            <w:pPr>
              <w:spacing w:line="240" w:lineRule="auto"/>
            </w:pPr>
            <w:r>
              <w:rPr>
                <w:rFonts w:eastAsia="Arial" w:cs="Arial"/>
                <w:sz w:val="15"/>
              </w:rPr>
              <w:lastRenderedPageBreak/>
              <w:t>Health-need share (n</w:t>
            </w:r>
            <w:r>
              <w:rPr>
                <w:rFonts w:eastAsia="Arial" w:cs="Arial"/>
                <w:sz w:val="15"/>
              </w:rPr>
              <w:t>ᵢ</w:t>
            </w:r>
            <w:r>
              <w:rPr>
                <w:rFonts w:eastAsia="Arial" w:cs="Arial"/>
                <w:sz w:val="15"/>
              </w:rPr>
              <w:t>)</w:t>
            </w:r>
          </w:p>
        </w:tc>
        <w:tc>
          <w:tcPr>
            <w:tcW w:w="1303" w:type="dxa"/>
            <w:tcMar>
              <w:top w:w="60" w:type="dxa"/>
              <w:left w:w="70" w:type="dxa"/>
              <w:bottom w:w="60" w:type="dxa"/>
              <w:right w:w="70" w:type="dxa"/>
            </w:tcMar>
            <w:vAlign w:val="center"/>
          </w:tcPr>
          <w:p w14:paraId="27602AFE" w14:textId="77777777" w:rsidR="009A7901" w:rsidRDefault="009A7901">
            <w:pPr>
              <w:spacing w:line="240" w:lineRule="auto"/>
            </w:pPr>
            <w:r>
              <w:rPr>
                <w:rFonts w:eastAsia="Arial" w:cs="Arial"/>
                <w:sz w:val="15"/>
              </w:rPr>
              <w:t>15%</w:t>
            </w:r>
          </w:p>
        </w:tc>
        <w:tc>
          <w:tcPr>
            <w:tcW w:w="3401" w:type="dxa"/>
            <w:tcMar>
              <w:top w:w="60" w:type="dxa"/>
              <w:left w:w="70" w:type="dxa"/>
              <w:bottom w:w="60" w:type="dxa"/>
              <w:right w:w="70" w:type="dxa"/>
            </w:tcMar>
            <w:vAlign w:val="center"/>
          </w:tcPr>
          <w:p w14:paraId="2F5E182F" w14:textId="77777777" w:rsidR="009A7901" w:rsidRDefault="009A7901">
            <w:pPr>
              <w:spacing w:line="240" w:lineRule="auto"/>
            </w:pPr>
            <w:r>
              <w:rPr>
                <w:rFonts w:eastAsia="Arial" w:cs="Arial"/>
                <w:sz w:val="15"/>
              </w:rPr>
              <w:t>Normalized composite of mortality, morbidity, nutrition and other validated burden indicators.</w:t>
            </w:r>
          </w:p>
        </w:tc>
        <w:tc>
          <w:tcPr>
            <w:tcW w:w="2834" w:type="dxa"/>
            <w:tcMar>
              <w:top w:w="60" w:type="dxa"/>
              <w:left w:w="70" w:type="dxa"/>
              <w:bottom w:w="60" w:type="dxa"/>
              <w:right w:w="70" w:type="dxa"/>
            </w:tcMar>
            <w:vAlign w:val="center"/>
          </w:tcPr>
          <w:p w14:paraId="47D2889C" w14:textId="77777777" w:rsidR="009A7901" w:rsidRDefault="009A7901">
            <w:pPr>
              <w:spacing w:line="240" w:lineRule="auto"/>
            </w:pPr>
            <w:r>
              <w:rPr>
                <w:rFonts w:eastAsia="Arial" w:cs="Arial"/>
                <w:sz w:val="15"/>
              </w:rPr>
              <w:t>Supports vertical equity by allocating more where expected need is greater.</w:t>
            </w:r>
          </w:p>
        </w:tc>
      </w:tr>
      <w:tr w:rsidR="00F50919" w14:paraId="0815B1B9" w14:textId="77777777">
        <w:tc>
          <w:tcPr>
            <w:tcW w:w="1814" w:type="dxa"/>
            <w:tcMar>
              <w:top w:w="60" w:type="dxa"/>
              <w:left w:w="70" w:type="dxa"/>
              <w:bottom w:w="60" w:type="dxa"/>
              <w:right w:w="70" w:type="dxa"/>
            </w:tcMar>
            <w:vAlign w:val="center"/>
          </w:tcPr>
          <w:p w14:paraId="20166A3C" w14:textId="77777777" w:rsidR="009A7901" w:rsidRDefault="009A7901">
            <w:pPr>
              <w:spacing w:line="240" w:lineRule="auto"/>
            </w:pPr>
            <w:r>
              <w:rPr>
                <w:rFonts w:eastAsia="Arial" w:cs="Arial"/>
                <w:sz w:val="15"/>
              </w:rPr>
              <w:t>Geographic cost share (g</w:t>
            </w:r>
            <w:r>
              <w:rPr>
                <w:rFonts w:eastAsia="Arial" w:cs="Arial"/>
                <w:sz w:val="15"/>
              </w:rPr>
              <w:t>ᵢ</w:t>
            </w:r>
            <w:r>
              <w:rPr>
                <w:rFonts w:eastAsia="Arial" w:cs="Arial"/>
                <w:sz w:val="15"/>
              </w:rPr>
              <w:t>)</w:t>
            </w:r>
          </w:p>
        </w:tc>
        <w:tc>
          <w:tcPr>
            <w:tcW w:w="1303" w:type="dxa"/>
            <w:tcMar>
              <w:top w:w="60" w:type="dxa"/>
              <w:left w:w="70" w:type="dxa"/>
              <w:bottom w:w="60" w:type="dxa"/>
              <w:right w:w="70" w:type="dxa"/>
            </w:tcMar>
            <w:vAlign w:val="center"/>
          </w:tcPr>
          <w:p w14:paraId="16F63560" w14:textId="77777777" w:rsidR="009A7901" w:rsidRDefault="009A7901">
            <w:pPr>
              <w:spacing w:line="240" w:lineRule="auto"/>
            </w:pPr>
            <w:r>
              <w:rPr>
                <w:rFonts w:eastAsia="Arial" w:cs="Arial"/>
                <w:sz w:val="15"/>
              </w:rPr>
              <w:t>5%</w:t>
            </w:r>
          </w:p>
        </w:tc>
        <w:tc>
          <w:tcPr>
            <w:tcW w:w="3401" w:type="dxa"/>
            <w:tcMar>
              <w:top w:w="60" w:type="dxa"/>
              <w:left w:w="70" w:type="dxa"/>
              <w:bottom w:w="60" w:type="dxa"/>
              <w:right w:w="70" w:type="dxa"/>
            </w:tcMar>
            <w:vAlign w:val="center"/>
          </w:tcPr>
          <w:p w14:paraId="7E6A527A" w14:textId="77777777" w:rsidR="009A7901" w:rsidRDefault="009A7901">
            <w:pPr>
              <w:spacing w:line="240" w:lineRule="auto"/>
            </w:pPr>
            <w:r>
              <w:rPr>
                <w:rFonts w:eastAsia="Arial" w:cs="Arial"/>
                <w:sz w:val="15"/>
              </w:rPr>
              <w:t>Normalized area, dispersion, remoteness, travel time, insularity and unavoidable delivery costs.</w:t>
            </w:r>
          </w:p>
        </w:tc>
        <w:tc>
          <w:tcPr>
            <w:tcW w:w="2834" w:type="dxa"/>
            <w:tcMar>
              <w:top w:w="60" w:type="dxa"/>
              <w:left w:w="70" w:type="dxa"/>
              <w:bottom w:w="60" w:type="dxa"/>
              <w:right w:w="70" w:type="dxa"/>
            </w:tcMar>
            <w:vAlign w:val="center"/>
          </w:tcPr>
          <w:p w14:paraId="4FEB11C6" w14:textId="77777777" w:rsidR="009A7901" w:rsidRDefault="009A7901">
            <w:pPr>
              <w:spacing w:line="240" w:lineRule="auto"/>
            </w:pPr>
            <w:r>
              <w:rPr>
                <w:rFonts w:eastAsia="Arial" w:cs="Arial"/>
                <w:sz w:val="15"/>
              </w:rPr>
              <w:t>Compensates for higher outreach, transport and supply-chain costs.</w:t>
            </w:r>
          </w:p>
        </w:tc>
      </w:tr>
      <w:tr w:rsidR="00F50919" w14:paraId="5A0978B1" w14:textId="77777777">
        <w:tc>
          <w:tcPr>
            <w:tcW w:w="1814" w:type="dxa"/>
            <w:tcMar>
              <w:top w:w="60" w:type="dxa"/>
              <w:left w:w="70" w:type="dxa"/>
              <w:bottom w:w="60" w:type="dxa"/>
              <w:right w:w="70" w:type="dxa"/>
            </w:tcMar>
            <w:vAlign w:val="center"/>
          </w:tcPr>
          <w:p w14:paraId="434FC30D" w14:textId="77777777" w:rsidR="009A7901" w:rsidRDefault="009A7901">
            <w:pPr>
              <w:spacing w:line="240" w:lineRule="auto"/>
            </w:pPr>
            <w:r>
              <w:rPr>
                <w:rFonts w:eastAsia="Arial" w:cs="Arial"/>
                <w:sz w:val="15"/>
              </w:rPr>
              <w:t>Service-gap share (s</w:t>
            </w:r>
            <w:r>
              <w:rPr>
                <w:rFonts w:eastAsia="Arial" w:cs="Arial"/>
                <w:sz w:val="15"/>
              </w:rPr>
              <w:t>ᵢ</w:t>
            </w:r>
            <w:r>
              <w:rPr>
                <w:rFonts w:eastAsia="Arial" w:cs="Arial"/>
                <w:sz w:val="15"/>
              </w:rPr>
              <w:t>)</w:t>
            </w:r>
          </w:p>
        </w:tc>
        <w:tc>
          <w:tcPr>
            <w:tcW w:w="1303" w:type="dxa"/>
            <w:tcMar>
              <w:top w:w="60" w:type="dxa"/>
              <w:left w:w="70" w:type="dxa"/>
              <w:bottom w:w="60" w:type="dxa"/>
              <w:right w:w="70" w:type="dxa"/>
            </w:tcMar>
            <w:vAlign w:val="center"/>
          </w:tcPr>
          <w:p w14:paraId="65FA9014" w14:textId="77777777" w:rsidR="009A7901" w:rsidRDefault="009A7901">
            <w:pPr>
              <w:spacing w:line="240" w:lineRule="auto"/>
            </w:pPr>
            <w:r>
              <w:rPr>
                <w:rFonts w:eastAsia="Arial" w:cs="Arial"/>
                <w:sz w:val="15"/>
              </w:rPr>
              <w:t>5%</w:t>
            </w:r>
          </w:p>
        </w:tc>
        <w:tc>
          <w:tcPr>
            <w:tcW w:w="3401" w:type="dxa"/>
            <w:tcMar>
              <w:top w:w="60" w:type="dxa"/>
              <w:left w:w="70" w:type="dxa"/>
              <w:bottom w:w="60" w:type="dxa"/>
              <w:right w:w="70" w:type="dxa"/>
            </w:tcMar>
            <w:vAlign w:val="center"/>
          </w:tcPr>
          <w:p w14:paraId="58763E9C" w14:textId="77777777" w:rsidR="009A7901" w:rsidRDefault="009A7901">
            <w:pPr>
              <w:spacing w:line="240" w:lineRule="auto"/>
            </w:pPr>
            <w:r>
              <w:rPr>
                <w:rFonts w:eastAsia="Arial" w:cs="Arial"/>
                <w:sz w:val="15"/>
              </w:rPr>
              <w:t>Normalized deficit in facility availability, staffing or readiness; higher pressure produces a higher score.</w:t>
            </w:r>
          </w:p>
        </w:tc>
        <w:tc>
          <w:tcPr>
            <w:tcW w:w="2834" w:type="dxa"/>
            <w:tcMar>
              <w:top w:w="60" w:type="dxa"/>
              <w:left w:w="70" w:type="dxa"/>
              <w:bottom w:w="60" w:type="dxa"/>
              <w:right w:w="70" w:type="dxa"/>
            </w:tcMar>
            <w:vAlign w:val="center"/>
          </w:tcPr>
          <w:p w14:paraId="4B4CBD5D" w14:textId="77777777" w:rsidR="009A7901" w:rsidRDefault="009A7901">
            <w:pPr>
              <w:spacing w:line="240" w:lineRule="auto"/>
            </w:pPr>
            <w:r>
              <w:rPr>
                <w:rFonts w:eastAsia="Arial" w:cs="Arial"/>
                <w:sz w:val="15"/>
              </w:rPr>
              <w:t>Prioritizes districts with insufficient capacity relative to population.</w:t>
            </w:r>
          </w:p>
        </w:tc>
      </w:tr>
    </w:tbl>
    <w:p w14:paraId="38680B52" w14:textId="77777777" w:rsidR="009A7901" w:rsidRDefault="009A7901">
      <w:pPr>
        <w:pStyle w:val="Lgende"/>
      </w:pPr>
      <w:r>
        <w:rPr>
          <w:rFonts w:eastAsia="Arial" w:cs="Arial"/>
        </w:rPr>
        <w:t>Notes: The weights are illustrative policy parameters, not coefficients estimated from the regressions. Component definitions, sources, reference years and update frequencies should be prespecified. Each component share must sum to one across districts before weighting.</w:t>
      </w:r>
    </w:p>
    <w:p w14:paraId="0A872DA5" w14:textId="77777777" w:rsidR="009A7901" w:rsidRDefault="009A7901">
      <w:pPr>
        <w:pStyle w:val="Titre3"/>
      </w:pPr>
      <w:r>
        <w:rPr>
          <w:rFonts w:ascii="Arial" w:eastAsia="Arial" w:hAnsi="Arial" w:cs="Arial"/>
        </w:rPr>
        <w:t>Illustrative calculation</w:t>
      </w:r>
    </w:p>
    <w:p w14:paraId="7EEED925" w14:textId="77777777" w:rsidR="009A7901" w:rsidRDefault="009A7901">
      <w:r>
        <w:rPr>
          <w:rFonts w:eastAsia="Arial" w:cs="Arial"/>
        </w:rPr>
        <w:t>For transparency, the calculation can also be displayed as an intermediate 0–1 priority score a</w:t>
      </w:r>
      <w:r>
        <w:rPr>
          <w:rFonts w:eastAsia="Arial" w:cs="Arial"/>
        </w:rPr>
        <w:t>ᵢ</w:t>
      </w:r>
      <w:r>
        <w:rPr>
          <w:rFonts w:eastAsia="Arial" w:cs="Arial"/>
        </w:rPr>
        <w:t xml:space="preserve"> = 0.60P</w:t>
      </w:r>
      <w:r>
        <w:rPr>
          <w:rFonts w:eastAsia="Arial" w:cs="Arial"/>
        </w:rPr>
        <w:t>ᵢ</w:t>
      </w:r>
      <w:r>
        <w:rPr>
          <w:rFonts w:eastAsia="Arial" w:cs="Arial"/>
        </w:rPr>
        <w:t xml:space="preserve"> + 0.15D</w:t>
      </w:r>
      <w:r>
        <w:rPr>
          <w:rFonts w:eastAsia="Arial" w:cs="Arial"/>
        </w:rPr>
        <w:t>ᵢ</w:t>
      </w:r>
      <w:r>
        <w:rPr>
          <w:rFonts w:eastAsia="Arial" w:cs="Arial"/>
        </w:rPr>
        <w:t xml:space="preserve"> + 0.15N</w:t>
      </w:r>
      <w:r>
        <w:rPr>
          <w:rFonts w:eastAsia="Arial" w:cs="Arial"/>
        </w:rPr>
        <w:t>ᵢ</w:t>
      </w:r>
      <w:r>
        <w:rPr>
          <w:rFonts w:eastAsia="Arial" w:cs="Arial"/>
        </w:rPr>
        <w:t xml:space="preserve"> + 0.05G</w:t>
      </w:r>
      <w:r>
        <w:rPr>
          <w:rFonts w:eastAsia="Arial" w:cs="Arial"/>
        </w:rPr>
        <w:t>ᵢ</w:t>
      </w:r>
      <w:r>
        <w:rPr>
          <w:rFonts w:eastAsia="Arial" w:cs="Arial"/>
        </w:rPr>
        <w:t xml:space="preserve"> + 0.05S</w:t>
      </w:r>
      <w:r>
        <w:rPr>
          <w:rFonts w:eastAsia="Arial" w:cs="Arial"/>
        </w:rPr>
        <w:t>ᵢ</w:t>
      </w:r>
      <w:r>
        <w:rPr>
          <w:rFonts w:eastAsia="Arial" w:cs="Arial"/>
        </w:rPr>
        <w:t>, followed by q</w:t>
      </w:r>
      <w:r>
        <w:rPr>
          <w:rFonts w:eastAsia="Arial" w:cs="Arial"/>
        </w:rPr>
        <w:t>ᵢ</w:t>
      </w:r>
      <w:r>
        <w:rPr>
          <w:rFonts w:eastAsia="Arial" w:cs="Arial"/>
        </w:rPr>
        <w:t xml:space="preserve"> = a</w:t>
      </w:r>
      <w:r>
        <w:rPr>
          <w:rFonts w:eastAsia="Arial" w:cs="Arial"/>
        </w:rPr>
        <w:t>ᵢ</w:t>
      </w:r>
      <w:r>
        <w:rPr>
          <w:rFonts w:eastAsia="Arial" w:cs="Arial"/>
        </w:rPr>
        <w:t>/Σⱼaⱼ. Suppose one district has the illustrative normalized values below. Its priority score is 0.695; its final national share cannot be calculated until the corresponding scores for all eligible districts are available.</w:t>
      </w:r>
    </w:p>
    <w:p w14:paraId="2C0D6837" w14:textId="77777777" w:rsidR="009A7901" w:rsidRDefault="009A7901">
      <w:pPr>
        <w:pStyle w:val="Lgende"/>
        <w:keepNext/>
      </w:pPr>
      <w:r>
        <w:rPr>
          <w:rFonts w:eastAsia="Arial" w:cs="Arial"/>
        </w:rPr>
        <w:t>Supplementary Table S7. Worked example of an illustrative district priority score</w:t>
      </w:r>
    </w:p>
    <w:tbl>
      <w:tblPr>
        <w:tblStyle w:val="Grilledutableau"/>
        <w:tblW w:w="0" w:type="auto"/>
        <w:tblBorders>
          <w:top w:val="single" w:sz="8" w:space="0" w:color="000000"/>
          <w:left w:val="nil"/>
          <w:bottom w:val="single" w:sz="8" w:space="0" w:color="000000"/>
          <w:right w:val="nil"/>
          <w:insideH w:val="single" w:sz="3" w:space="0" w:color="BFBFBF"/>
          <w:insideV w:val="nil"/>
        </w:tblBorders>
        <w:tblLayout w:type="fixed"/>
        <w:tblLook w:val="04A0" w:firstRow="1" w:lastRow="0" w:firstColumn="1" w:lastColumn="0" w:noHBand="0" w:noVBand="1"/>
      </w:tblPr>
      <w:tblGrid>
        <w:gridCol w:w="2948"/>
        <w:gridCol w:w="2154"/>
        <w:gridCol w:w="1474"/>
        <w:gridCol w:w="2777"/>
      </w:tblGrid>
      <w:tr w:rsidR="00F50919" w14:paraId="1E35FF50" w14:textId="77777777">
        <w:trPr>
          <w:tblHeader/>
        </w:trPr>
        <w:tc>
          <w:tcPr>
            <w:tcW w:w="2948" w:type="dxa"/>
            <w:tcMar>
              <w:top w:w="60" w:type="dxa"/>
              <w:left w:w="70" w:type="dxa"/>
              <w:bottom w:w="60" w:type="dxa"/>
              <w:right w:w="70" w:type="dxa"/>
            </w:tcMar>
            <w:vAlign w:val="center"/>
          </w:tcPr>
          <w:p w14:paraId="1963BE8E" w14:textId="77777777" w:rsidR="009A7901" w:rsidRDefault="009A7901">
            <w:pPr>
              <w:spacing w:line="240" w:lineRule="auto"/>
            </w:pPr>
            <w:r>
              <w:rPr>
                <w:rFonts w:eastAsia="Arial" w:cs="Arial"/>
                <w:b/>
                <w:sz w:val="15"/>
              </w:rPr>
              <w:t>Component</w:t>
            </w:r>
          </w:p>
        </w:tc>
        <w:tc>
          <w:tcPr>
            <w:tcW w:w="2154" w:type="dxa"/>
            <w:tcMar>
              <w:top w:w="60" w:type="dxa"/>
              <w:left w:w="70" w:type="dxa"/>
              <w:bottom w:w="60" w:type="dxa"/>
              <w:right w:w="70" w:type="dxa"/>
            </w:tcMar>
            <w:vAlign w:val="center"/>
          </w:tcPr>
          <w:p w14:paraId="22920662" w14:textId="77777777" w:rsidR="009A7901" w:rsidRDefault="009A7901">
            <w:pPr>
              <w:spacing w:line="240" w:lineRule="auto"/>
            </w:pPr>
            <w:r>
              <w:rPr>
                <w:rFonts w:eastAsia="Arial" w:cs="Arial"/>
                <w:b/>
                <w:sz w:val="15"/>
              </w:rPr>
              <w:t>Normalized value</w:t>
            </w:r>
          </w:p>
        </w:tc>
        <w:tc>
          <w:tcPr>
            <w:tcW w:w="1474" w:type="dxa"/>
            <w:tcMar>
              <w:top w:w="60" w:type="dxa"/>
              <w:left w:w="70" w:type="dxa"/>
              <w:bottom w:w="60" w:type="dxa"/>
              <w:right w:w="70" w:type="dxa"/>
            </w:tcMar>
            <w:vAlign w:val="center"/>
          </w:tcPr>
          <w:p w14:paraId="570BAB4D" w14:textId="77777777" w:rsidR="009A7901" w:rsidRDefault="009A7901">
            <w:pPr>
              <w:spacing w:line="240" w:lineRule="auto"/>
            </w:pPr>
            <w:r>
              <w:rPr>
                <w:rFonts w:eastAsia="Arial" w:cs="Arial"/>
                <w:b/>
                <w:sz w:val="15"/>
              </w:rPr>
              <w:t>Weight</w:t>
            </w:r>
          </w:p>
        </w:tc>
        <w:tc>
          <w:tcPr>
            <w:tcW w:w="2777" w:type="dxa"/>
            <w:tcMar>
              <w:top w:w="60" w:type="dxa"/>
              <w:left w:w="70" w:type="dxa"/>
              <w:bottom w:w="60" w:type="dxa"/>
              <w:right w:w="70" w:type="dxa"/>
            </w:tcMar>
            <w:vAlign w:val="center"/>
          </w:tcPr>
          <w:p w14:paraId="75B790AC" w14:textId="77777777" w:rsidR="009A7901" w:rsidRDefault="009A7901">
            <w:pPr>
              <w:spacing w:line="240" w:lineRule="auto"/>
            </w:pPr>
            <w:r>
              <w:rPr>
                <w:rFonts w:eastAsia="Arial" w:cs="Arial"/>
                <w:b/>
                <w:sz w:val="15"/>
              </w:rPr>
              <w:t>Weighted contribution</w:t>
            </w:r>
          </w:p>
        </w:tc>
      </w:tr>
      <w:tr w:rsidR="00F50919" w14:paraId="73BA625F" w14:textId="77777777">
        <w:tc>
          <w:tcPr>
            <w:tcW w:w="2948" w:type="dxa"/>
            <w:tcMar>
              <w:top w:w="60" w:type="dxa"/>
              <w:left w:w="70" w:type="dxa"/>
              <w:bottom w:w="60" w:type="dxa"/>
              <w:right w:w="70" w:type="dxa"/>
            </w:tcMar>
            <w:vAlign w:val="center"/>
          </w:tcPr>
          <w:p w14:paraId="18905809" w14:textId="77777777" w:rsidR="009A7901" w:rsidRDefault="009A7901">
            <w:pPr>
              <w:spacing w:line="240" w:lineRule="auto"/>
            </w:pPr>
            <w:r>
              <w:rPr>
                <w:rFonts w:eastAsia="Arial" w:cs="Arial"/>
                <w:sz w:val="15"/>
              </w:rPr>
              <w:t>Population</w:t>
            </w:r>
          </w:p>
        </w:tc>
        <w:tc>
          <w:tcPr>
            <w:tcW w:w="2154" w:type="dxa"/>
            <w:tcMar>
              <w:top w:w="60" w:type="dxa"/>
              <w:left w:w="70" w:type="dxa"/>
              <w:bottom w:w="60" w:type="dxa"/>
              <w:right w:w="70" w:type="dxa"/>
            </w:tcMar>
            <w:vAlign w:val="center"/>
          </w:tcPr>
          <w:p w14:paraId="748E1F0B" w14:textId="77777777" w:rsidR="009A7901" w:rsidRDefault="009A7901">
            <w:pPr>
              <w:spacing w:line="240" w:lineRule="auto"/>
            </w:pPr>
            <w:r>
              <w:rPr>
                <w:rFonts w:eastAsia="Arial" w:cs="Arial"/>
                <w:sz w:val="15"/>
              </w:rPr>
              <w:t>0.70</w:t>
            </w:r>
          </w:p>
        </w:tc>
        <w:tc>
          <w:tcPr>
            <w:tcW w:w="1474" w:type="dxa"/>
            <w:tcMar>
              <w:top w:w="60" w:type="dxa"/>
              <w:left w:w="70" w:type="dxa"/>
              <w:bottom w:w="60" w:type="dxa"/>
              <w:right w:w="70" w:type="dxa"/>
            </w:tcMar>
            <w:vAlign w:val="center"/>
          </w:tcPr>
          <w:p w14:paraId="0B49D7AB" w14:textId="77777777" w:rsidR="009A7901" w:rsidRDefault="009A7901">
            <w:pPr>
              <w:spacing w:line="240" w:lineRule="auto"/>
            </w:pPr>
            <w:r>
              <w:rPr>
                <w:rFonts w:eastAsia="Arial" w:cs="Arial"/>
                <w:sz w:val="15"/>
              </w:rPr>
              <w:t>60%</w:t>
            </w:r>
          </w:p>
        </w:tc>
        <w:tc>
          <w:tcPr>
            <w:tcW w:w="2777" w:type="dxa"/>
            <w:tcMar>
              <w:top w:w="60" w:type="dxa"/>
              <w:left w:w="70" w:type="dxa"/>
              <w:bottom w:w="60" w:type="dxa"/>
              <w:right w:w="70" w:type="dxa"/>
            </w:tcMar>
            <w:vAlign w:val="center"/>
          </w:tcPr>
          <w:p w14:paraId="2AE3798A" w14:textId="77777777" w:rsidR="009A7901" w:rsidRDefault="009A7901">
            <w:pPr>
              <w:spacing w:line="240" w:lineRule="auto"/>
            </w:pPr>
            <w:r>
              <w:rPr>
                <w:rFonts w:eastAsia="Arial" w:cs="Arial"/>
                <w:sz w:val="15"/>
              </w:rPr>
              <w:t>0.420</w:t>
            </w:r>
          </w:p>
        </w:tc>
      </w:tr>
      <w:tr w:rsidR="00F50919" w14:paraId="3C840BF1" w14:textId="77777777">
        <w:tc>
          <w:tcPr>
            <w:tcW w:w="2948" w:type="dxa"/>
            <w:tcMar>
              <w:top w:w="60" w:type="dxa"/>
              <w:left w:w="70" w:type="dxa"/>
              <w:bottom w:w="60" w:type="dxa"/>
              <w:right w:w="70" w:type="dxa"/>
            </w:tcMar>
            <w:vAlign w:val="center"/>
          </w:tcPr>
          <w:p w14:paraId="505CBC0A" w14:textId="77777777" w:rsidR="009A7901" w:rsidRDefault="009A7901">
            <w:pPr>
              <w:spacing w:line="240" w:lineRule="auto"/>
            </w:pPr>
            <w:r>
              <w:rPr>
                <w:rFonts w:eastAsia="Arial" w:cs="Arial"/>
                <w:sz w:val="15"/>
              </w:rPr>
              <w:t>Deprivation</w:t>
            </w:r>
          </w:p>
        </w:tc>
        <w:tc>
          <w:tcPr>
            <w:tcW w:w="2154" w:type="dxa"/>
            <w:tcMar>
              <w:top w:w="60" w:type="dxa"/>
              <w:left w:w="70" w:type="dxa"/>
              <w:bottom w:w="60" w:type="dxa"/>
              <w:right w:w="70" w:type="dxa"/>
            </w:tcMar>
            <w:vAlign w:val="center"/>
          </w:tcPr>
          <w:p w14:paraId="10A6AA45" w14:textId="77777777" w:rsidR="009A7901" w:rsidRDefault="009A7901">
            <w:pPr>
              <w:spacing w:line="240" w:lineRule="auto"/>
            </w:pPr>
            <w:r>
              <w:rPr>
                <w:rFonts w:eastAsia="Arial" w:cs="Arial"/>
                <w:sz w:val="15"/>
              </w:rPr>
              <w:t>0.80</w:t>
            </w:r>
          </w:p>
        </w:tc>
        <w:tc>
          <w:tcPr>
            <w:tcW w:w="1474" w:type="dxa"/>
            <w:tcMar>
              <w:top w:w="60" w:type="dxa"/>
              <w:left w:w="70" w:type="dxa"/>
              <w:bottom w:w="60" w:type="dxa"/>
              <w:right w:w="70" w:type="dxa"/>
            </w:tcMar>
            <w:vAlign w:val="center"/>
          </w:tcPr>
          <w:p w14:paraId="64DEDC5A" w14:textId="77777777" w:rsidR="009A7901" w:rsidRDefault="009A7901">
            <w:pPr>
              <w:spacing w:line="240" w:lineRule="auto"/>
            </w:pPr>
            <w:r>
              <w:rPr>
                <w:rFonts w:eastAsia="Arial" w:cs="Arial"/>
                <w:sz w:val="15"/>
              </w:rPr>
              <w:t>15%</w:t>
            </w:r>
          </w:p>
        </w:tc>
        <w:tc>
          <w:tcPr>
            <w:tcW w:w="2777" w:type="dxa"/>
            <w:tcMar>
              <w:top w:w="60" w:type="dxa"/>
              <w:left w:w="70" w:type="dxa"/>
              <w:bottom w:w="60" w:type="dxa"/>
              <w:right w:w="70" w:type="dxa"/>
            </w:tcMar>
            <w:vAlign w:val="center"/>
          </w:tcPr>
          <w:p w14:paraId="54B846E1" w14:textId="77777777" w:rsidR="009A7901" w:rsidRDefault="009A7901">
            <w:pPr>
              <w:spacing w:line="240" w:lineRule="auto"/>
            </w:pPr>
            <w:r>
              <w:rPr>
                <w:rFonts w:eastAsia="Arial" w:cs="Arial"/>
                <w:sz w:val="15"/>
              </w:rPr>
              <w:t>0.120</w:t>
            </w:r>
          </w:p>
        </w:tc>
      </w:tr>
      <w:tr w:rsidR="00F50919" w14:paraId="47C44074" w14:textId="77777777">
        <w:tc>
          <w:tcPr>
            <w:tcW w:w="2948" w:type="dxa"/>
            <w:tcMar>
              <w:top w:w="60" w:type="dxa"/>
              <w:left w:w="70" w:type="dxa"/>
              <w:bottom w:w="60" w:type="dxa"/>
              <w:right w:w="70" w:type="dxa"/>
            </w:tcMar>
            <w:vAlign w:val="center"/>
          </w:tcPr>
          <w:p w14:paraId="30CAED1A" w14:textId="77777777" w:rsidR="009A7901" w:rsidRDefault="009A7901">
            <w:pPr>
              <w:spacing w:line="240" w:lineRule="auto"/>
            </w:pPr>
            <w:r>
              <w:rPr>
                <w:rFonts w:eastAsia="Arial" w:cs="Arial"/>
                <w:sz w:val="15"/>
              </w:rPr>
              <w:t>Health need</w:t>
            </w:r>
          </w:p>
        </w:tc>
        <w:tc>
          <w:tcPr>
            <w:tcW w:w="2154" w:type="dxa"/>
            <w:tcMar>
              <w:top w:w="60" w:type="dxa"/>
              <w:left w:w="70" w:type="dxa"/>
              <w:bottom w:w="60" w:type="dxa"/>
              <w:right w:w="70" w:type="dxa"/>
            </w:tcMar>
            <w:vAlign w:val="center"/>
          </w:tcPr>
          <w:p w14:paraId="73F6BC09" w14:textId="77777777" w:rsidR="009A7901" w:rsidRDefault="009A7901">
            <w:pPr>
              <w:spacing w:line="240" w:lineRule="auto"/>
            </w:pPr>
            <w:r>
              <w:rPr>
                <w:rFonts w:eastAsia="Arial" w:cs="Arial"/>
                <w:sz w:val="15"/>
              </w:rPr>
              <w:t>0.60</w:t>
            </w:r>
          </w:p>
        </w:tc>
        <w:tc>
          <w:tcPr>
            <w:tcW w:w="1474" w:type="dxa"/>
            <w:tcMar>
              <w:top w:w="60" w:type="dxa"/>
              <w:left w:w="70" w:type="dxa"/>
              <w:bottom w:w="60" w:type="dxa"/>
              <w:right w:w="70" w:type="dxa"/>
            </w:tcMar>
            <w:vAlign w:val="center"/>
          </w:tcPr>
          <w:p w14:paraId="5B988AF2" w14:textId="77777777" w:rsidR="009A7901" w:rsidRDefault="009A7901">
            <w:pPr>
              <w:spacing w:line="240" w:lineRule="auto"/>
            </w:pPr>
            <w:r>
              <w:rPr>
                <w:rFonts w:eastAsia="Arial" w:cs="Arial"/>
                <w:sz w:val="15"/>
              </w:rPr>
              <w:t>15%</w:t>
            </w:r>
          </w:p>
        </w:tc>
        <w:tc>
          <w:tcPr>
            <w:tcW w:w="2777" w:type="dxa"/>
            <w:tcMar>
              <w:top w:w="60" w:type="dxa"/>
              <w:left w:w="70" w:type="dxa"/>
              <w:bottom w:w="60" w:type="dxa"/>
              <w:right w:w="70" w:type="dxa"/>
            </w:tcMar>
            <w:vAlign w:val="center"/>
          </w:tcPr>
          <w:p w14:paraId="0617527D" w14:textId="77777777" w:rsidR="009A7901" w:rsidRDefault="009A7901">
            <w:pPr>
              <w:spacing w:line="240" w:lineRule="auto"/>
            </w:pPr>
            <w:r>
              <w:rPr>
                <w:rFonts w:eastAsia="Arial" w:cs="Arial"/>
                <w:sz w:val="15"/>
              </w:rPr>
              <w:t>0.090</w:t>
            </w:r>
          </w:p>
        </w:tc>
      </w:tr>
      <w:tr w:rsidR="00F50919" w14:paraId="45709894" w14:textId="77777777">
        <w:tc>
          <w:tcPr>
            <w:tcW w:w="2948" w:type="dxa"/>
            <w:tcMar>
              <w:top w:w="60" w:type="dxa"/>
              <w:left w:w="70" w:type="dxa"/>
              <w:bottom w:w="60" w:type="dxa"/>
              <w:right w:w="70" w:type="dxa"/>
            </w:tcMar>
            <w:vAlign w:val="center"/>
          </w:tcPr>
          <w:p w14:paraId="4EE98113" w14:textId="77777777" w:rsidR="009A7901" w:rsidRDefault="009A7901">
            <w:pPr>
              <w:spacing w:line="240" w:lineRule="auto"/>
            </w:pPr>
            <w:r>
              <w:rPr>
                <w:rFonts w:eastAsia="Arial" w:cs="Arial"/>
                <w:sz w:val="15"/>
              </w:rPr>
              <w:t>Geographic constraint</w:t>
            </w:r>
          </w:p>
        </w:tc>
        <w:tc>
          <w:tcPr>
            <w:tcW w:w="2154" w:type="dxa"/>
            <w:tcMar>
              <w:top w:w="60" w:type="dxa"/>
              <w:left w:w="70" w:type="dxa"/>
              <w:bottom w:w="60" w:type="dxa"/>
              <w:right w:w="70" w:type="dxa"/>
            </w:tcMar>
            <w:vAlign w:val="center"/>
          </w:tcPr>
          <w:p w14:paraId="6F09950F" w14:textId="77777777" w:rsidR="009A7901" w:rsidRDefault="009A7901">
            <w:pPr>
              <w:spacing w:line="240" w:lineRule="auto"/>
            </w:pPr>
            <w:r>
              <w:rPr>
                <w:rFonts w:eastAsia="Arial" w:cs="Arial"/>
                <w:sz w:val="15"/>
              </w:rPr>
              <w:t>0.40</w:t>
            </w:r>
          </w:p>
        </w:tc>
        <w:tc>
          <w:tcPr>
            <w:tcW w:w="1474" w:type="dxa"/>
            <w:tcMar>
              <w:top w:w="60" w:type="dxa"/>
              <w:left w:w="70" w:type="dxa"/>
              <w:bottom w:w="60" w:type="dxa"/>
              <w:right w:w="70" w:type="dxa"/>
            </w:tcMar>
            <w:vAlign w:val="center"/>
          </w:tcPr>
          <w:p w14:paraId="5DA85483" w14:textId="77777777" w:rsidR="009A7901" w:rsidRDefault="009A7901">
            <w:pPr>
              <w:spacing w:line="240" w:lineRule="auto"/>
            </w:pPr>
            <w:r>
              <w:rPr>
                <w:rFonts w:eastAsia="Arial" w:cs="Arial"/>
                <w:sz w:val="15"/>
              </w:rPr>
              <w:t>5%</w:t>
            </w:r>
          </w:p>
        </w:tc>
        <w:tc>
          <w:tcPr>
            <w:tcW w:w="2777" w:type="dxa"/>
            <w:tcMar>
              <w:top w:w="60" w:type="dxa"/>
              <w:left w:w="70" w:type="dxa"/>
              <w:bottom w:w="60" w:type="dxa"/>
              <w:right w:w="70" w:type="dxa"/>
            </w:tcMar>
            <w:vAlign w:val="center"/>
          </w:tcPr>
          <w:p w14:paraId="1DBF0D5E" w14:textId="77777777" w:rsidR="009A7901" w:rsidRDefault="009A7901">
            <w:pPr>
              <w:spacing w:line="240" w:lineRule="auto"/>
            </w:pPr>
            <w:r>
              <w:rPr>
                <w:rFonts w:eastAsia="Arial" w:cs="Arial"/>
                <w:sz w:val="15"/>
              </w:rPr>
              <w:t>0.020</w:t>
            </w:r>
          </w:p>
        </w:tc>
      </w:tr>
      <w:tr w:rsidR="00F50919" w14:paraId="0C3CF6B8" w14:textId="77777777">
        <w:tc>
          <w:tcPr>
            <w:tcW w:w="2948" w:type="dxa"/>
            <w:tcMar>
              <w:top w:w="60" w:type="dxa"/>
              <w:left w:w="70" w:type="dxa"/>
              <w:bottom w:w="60" w:type="dxa"/>
              <w:right w:w="70" w:type="dxa"/>
            </w:tcMar>
            <w:vAlign w:val="center"/>
          </w:tcPr>
          <w:p w14:paraId="0B9A3FE8" w14:textId="77777777" w:rsidR="009A7901" w:rsidRDefault="009A7901">
            <w:pPr>
              <w:spacing w:line="240" w:lineRule="auto"/>
            </w:pPr>
            <w:r>
              <w:rPr>
                <w:rFonts w:eastAsia="Arial" w:cs="Arial"/>
                <w:sz w:val="15"/>
              </w:rPr>
              <w:t>Service-capacity gap</w:t>
            </w:r>
          </w:p>
        </w:tc>
        <w:tc>
          <w:tcPr>
            <w:tcW w:w="2154" w:type="dxa"/>
            <w:tcMar>
              <w:top w:w="60" w:type="dxa"/>
              <w:left w:w="70" w:type="dxa"/>
              <w:bottom w:w="60" w:type="dxa"/>
              <w:right w:w="70" w:type="dxa"/>
            </w:tcMar>
            <w:vAlign w:val="center"/>
          </w:tcPr>
          <w:p w14:paraId="37926E77" w14:textId="77777777" w:rsidR="009A7901" w:rsidRDefault="009A7901">
            <w:pPr>
              <w:spacing w:line="240" w:lineRule="auto"/>
            </w:pPr>
            <w:r>
              <w:rPr>
                <w:rFonts w:eastAsia="Arial" w:cs="Arial"/>
                <w:sz w:val="15"/>
              </w:rPr>
              <w:t>0.90</w:t>
            </w:r>
          </w:p>
        </w:tc>
        <w:tc>
          <w:tcPr>
            <w:tcW w:w="1474" w:type="dxa"/>
            <w:tcMar>
              <w:top w:w="60" w:type="dxa"/>
              <w:left w:w="70" w:type="dxa"/>
              <w:bottom w:w="60" w:type="dxa"/>
              <w:right w:w="70" w:type="dxa"/>
            </w:tcMar>
            <w:vAlign w:val="center"/>
          </w:tcPr>
          <w:p w14:paraId="07A49424" w14:textId="77777777" w:rsidR="009A7901" w:rsidRDefault="009A7901">
            <w:pPr>
              <w:spacing w:line="240" w:lineRule="auto"/>
            </w:pPr>
            <w:r>
              <w:rPr>
                <w:rFonts w:eastAsia="Arial" w:cs="Arial"/>
                <w:sz w:val="15"/>
              </w:rPr>
              <w:t>5%</w:t>
            </w:r>
          </w:p>
        </w:tc>
        <w:tc>
          <w:tcPr>
            <w:tcW w:w="2777" w:type="dxa"/>
            <w:tcMar>
              <w:top w:w="60" w:type="dxa"/>
              <w:left w:w="70" w:type="dxa"/>
              <w:bottom w:w="60" w:type="dxa"/>
              <w:right w:w="70" w:type="dxa"/>
            </w:tcMar>
            <w:vAlign w:val="center"/>
          </w:tcPr>
          <w:p w14:paraId="4FD3D270" w14:textId="77777777" w:rsidR="009A7901" w:rsidRDefault="009A7901">
            <w:pPr>
              <w:spacing w:line="240" w:lineRule="auto"/>
            </w:pPr>
            <w:r>
              <w:rPr>
                <w:rFonts w:eastAsia="Arial" w:cs="Arial"/>
                <w:sz w:val="15"/>
              </w:rPr>
              <w:t>0.045</w:t>
            </w:r>
          </w:p>
        </w:tc>
      </w:tr>
      <w:tr w:rsidR="00F50919" w14:paraId="708B9D42" w14:textId="77777777">
        <w:tc>
          <w:tcPr>
            <w:tcW w:w="2948" w:type="dxa"/>
            <w:tcMar>
              <w:top w:w="60" w:type="dxa"/>
              <w:left w:w="70" w:type="dxa"/>
              <w:bottom w:w="60" w:type="dxa"/>
              <w:right w:w="70" w:type="dxa"/>
            </w:tcMar>
            <w:vAlign w:val="center"/>
          </w:tcPr>
          <w:p w14:paraId="19D1B721" w14:textId="77777777" w:rsidR="009A7901" w:rsidRDefault="009A7901">
            <w:pPr>
              <w:spacing w:line="240" w:lineRule="auto"/>
            </w:pPr>
            <w:r>
              <w:rPr>
                <w:rFonts w:eastAsia="Arial" w:cs="Arial"/>
                <w:sz w:val="15"/>
              </w:rPr>
              <w:t>Priority score (a</w:t>
            </w:r>
            <w:r>
              <w:rPr>
                <w:rFonts w:eastAsia="Arial" w:cs="Arial"/>
                <w:sz w:val="15"/>
              </w:rPr>
              <w:t>ᵢ</w:t>
            </w:r>
            <w:r>
              <w:rPr>
                <w:rFonts w:eastAsia="Arial" w:cs="Arial"/>
                <w:sz w:val="15"/>
              </w:rPr>
              <w:t>)</w:t>
            </w:r>
          </w:p>
        </w:tc>
        <w:tc>
          <w:tcPr>
            <w:tcW w:w="2154" w:type="dxa"/>
            <w:tcMar>
              <w:top w:w="60" w:type="dxa"/>
              <w:left w:w="70" w:type="dxa"/>
              <w:bottom w:w="60" w:type="dxa"/>
              <w:right w:w="70" w:type="dxa"/>
            </w:tcMar>
            <w:vAlign w:val="center"/>
          </w:tcPr>
          <w:p w14:paraId="1D6B2F01" w14:textId="77777777" w:rsidR="009A7901" w:rsidRDefault="009A7901">
            <w:pPr>
              <w:spacing w:line="240" w:lineRule="auto"/>
            </w:pPr>
          </w:p>
        </w:tc>
        <w:tc>
          <w:tcPr>
            <w:tcW w:w="1474" w:type="dxa"/>
            <w:tcMar>
              <w:top w:w="60" w:type="dxa"/>
              <w:left w:w="70" w:type="dxa"/>
              <w:bottom w:w="60" w:type="dxa"/>
              <w:right w:w="70" w:type="dxa"/>
            </w:tcMar>
            <w:vAlign w:val="center"/>
          </w:tcPr>
          <w:p w14:paraId="33F6EDD0" w14:textId="77777777" w:rsidR="009A7901" w:rsidRDefault="009A7901">
            <w:pPr>
              <w:spacing w:line="240" w:lineRule="auto"/>
            </w:pPr>
          </w:p>
        </w:tc>
        <w:tc>
          <w:tcPr>
            <w:tcW w:w="2777" w:type="dxa"/>
            <w:tcMar>
              <w:top w:w="60" w:type="dxa"/>
              <w:left w:w="70" w:type="dxa"/>
              <w:bottom w:w="60" w:type="dxa"/>
              <w:right w:w="70" w:type="dxa"/>
            </w:tcMar>
            <w:vAlign w:val="center"/>
          </w:tcPr>
          <w:p w14:paraId="230E2419" w14:textId="77777777" w:rsidR="009A7901" w:rsidRDefault="009A7901">
            <w:pPr>
              <w:spacing w:line="240" w:lineRule="auto"/>
            </w:pPr>
            <w:r>
              <w:rPr>
                <w:rFonts w:eastAsia="Arial" w:cs="Arial"/>
                <w:sz w:val="15"/>
              </w:rPr>
              <w:t>0.695</w:t>
            </w:r>
          </w:p>
        </w:tc>
      </w:tr>
    </w:tbl>
    <w:p w14:paraId="371CE670" w14:textId="77777777" w:rsidR="009A7901" w:rsidRDefault="009A7901">
      <w:pPr>
        <w:pStyle w:val="Lgende"/>
      </w:pPr>
      <w:r>
        <w:rPr>
          <w:rFonts w:eastAsia="Arial" w:cs="Arial"/>
        </w:rPr>
        <w:t>Note: Values are hypothetical and demonstrate the arithmetic only. They are not empirical estimates for any Senegalese district.</w:t>
      </w:r>
    </w:p>
    <w:p w14:paraId="6AC11B18" w14:textId="77777777" w:rsidR="009A7901" w:rsidRDefault="009A7901">
      <w:pPr>
        <w:pStyle w:val="Titre3"/>
      </w:pPr>
      <w:r>
        <w:rPr>
          <w:rFonts w:ascii="Arial" w:eastAsia="Arial" w:hAnsi="Arial" w:cs="Arial"/>
        </w:rPr>
        <w:t>Transition, safeguards and budget neutrality</w:t>
      </w:r>
    </w:p>
    <w:p w14:paraId="0D3961B5" w14:textId="77777777" w:rsidR="009A7901" w:rsidRDefault="009A7901">
      <w:r>
        <w:rPr>
          <w:rFonts w:eastAsia="Arial" w:cs="Arial"/>
        </w:rPr>
        <w:t>Immediate implementation of the needs-based target could generate large gains and losses relative to historical budgets. The recommended integrated model therefore combines the previous-year allocation, the minimum operating allocation and the weighted needs-based component within the fixed national envelope:</w:t>
      </w:r>
    </w:p>
    <w:p w14:paraId="6D660523" w14:textId="77777777" w:rsidR="009A7901" w:rsidRDefault="009A7901">
      <w:pPr>
        <w:jc w:val="center"/>
      </w:pPr>
      <w:r>
        <w:rPr>
          <w:rFonts w:eastAsia="Arial" w:cs="Arial"/>
        </w:rPr>
        <w:t>h</w:t>
      </w:r>
      <w:r>
        <w:rPr>
          <w:rFonts w:eastAsia="Arial" w:cs="Arial"/>
        </w:rPr>
        <w:t>ᵢ</w:t>
      </w:r>
      <w:r>
        <w:rPr>
          <w:rFonts w:eastAsia="Arial" w:cs="Arial"/>
        </w:rPr>
        <w:t>,ₜ = B</w:t>
      </w:r>
      <w:r>
        <w:rPr>
          <w:rFonts w:eastAsia="Arial" w:cs="Arial"/>
        </w:rPr>
        <w:t>ᵢ</w:t>
      </w:r>
      <w:r>
        <w:rPr>
          <w:rFonts w:eastAsia="Arial" w:cs="Arial"/>
        </w:rPr>
        <w:t>,ₜ₋₁ / ΣⱼBⱼ,ₜ₋₁</w:t>
      </w:r>
    </w:p>
    <w:p w14:paraId="7DE00C3E" w14:textId="77777777" w:rsidR="009A7901" w:rsidRDefault="009A7901">
      <w:pPr>
        <w:jc w:val="center"/>
      </w:pPr>
      <w:r>
        <w:rPr>
          <w:rFonts w:eastAsia="Arial" w:cs="Arial"/>
        </w:rPr>
        <w:t>B</w:t>
      </w:r>
      <w:r>
        <w:rPr>
          <w:rFonts w:eastAsia="Arial" w:cs="Arial"/>
        </w:rPr>
        <w:t>ᵀᵢ</w:t>
      </w:r>
      <w:r>
        <w:rPr>
          <w:rFonts w:eastAsia="Arial" w:cs="Arial"/>
        </w:rPr>
        <w:t>,ₜ = Eₜ[(1 − λₜ)h</w:t>
      </w:r>
      <w:r>
        <w:rPr>
          <w:rFonts w:eastAsia="Arial" w:cs="Arial"/>
        </w:rPr>
        <w:t>ᵢ</w:t>
      </w:r>
      <w:r>
        <w:rPr>
          <w:rFonts w:eastAsia="Arial" w:cs="Arial"/>
        </w:rPr>
        <w:t>,ₜ + λₜ{θ/N + (1 − θ)[wₚp</w:t>
      </w:r>
      <w:r>
        <w:rPr>
          <w:rFonts w:eastAsia="Arial" w:cs="Arial"/>
        </w:rPr>
        <w:t>ᵢ</w:t>
      </w:r>
      <w:r>
        <w:rPr>
          <w:rFonts w:eastAsia="Arial" w:cs="Arial"/>
        </w:rPr>
        <w:t>,ₜ + w</w:t>
      </w:r>
      <w:r>
        <w:rPr>
          <w:rFonts w:eastAsia="Arial" w:cs="Arial"/>
        </w:rPr>
        <w:t>ᴅ</w:t>
      </w:r>
      <w:r>
        <w:rPr>
          <w:rFonts w:eastAsia="Arial" w:cs="Arial"/>
        </w:rPr>
        <w:t>d</w:t>
      </w:r>
      <w:r>
        <w:rPr>
          <w:rFonts w:eastAsia="Arial" w:cs="Arial"/>
        </w:rPr>
        <w:t>ᵢ</w:t>
      </w:r>
      <w:r>
        <w:rPr>
          <w:rFonts w:eastAsia="Arial" w:cs="Arial"/>
        </w:rPr>
        <w:t>,ₜ + wₙn</w:t>
      </w:r>
      <w:r>
        <w:rPr>
          <w:rFonts w:eastAsia="Arial" w:cs="Arial"/>
        </w:rPr>
        <w:t>ᵢ</w:t>
      </w:r>
      <w:r>
        <w:rPr>
          <w:rFonts w:eastAsia="Arial" w:cs="Arial"/>
        </w:rPr>
        <w:t>,ₜ + w</w:t>
      </w:r>
      <w:r>
        <w:rPr>
          <w:rFonts w:eastAsia="Arial" w:cs="Arial"/>
        </w:rPr>
        <w:t>ɢ</w:t>
      </w:r>
      <w:r>
        <w:rPr>
          <w:rFonts w:eastAsia="Arial" w:cs="Arial"/>
        </w:rPr>
        <w:t>g</w:t>
      </w:r>
      <w:r>
        <w:rPr>
          <w:rFonts w:eastAsia="Arial" w:cs="Arial"/>
        </w:rPr>
        <w:t>ᵢ</w:t>
      </w:r>
      <w:r>
        <w:rPr>
          <w:rFonts w:eastAsia="Arial" w:cs="Arial"/>
        </w:rPr>
        <w:t>,ₜ + wₛs</w:t>
      </w:r>
      <w:r>
        <w:rPr>
          <w:rFonts w:eastAsia="Arial" w:cs="Arial"/>
        </w:rPr>
        <w:t>ᵢ</w:t>
      </w:r>
      <w:r>
        <w:rPr>
          <w:rFonts w:eastAsia="Arial" w:cs="Arial"/>
        </w:rPr>
        <w:t>,ₜ]}]</w:t>
      </w:r>
    </w:p>
    <w:p w14:paraId="1742A288" w14:textId="77777777" w:rsidR="009A7901" w:rsidRDefault="009A7901">
      <w:r>
        <w:rPr>
          <w:rFonts w:eastAsia="Arial" w:cs="Arial"/>
        </w:rPr>
        <w:t>Using the illustrative parameters proposed in this study, the integrated allocation rule becomes:</w:t>
      </w:r>
    </w:p>
    <w:p w14:paraId="7262068E" w14:textId="77777777" w:rsidR="009A7901" w:rsidRDefault="009A7901">
      <w:pPr>
        <w:jc w:val="center"/>
      </w:pPr>
      <w:r>
        <w:rPr>
          <w:rFonts w:eastAsia="Arial" w:cs="Arial"/>
        </w:rPr>
        <w:t>B</w:t>
      </w:r>
      <w:r>
        <w:rPr>
          <w:rFonts w:eastAsia="Arial" w:cs="Arial"/>
        </w:rPr>
        <w:t>ᵀᵢ</w:t>
      </w:r>
      <w:r>
        <w:rPr>
          <w:rFonts w:eastAsia="Arial" w:cs="Arial"/>
        </w:rPr>
        <w:t>,ₜ = Eₜ[(1 − λₜ)h</w:t>
      </w:r>
      <w:r>
        <w:rPr>
          <w:rFonts w:eastAsia="Arial" w:cs="Arial"/>
        </w:rPr>
        <w:t>ᵢ</w:t>
      </w:r>
      <w:r>
        <w:rPr>
          <w:rFonts w:eastAsia="Arial" w:cs="Arial"/>
        </w:rPr>
        <w:t>,ₜ + λₜ{0.20/N + 0.80[0.60p</w:t>
      </w:r>
      <w:r>
        <w:rPr>
          <w:rFonts w:eastAsia="Arial" w:cs="Arial"/>
        </w:rPr>
        <w:t>ᵢ</w:t>
      </w:r>
      <w:r>
        <w:rPr>
          <w:rFonts w:eastAsia="Arial" w:cs="Arial"/>
        </w:rPr>
        <w:t>,ₜ + 0.15d</w:t>
      </w:r>
      <w:r>
        <w:rPr>
          <w:rFonts w:eastAsia="Arial" w:cs="Arial"/>
        </w:rPr>
        <w:t>ᵢ</w:t>
      </w:r>
      <w:r>
        <w:rPr>
          <w:rFonts w:eastAsia="Arial" w:cs="Arial"/>
        </w:rPr>
        <w:t>,ₜ + 0.15n</w:t>
      </w:r>
      <w:r>
        <w:rPr>
          <w:rFonts w:eastAsia="Arial" w:cs="Arial"/>
        </w:rPr>
        <w:t>ᵢ</w:t>
      </w:r>
      <w:r>
        <w:rPr>
          <w:rFonts w:eastAsia="Arial" w:cs="Arial"/>
        </w:rPr>
        <w:t>,ₜ + 0.05g</w:t>
      </w:r>
      <w:r>
        <w:rPr>
          <w:rFonts w:eastAsia="Arial" w:cs="Arial"/>
        </w:rPr>
        <w:t>ᵢ</w:t>
      </w:r>
      <w:r>
        <w:rPr>
          <w:rFonts w:eastAsia="Arial" w:cs="Arial"/>
        </w:rPr>
        <w:t>,ₜ + 0.05s</w:t>
      </w:r>
      <w:r>
        <w:rPr>
          <w:rFonts w:eastAsia="Arial" w:cs="Arial"/>
        </w:rPr>
        <w:t>ᵢ</w:t>
      </w:r>
      <w:r>
        <w:rPr>
          <w:rFonts w:eastAsia="Arial" w:cs="Arial"/>
        </w:rPr>
        <w:t>,ₜ]}]</w:t>
      </w:r>
    </w:p>
    <w:p w14:paraId="35A27CE8" w14:textId="77777777" w:rsidR="009A7901" w:rsidRDefault="009A7901">
      <w:pPr>
        <w:pStyle w:val="Titre3"/>
      </w:pPr>
      <w:r>
        <w:rPr>
          <w:rFonts w:ascii="Arial" w:eastAsia="Arial" w:hAnsi="Arial" w:cs="Arial"/>
        </w:rPr>
        <w:t>Definition of the variables in the integrated model</w:t>
      </w:r>
    </w:p>
    <w:p w14:paraId="359EABEB" w14:textId="77777777" w:rsidR="009A7901" w:rsidRDefault="009A7901">
      <w:pPr>
        <w:pStyle w:val="Listepuces"/>
      </w:pPr>
      <w:r>
        <w:rPr>
          <w:rFonts w:eastAsia="Arial" w:cs="Arial"/>
          <w:b/>
        </w:rPr>
        <w:t>i</w:t>
      </w:r>
      <w:r>
        <w:rPr>
          <w:rFonts w:eastAsia="Arial" w:cs="Arial"/>
        </w:rPr>
        <w:t xml:space="preserve"> identifies the health district.</w:t>
      </w:r>
    </w:p>
    <w:p w14:paraId="233635D5" w14:textId="77777777" w:rsidR="009A7901" w:rsidRDefault="009A7901">
      <w:pPr>
        <w:pStyle w:val="Listepuces"/>
      </w:pPr>
      <w:r>
        <w:rPr>
          <w:rFonts w:eastAsia="Arial" w:cs="Arial"/>
          <w:b/>
        </w:rPr>
        <w:t>t</w:t>
      </w:r>
      <w:r>
        <w:rPr>
          <w:rFonts w:eastAsia="Arial" w:cs="Arial"/>
        </w:rPr>
        <w:t xml:space="preserve"> identifies the budget year.</w:t>
      </w:r>
    </w:p>
    <w:p w14:paraId="71BBEF96" w14:textId="77777777" w:rsidR="009A7901" w:rsidRDefault="009A7901">
      <w:pPr>
        <w:pStyle w:val="Listepuces"/>
      </w:pPr>
      <w:r>
        <w:rPr>
          <w:rFonts w:eastAsia="Arial" w:cs="Arial"/>
          <w:b/>
        </w:rPr>
        <w:t>B</w:t>
      </w:r>
      <w:r>
        <w:rPr>
          <w:rFonts w:eastAsia="Arial" w:cs="Arial"/>
          <w:b/>
        </w:rPr>
        <w:t>ᵀᵢ</w:t>
      </w:r>
      <w:r>
        <w:rPr>
          <w:rFonts w:eastAsia="Arial" w:cs="Arial"/>
          <w:b/>
        </w:rPr>
        <w:t>,ₜ</w:t>
      </w:r>
      <w:r>
        <w:rPr>
          <w:rFonts w:eastAsia="Arial" w:cs="Arial"/>
        </w:rPr>
        <w:t xml:space="preserve"> is the transitional allocation assigned to district i in year t. It is the amount obtained after combining the previous-year budget with the new needs-based target.</w:t>
      </w:r>
    </w:p>
    <w:p w14:paraId="51E34B12" w14:textId="77777777" w:rsidR="009A7901" w:rsidRDefault="009A7901">
      <w:pPr>
        <w:pStyle w:val="Listepuces"/>
      </w:pPr>
      <w:r>
        <w:rPr>
          <w:rFonts w:eastAsia="Arial" w:cs="Arial"/>
          <w:b/>
        </w:rPr>
        <w:t>B</w:t>
      </w:r>
      <w:r>
        <w:rPr>
          <w:rFonts w:eastAsia="Arial" w:cs="Arial"/>
          <w:b/>
        </w:rPr>
        <w:t>ᵢ</w:t>
      </w:r>
      <w:r>
        <w:rPr>
          <w:rFonts w:eastAsia="Arial" w:cs="Arial"/>
          <w:b/>
        </w:rPr>
        <w:t>,ₜ₋₁</w:t>
      </w:r>
      <w:r>
        <w:rPr>
          <w:rFonts w:eastAsia="Arial" w:cs="Arial"/>
        </w:rPr>
        <w:t xml:space="preserve"> is the allocation assigned to district i in the previous year. It is used to calculate the district’s historical budget share.</w:t>
      </w:r>
    </w:p>
    <w:p w14:paraId="17C3DBDD" w14:textId="77777777" w:rsidR="009A7901" w:rsidRDefault="009A7901">
      <w:pPr>
        <w:pStyle w:val="Listepuces"/>
      </w:pPr>
      <w:r>
        <w:rPr>
          <w:rFonts w:eastAsia="Arial" w:cs="Arial"/>
          <w:b/>
        </w:rPr>
        <w:t>h</w:t>
      </w:r>
      <w:r>
        <w:rPr>
          <w:rFonts w:eastAsia="Arial" w:cs="Arial"/>
          <w:b/>
        </w:rPr>
        <w:t>ᵢ</w:t>
      </w:r>
      <w:r>
        <w:rPr>
          <w:rFonts w:eastAsia="Arial" w:cs="Arial"/>
          <w:b/>
        </w:rPr>
        <w:t>,ₜ</w:t>
      </w:r>
      <w:r>
        <w:rPr>
          <w:rFonts w:eastAsia="Arial" w:cs="Arial"/>
        </w:rPr>
        <w:t xml:space="preserve"> is district i’s share of the total district envelope in the previous year, calculated as B</w:t>
      </w:r>
      <w:r>
        <w:rPr>
          <w:rFonts w:eastAsia="Arial" w:cs="Arial"/>
        </w:rPr>
        <w:t>ᵢ</w:t>
      </w:r>
      <w:r>
        <w:rPr>
          <w:rFonts w:eastAsia="Arial" w:cs="Arial"/>
        </w:rPr>
        <w:t>,ₜ₋₁ divided by the sum of previous-year allocations across all districts. Applying this share to Eₜ preserves the historical distribution while adjusting it to the envelope available in year t.</w:t>
      </w:r>
    </w:p>
    <w:p w14:paraId="4FD67D75" w14:textId="77777777" w:rsidR="009A7901" w:rsidRDefault="009A7901">
      <w:pPr>
        <w:pStyle w:val="Listepuces"/>
      </w:pPr>
      <w:r>
        <w:rPr>
          <w:rFonts w:eastAsia="Arial" w:cs="Arial"/>
          <w:b/>
        </w:rPr>
        <w:t>Eₜ</w:t>
      </w:r>
      <w:r>
        <w:rPr>
          <w:rFonts w:eastAsia="Arial" w:cs="Arial"/>
        </w:rPr>
        <w:t xml:space="preserve"> is the total national budget envelope available for distribution across all eligible health districts in year t.</w:t>
      </w:r>
    </w:p>
    <w:p w14:paraId="7297D8FA" w14:textId="77777777" w:rsidR="009A7901" w:rsidRDefault="009A7901">
      <w:pPr>
        <w:pStyle w:val="Listepuces"/>
      </w:pPr>
      <w:r>
        <w:rPr>
          <w:rFonts w:eastAsia="Arial" w:cs="Arial"/>
          <w:b/>
        </w:rPr>
        <w:t>N</w:t>
      </w:r>
      <w:r>
        <w:rPr>
          <w:rFonts w:eastAsia="Arial" w:cs="Arial"/>
        </w:rPr>
        <w:t xml:space="preserve"> is the number of eligible health districts. The expression Eₜ/N is the equal per-district amount before needs-based adjustments.</w:t>
      </w:r>
    </w:p>
    <w:p w14:paraId="466BE91A" w14:textId="77777777" w:rsidR="009A7901" w:rsidRDefault="009A7901">
      <w:pPr>
        <w:pStyle w:val="Listepuces"/>
      </w:pPr>
      <w:r>
        <w:rPr>
          <w:rFonts w:eastAsia="Arial" w:cs="Arial"/>
          <w:b/>
        </w:rPr>
        <w:lastRenderedPageBreak/>
        <w:t>θ</w:t>
      </w:r>
      <w:r>
        <w:rPr>
          <w:rFonts w:eastAsia="Arial" w:cs="Arial"/>
        </w:rPr>
        <w:t xml:space="preserve"> is the proportion of Eₜ reserved for the equal minimum operating allocation. The illustrative value θ=0.20 reserves 20% of the envelope for functions required in every district.</w:t>
      </w:r>
    </w:p>
    <w:p w14:paraId="34DA7512" w14:textId="77777777" w:rsidR="009A7901" w:rsidRDefault="009A7901">
      <w:pPr>
        <w:pStyle w:val="Listepuces"/>
      </w:pPr>
      <w:r>
        <w:rPr>
          <w:rFonts w:eastAsia="Arial" w:cs="Arial"/>
          <w:b/>
        </w:rPr>
        <w:t>1−θ</w:t>
      </w:r>
      <w:r>
        <w:rPr>
          <w:rFonts w:eastAsia="Arial" w:cs="Arial"/>
        </w:rPr>
        <w:t xml:space="preserve"> is the proportion distributed through the needs-based component. With θ=0.20, the remaining 80% of the envelope is allocated according to relative need and unavoidable cost.</w:t>
      </w:r>
    </w:p>
    <w:p w14:paraId="3BC9F939" w14:textId="77777777" w:rsidR="009A7901" w:rsidRDefault="009A7901">
      <w:pPr>
        <w:pStyle w:val="Listepuces"/>
      </w:pPr>
      <w:r>
        <w:rPr>
          <w:rFonts w:eastAsia="Arial" w:cs="Arial"/>
          <w:b/>
        </w:rPr>
        <w:t>λₜ</w:t>
      </w:r>
      <w:r>
        <w:rPr>
          <w:rFonts w:eastAsia="Arial" w:cs="Arial"/>
        </w:rPr>
        <w:t xml:space="preserve"> is the annual convergence parameter and ranges from zero to one. It determines how quickly the system moves from the historical allocation to the needs-based target.</w:t>
      </w:r>
    </w:p>
    <w:p w14:paraId="4E6AD6B3" w14:textId="77777777" w:rsidR="009A7901" w:rsidRDefault="009A7901">
      <w:pPr>
        <w:pStyle w:val="Listepuces"/>
      </w:pPr>
      <w:r>
        <w:rPr>
          <w:rFonts w:eastAsia="Arial" w:cs="Arial"/>
          <w:b/>
        </w:rPr>
        <w:t>1−λₜ</w:t>
      </w:r>
      <w:r>
        <w:rPr>
          <w:rFonts w:eastAsia="Arial" w:cs="Arial"/>
        </w:rPr>
        <w:t xml:space="preserve"> is the proportion of the transitional allocation that remains linked to the previous-year budget.</w:t>
      </w:r>
    </w:p>
    <w:p w14:paraId="73BB6671" w14:textId="77777777" w:rsidR="009A7901" w:rsidRDefault="009A7901">
      <w:pPr>
        <w:pStyle w:val="Listepuces"/>
      </w:pPr>
      <w:r>
        <w:rPr>
          <w:rFonts w:eastAsia="Arial" w:cs="Arial"/>
          <w:b/>
        </w:rPr>
        <w:t>p</w:t>
      </w:r>
      <w:r>
        <w:rPr>
          <w:rFonts w:eastAsia="Arial" w:cs="Arial"/>
          <w:b/>
        </w:rPr>
        <w:t>ᵢ</w:t>
      </w:r>
      <w:r>
        <w:rPr>
          <w:rFonts w:eastAsia="Arial" w:cs="Arial"/>
          <w:b/>
        </w:rPr>
        <w:t>,ₜ</w:t>
      </w:r>
      <w:r>
        <w:rPr>
          <w:rFonts w:eastAsia="Arial" w:cs="Arial"/>
        </w:rPr>
        <w:t xml:space="preserve"> is district i’s share of the total population in year t. A district containing 5% of the total population has p</w:t>
      </w:r>
      <w:r>
        <w:rPr>
          <w:rFonts w:eastAsia="Arial" w:cs="Arial"/>
        </w:rPr>
        <w:t>ᵢ</w:t>
      </w:r>
      <w:r>
        <w:rPr>
          <w:rFonts w:eastAsia="Arial" w:cs="Arial"/>
        </w:rPr>
        <w:t>,ₜ=0.05.</w:t>
      </w:r>
    </w:p>
    <w:p w14:paraId="7755FFF3" w14:textId="77777777" w:rsidR="009A7901" w:rsidRDefault="009A7901">
      <w:pPr>
        <w:pStyle w:val="Listepuces"/>
      </w:pPr>
      <w:r>
        <w:rPr>
          <w:rFonts w:eastAsia="Arial" w:cs="Arial"/>
          <w:b/>
        </w:rPr>
        <w:t>d</w:t>
      </w:r>
      <w:r>
        <w:rPr>
          <w:rFonts w:eastAsia="Arial" w:cs="Arial"/>
          <w:b/>
        </w:rPr>
        <w:t>ᵢ</w:t>
      </w:r>
      <w:r>
        <w:rPr>
          <w:rFonts w:eastAsia="Arial" w:cs="Arial"/>
          <w:b/>
        </w:rPr>
        <w:t>,ₜ</w:t>
      </w:r>
      <w:r>
        <w:rPr>
          <w:rFonts w:eastAsia="Arial" w:cs="Arial"/>
        </w:rPr>
        <w:t xml:space="preserve"> is district i’s normalized share of socioeconomic deprivation. A higher value indicates greater deprivation and a larger claim on the needs-based pool.</w:t>
      </w:r>
    </w:p>
    <w:p w14:paraId="3948F3B4" w14:textId="77777777" w:rsidR="009A7901" w:rsidRDefault="009A7901">
      <w:pPr>
        <w:pStyle w:val="Listepuces"/>
      </w:pPr>
      <w:r>
        <w:rPr>
          <w:rFonts w:eastAsia="Arial" w:cs="Arial"/>
          <w:b/>
        </w:rPr>
        <w:t>n</w:t>
      </w:r>
      <w:r>
        <w:rPr>
          <w:rFonts w:eastAsia="Arial" w:cs="Arial"/>
          <w:b/>
        </w:rPr>
        <w:t>ᵢ</w:t>
      </w:r>
      <w:r>
        <w:rPr>
          <w:rFonts w:eastAsia="Arial" w:cs="Arial"/>
          <w:b/>
        </w:rPr>
        <w:t>,ₜ</w:t>
      </w:r>
      <w:r>
        <w:rPr>
          <w:rFonts w:eastAsia="Arial" w:cs="Arial"/>
        </w:rPr>
        <w:t xml:space="preserve"> is district i’s normalized share of health need. It may initially combine under-five mortality and childhood stunting and may later incorporate other validated burden indicators.</w:t>
      </w:r>
    </w:p>
    <w:p w14:paraId="3EBA25EB" w14:textId="77777777" w:rsidR="009A7901" w:rsidRDefault="009A7901">
      <w:pPr>
        <w:pStyle w:val="Listepuces"/>
      </w:pPr>
      <w:r>
        <w:rPr>
          <w:rFonts w:eastAsia="Arial" w:cs="Arial"/>
          <w:b/>
        </w:rPr>
        <w:t>g</w:t>
      </w:r>
      <w:r>
        <w:rPr>
          <w:rFonts w:eastAsia="Arial" w:cs="Arial"/>
          <w:b/>
        </w:rPr>
        <w:t>ᵢ</w:t>
      </w:r>
      <w:r>
        <w:rPr>
          <w:rFonts w:eastAsia="Arial" w:cs="Arial"/>
          <w:b/>
        </w:rPr>
        <w:t>,ₜ</w:t>
      </w:r>
      <w:r>
        <w:rPr>
          <w:rFonts w:eastAsia="Arial" w:cs="Arial"/>
        </w:rPr>
        <w:t xml:space="preserve"> is district i’s normalized share of unavoidable geographic cost, including area, dispersion, remoteness, travel time, insularity and verified transport costs.</w:t>
      </w:r>
    </w:p>
    <w:p w14:paraId="064D86EF" w14:textId="77777777" w:rsidR="009A7901" w:rsidRDefault="009A7901">
      <w:pPr>
        <w:pStyle w:val="Listepuces"/>
      </w:pPr>
      <w:r>
        <w:rPr>
          <w:rFonts w:eastAsia="Arial" w:cs="Arial"/>
          <w:b/>
        </w:rPr>
        <w:t>s</w:t>
      </w:r>
      <w:r>
        <w:rPr>
          <w:rFonts w:eastAsia="Arial" w:cs="Arial"/>
          <w:b/>
        </w:rPr>
        <w:t>ᵢ</w:t>
      </w:r>
      <w:r>
        <w:rPr>
          <w:rFonts w:eastAsia="Arial" w:cs="Arial"/>
          <w:b/>
        </w:rPr>
        <w:t>,ₜ</w:t>
      </w:r>
      <w:r>
        <w:rPr>
          <w:rFonts w:eastAsia="Arial" w:cs="Arial"/>
        </w:rPr>
        <w:t xml:space="preserve"> is district i’s normalized share of the service-capacity gap. It may reflect inhabitants per health centre and, when reliable data become available, shortages in facilities, staffing or readiness.</w:t>
      </w:r>
    </w:p>
    <w:p w14:paraId="673E3B24" w14:textId="77777777" w:rsidR="009A7901" w:rsidRDefault="009A7901">
      <w:pPr>
        <w:pStyle w:val="Listepuces"/>
      </w:pPr>
      <w:r>
        <w:rPr>
          <w:rFonts w:eastAsia="Arial" w:cs="Arial"/>
          <w:b/>
        </w:rPr>
        <w:t>wₚ, w</w:t>
      </w:r>
      <w:r>
        <w:rPr>
          <w:rFonts w:eastAsia="Arial" w:cs="Arial"/>
          <w:b/>
        </w:rPr>
        <w:t>ᴅ</w:t>
      </w:r>
      <w:r>
        <w:rPr>
          <w:rFonts w:eastAsia="Arial" w:cs="Arial"/>
          <w:b/>
        </w:rPr>
        <w:t>, wₙ, w</w:t>
      </w:r>
      <w:r>
        <w:rPr>
          <w:rFonts w:eastAsia="Arial" w:cs="Arial"/>
          <w:b/>
        </w:rPr>
        <w:t>ɢ</w:t>
      </w:r>
      <w:r>
        <w:rPr>
          <w:rFonts w:eastAsia="Arial" w:cs="Arial"/>
          <w:b/>
        </w:rPr>
        <w:t xml:space="preserve"> and wₛ</w:t>
      </w:r>
      <w:r>
        <w:rPr>
          <w:rFonts w:eastAsia="Arial" w:cs="Arial"/>
        </w:rPr>
        <w:t xml:space="preserve"> are the weights assigned to population, deprivation, health need, geographic cost and the service-capacity gap. They must sum to one.</w:t>
      </w:r>
    </w:p>
    <w:p w14:paraId="596FB662" w14:textId="77777777" w:rsidR="009A7901" w:rsidRDefault="009A7901">
      <w:r>
        <w:rPr>
          <w:rFonts w:eastAsia="Arial" w:cs="Arial"/>
        </w:rPr>
        <w:t>The illustrative weights are wₚ=0.60, w</w:t>
      </w:r>
      <w:r>
        <w:rPr>
          <w:rFonts w:eastAsia="Arial" w:cs="Arial"/>
        </w:rPr>
        <w:t>ᴅ</w:t>
      </w:r>
      <w:r>
        <w:rPr>
          <w:rFonts w:eastAsia="Arial" w:cs="Arial"/>
        </w:rPr>
        <w:t>=0.15, wₙ=0.15, w</w:t>
      </w:r>
      <w:r>
        <w:rPr>
          <w:rFonts w:eastAsia="Arial" w:cs="Arial"/>
        </w:rPr>
        <w:t>ɢ</w:t>
      </w:r>
      <w:r>
        <w:rPr>
          <w:rFonts w:eastAsia="Arial" w:cs="Arial"/>
        </w:rPr>
        <w:t>=0.05 and wₛ=0.05. Population therefore represents 60% of the needs-based component; deprivation and health need each represent 15%; and geographic cost and the service-capacity gap each represent 5%. These are policy parameters for simulation and consultation, not coefficients estimated from Models M1–M7.</w:t>
      </w:r>
    </w:p>
    <w:p w14:paraId="2DB4B36E" w14:textId="77777777" w:rsidR="009A7901" w:rsidRDefault="009A7901">
      <w:pPr>
        <w:pStyle w:val="Titre3"/>
      </w:pPr>
      <w:r>
        <w:rPr>
          <w:rFonts w:ascii="Arial" w:eastAsia="Arial" w:hAnsi="Arial" w:cs="Arial"/>
        </w:rPr>
        <w:t>Simple interpretation of the allocation process</w:t>
      </w:r>
    </w:p>
    <w:p w14:paraId="08545709" w14:textId="77777777" w:rsidR="009A7901" w:rsidRDefault="009A7901">
      <w:r>
        <w:rPr>
          <w:rFonts w:eastAsia="Arial" w:cs="Arial"/>
        </w:rPr>
        <w:t>The integrated formula can be understood in three steps.</w:t>
      </w:r>
    </w:p>
    <w:p w14:paraId="269BA01B" w14:textId="77777777" w:rsidR="009A7901" w:rsidRDefault="009A7901">
      <w:pPr>
        <w:pStyle w:val="Listenumros"/>
      </w:pPr>
      <w:r>
        <w:rPr>
          <w:rFonts w:eastAsia="Arial" w:cs="Arial"/>
        </w:rPr>
        <w:t xml:space="preserve">Step </w:t>
      </w:r>
      <w:r>
        <w:rPr>
          <w:rFonts w:eastAsia="Arial" w:cs="Arial"/>
        </w:rPr>
        <w:t>1:</w:t>
      </w:r>
      <w:r>
        <w:rPr>
          <w:rFonts w:eastAsia="Arial" w:cs="Arial"/>
        </w:rPr>
        <w:t xml:space="preserve"> Provide a minimum operating allocation. Twenty per cent of Eₜ is divided equally across all districts. This component supports fixed functions such as administration, planning, communication, supervision, routine data monitoring and essential coordination.</w:t>
      </w:r>
    </w:p>
    <w:p w14:paraId="3B59E940" w14:textId="77777777" w:rsidR="009A7901" w:rsidRDefault="009A7901">
      <w:pPr>
        <w:pStyle w:val="Listenumros"/>
      </w:pPr>
      <w:r>
        <w:rPr>
          <w:rFonts w:eastAsia="Arial" w:cs="Arial"/>
        </w:rPr>
        <w:t xml:space="preserve">Step </w:t>
      </w:r>
      <w:r>
        <w:rPr>
          <w:rFonts w:eastAsia="Arial" w:cs="Arial"/>
        </w:rPr>
        <w:t>2:</w:t>
      </w:r>
      <w:r>
        <w:rPr>
          <w:rFonts w:eastAsia="Arial" w:cs="Arial"/>
        </w:rPr>
        <w:t xml:space="preserve"> Allocate the needs-based component. Eighty per cent of Eₜ is distributed according to population, deprivation, health need, geographic cost and the service-capacity gap. Larger or more disadvantaged districts therefore receive a larger share when their normalized need-and-cost indicators are higher.</w:t>
      </w:r>
    </w:p>
    <w:p w14:paraId="035613FF" w14:textId="77777777" w:rsidR="009A7901" w:rsidRDefault="009A7901">
      <w:pPr>
        <w:pStyle w:val="Listenumros"/>
      </w:pPr>
      <w:r>
        <w:rPr>
          <w:rFonts w:eastAsia="Arial" w:cs="Arial"/>
        </w:rPr>
        <w:t xml:space="preserve">Step </w:t>
      </w:r>
      <w:r>
        <w:rPr>
          <w:rFonts w:eastAsia="Arial" w:cs="Arial"/>
        </w:rPr>
        <w:t>3:</w:t>
      </w:r>
      <w:r>
        <w:rPr>
          <w:rFonts w:eastAsia="Arial" w:cs="Arial"/>
        </w:rPr>
        <w:t xml:space="preserve"> Introduce the target gradually. The parameter λₜ determines how much of the new target is applied in each year. The remaining proportion continues to depend on the previous-year allocation.</w:t>
      </w:r>
    </w:p>
    <w:p w14:paraId="1849C5A7" w14:textId="77777777" w:rsidR="009A7901" w:rsidRDefault="009A7901">
      <w:r>
        <w:rPr>
          <w:rFonts w:eastAsia="Arial" w:cs="Arial"/>
        </w:rPr>
        <w:t>The proposed transition should cover the 2026 and 2027 fiscal years. The convergence parameters are λ₂₀₂₆=0.50 and λ₂₀₂₇=0.75. From 2028 onwards, λₜ=1.00 and the historical component is removed. This dated pathway provides a clear end point for transitional protection and prevents historical allocations from continuing indefinitely.</w:t>
      </w:r>
    </w:p>
    <w:p w14:paraId="61304AFE" w14:textId="77777777" w:rsidR="009A7901" w:rsidRDefault="009A7901">
      <w:r>
        <w:rPr>
          <w:rFonts w:eastAsia="Arial" w:cs="Arial"/>
        </w:rPr>
        <w:t>For 2026, the transitional allocation is:</w:t>
      </w:r>
    </w:p>
    <w:p w14:paraId="14B9DC60" w14:textId="77777777" w:rsidR="009A7901" w:rsidRDefault="009A7901">
      <w:pPr>
        <w:jc w:val="center"/>
      </w:pPr>
      <w:r>
        <w:rPr>
          <w:rFonts w:eastAsia="Arial" w:cs="Arial"/>
        </w:rPr>
        <w:t>B</w:t>
      </w:r>
      <w:r>
        <w:rPr>
          <w:rFonts w:eastAsia="Arial" w:cs="Arial"/>
        </w:rPr>
        <w:t>ᵀᵢ</w:t>
      </w:r>
      <w:r>
        <w:rPr>
          <w:rFonts w:eastAsia="Arial" w:cs="Arial"/>
        </w:rPr>
        <w:t>,₂₀₂₆ = E₂₀₂₆[0.50h</w:t>
      </w:r>
      <w:r>
        <w:rPr>
          <w:rFonts w:eastAsia="Arial" w:cs="Arial"/>
        </w:rPr>
        <w:t>ᵢ</w:t>
      </w:r>
      <w:r>
        <w:rPr>
          <w:rFonts w:eastAsia="Arial" w:cs="Arial"/>
        </w:rPr>
        <w:t>,₂₀₂₆ + 0.50{0.20/N₂₀₂₆ + 0.80q</w:t>
      </w:r>
      <w:r>
        <w:rPr>
          <w:rFonts w:eastAsia="Arial" w:cs="Arial"/>
        </w:rPr>
        <w:t>ᵢ</w:t>
      </w:r>
      <w:r>
        <w:rPr>
          <w:rFonts w:eastAsia="Arial" w:cs="Arial"/>
        </w:rPr>
        <w:t>,₂₀₂₆}]</w:t>
      </w:r>
    </w:p>
    <w:p w14:paraId="39480A25" w14:textId="77777777" w:rsidR="009A7901" w:rsidRDefault="009A7901">
      <w:r>
        <w:rPr>
          <w:rFonts w:eastAsia="Arial" w:cs="Arial"/>
        </w:rPr>
        <w:t>Thus, 50% of the 2026 allocation preserves the historical district share and 50% reflects the needs-based target.</w:t>
      </w:r>
    </w:p>
    <w:p w14:paraId="1BB9FAEB" w14:textId="77777777" w:rsidR="009A7901" w:rsidRDefault="009A7901">
      <w:r>
        <w:rPr>
          <w:rFonts w:eastAsia="Arial" w:cs="Arial"/>
        </w:rPr>
        <w:t>For 2027, the transitional allocation is:</w:t>
      </w:r>
    </w:p>
    <w:p w14:paraId="48DBDC2B" w14:textId="77777777" w:rsidR="009A7901" w:rsidRDefault="009A7901">
      <w:pPr>
        <w:jc w:val="center"/>
      </w:pPr>
      <w:r>
        <w:rPr>
          <w:rFonts w:eastAsia="Arial" w:cs="Arial"/>
        </w:rPr>
        <w:t>B</w:t>
      </w:r>
      <w:r>
        <w:rPr>
          <w:rFonts w:eastAsia="Arial" w:cs="Arial"/>
        </w:rPr>
        <w:t>ᵀᵢ</w:t>
      </w:r>
      <w:r>
        <w:rPr>
          <w:rFonts w:eastAsia="Arial" w:cs="Arial"/>
        </w:rPr>
        <w:t>,₂₀₂₇ = E₂₀₂₇[0.25h</w:t>
      </w:r>
      <w:r>
        <w:rPr>
          <w:rFonts w:eastAsia="Arial" w:cs="Arial"/>
        </w:rPr>
        <w:t>ᵢ</w:t>
      </w:r>
      <w:r>
        <w:rPr>
          <w:rFonts w:eastAsia="Arial" w:cs="Arial"/>
        </w:rPr>
        <w:t>,₂₀₂₇ + 0.75{0.20/N₂₀₂₇ + 0.80q</w:t>
      </w:r>
      <w:r>
        <w:rPr>
          <w:rFonts w:eastAsia="Arial" w:cs="Arial"/>
        </w:rPr>
        <w:t>ᵢ</w:t>
      </w:r>
      <w:r>
        <w:rPr>
          <w:rFonts w:eastAsia="Arial" w:cs="Arial"/>
        </w:rPr>
        <w:t>,₂₀₂₇}]</w:t>
      </w:r>
    </w:p>
    <w:p w14:paraId="359A2C72" w14:textId="77777777" w:rsidR="009A7901" w:rsidRDefault="009A7901">
      <w:r>
        <w:rPr>
          <w:rFonts w:eastAsia="Arial" w:cs="Arial"/>
        </w:rPr>
        <w:t>Thus, only 25% of the 2027 allocation remains linked to the historical distribution, while 75% is determined by the prospective target.</w:t>
      </w:r>
    </w:p>
    <w:p w14:paraId="76A7EE8C" w14:textId="77777777" w:rsidR="009A7901" w:rsidRDefault="009A7901">
      <w:pPr>
        <w:pStyle w:val="Titre3"/>
      </w:pPr>
      <w:r>
        <w:rPr>
          <w:rFonts w:ascii="Arial" w:eastAsia="Arial" w:hAnsi="Arial" w:cs="Arial"/>
        </w:rPr>
        <w:t>Full needs-based allocation from 2028</w:t>
      </w:r>
    </w:p>
    <w:p w14:paraId="23776899" w14:textId="77777777" w:rsidR="009A7901" w:rsidRDefault="009A7901">
      <w:r>
        <w:rPr>
          <w:rFonts w:eastAsia="Arial" w:cs="Arial"/>
        </w:rPr>
        <w:t>From 2028 onwards, the district allocation is fully determined by the minimum operating allocation and the weighted needs-based components:</w:t>
      </w:r>
    </w:p>
    <w:p w14:paraId="36F47340" w14:textId="77777777" w:rsidR="009A7901" w:rsidRDefault="009A7901">
      <w:pPr>
        <w:jc w:val="center"/>
      </w:pPr>
      <w:r>
        <w:rPr>
          <w:rFonts w:eastAsia="Arial" w:cs="Arial"/>
        </w:rPr>
        <w:t>B*</w:t>
      </w:r>
      <w:r>
        <w:rPr>
          <w:rFonts w:eastAsia="Arial" w:cs="Arial"/>
        </w:rPr>
        <w:t>ᵢ</w:t>
      </w:r>
      <w:r>
        <w:rPr>
          <w:rFonts w:eastAsia="Arial" w:cs="Arial"/>
        </w:rPr>
        <w:t>,ₜ = Eₜ[0.20/Nₜ + 0.80(0.60p</w:t>
      </w:r>
      <w:r>
        <w:rPr>
          <w:rFonts w:eastAsia="Arial" w:cs="Arial"/>
        </w:rPr>
        <w:t>ᵢ</w:t>
      </w:r>
      <w:r>
        <w:rPr>
          <w:rFonts w:eastAsia="Arial" w:cs="Arial"/>
        </w:rPr>
        <w:t>,ₜ + 0.15d</w:t>
      </w:r>
      <w:r>
        <w:rPr>
          <w:rFonts w:eastAsia="Arial" w:cs="Arial"/>
        </w:rPr>
        <w:t>ᵢ</w:t>
      </w:r>
      <w:r>
        <w:rPr>
          <w:rFonts w:eastAsia="Arial" w:cs="Arial"/>
        </w:rPr>
        <w:t>,ₜ + 0.15n</w:t>
      </w:r>
      <w:r>
        <w:rPr>
          <w:rFonts w:eastAsia="Arial" w:cs="Arial"/>
        </w:rPr>
        <w:t>ᵢ</w:t>
      </w:r>
      <w:r>
        <w:rPr>
          <w:rFonts w:eastAsia="Arial" w:cs="Arial"/>
        </w:rPr>
        <w:t>,ₜ + 0.05g</w:t>
      </w:r>
      <w:r>
        <w:rPr>
          <w:rFonts w:eastAsia="Arial" w:cs="Arial"/>
        </w:rPr>
        <w:t>ᵢ</w:t>
      </w:r>
      <w:r>
        <w:rPr>
          <w:rFonts w:eastAsia="Arial" w:cs="Arial"/>
        </w:rPr>
        <w:t>,ₜ + 0.05s</w:t>
      </w:r>
      <w:r>
        <w:rPr>
          <w:rFonts w:eastAsia="Arial" w:cs="Arial"/>
        </w:rPr>
        <w:t>ᵢ</w:t>
      </w:r>
      <w:r>
        <w:rPr>
          <w:rFonts w:eastAsia="Arial" w:cs="Arial"/>
        </w:rPr>
        <w:t>,ₜ)],    t ≥ 2028</w:t>
      </w:r>
    </w:p>
    <w:p w14:paraId="5AF62488" w14:textId="77777777" w:rsidR="009A7901" w:rsidRDefault="009A7901">
      <w:r>
        <w:rPr>
          <w:rFonts w:eastAsia="Arial" w:cs="Arial"/>
        </w:rPr>
        <w:t>The previous-year allocation no longer enters the formula from 2028. The component indicators should nevertheless be updated periodically using the most reliable official information. Population should preferably be updated annually, while deprivation, health-need, geographic-cost and service-capacity indicators should be revised whenever new validated district-level data become available.</w:t>
      </w:r>
    </w:p>
    <w:p w14:paraId="2FE45DC8" w14:textId="77777777" w:rsidR="009A7901" w:rsidRDefault="009A7901">
      <w:pPr>
        <w:pStyle w:val="Titre3"/>
      </w:pPr>
      <w:r>
        <w:rPr>
          <w:rFonts w:ascii="Arial" w:eastAsia="Arial" w:hAnsi="Arial" w:cs="Arial"/>
        </w:rPr>
        <w:lastRenderedPageBreak/>
        <w:t>Budget neutrality and temporary safeguards</w:t>
      </w:r>
    </w:p>
    <w:p w14:paraId="66EE9C78" w14:textId="77777777" w:rsidR="009A7901" w:rsidRDefault="009A7901">
      <w:r>
        <w:rPr>
          <w:rFonts w:eastAsia="Arial" w:cs="Arial"/>
        </w:rPr>
        <w:t>Because the historical shares h</w:t>
      </w:r>
      <w:r>
        <w:rPr>
          <w:rFonts w:eastAsia="Arial" w:cs="Arial"/>
        </w:rPr>
        <w:t>ᵢ</w:t>
      </w:r>
      <w:r>
        <w:rPr>
          <w:rFonts w:eastAsia="Arial" w:cs="Arial"/>
        </w:rPr>
        <w:t>,ₜ and each needs-based component sum to one across districts, the integrated formula automatically adjusts the historical distribution to the current envelope. Before temporary gain and loss limits are applied, the fixed-envelope structure therefore implies:</w:t>
      </w:r>
    </w:p>
    <w:p w14:paraId="6AF58720" w14:textId="77777777" w:rsidR="009A7901" w:rsidRDefault="009A7901">
      <w:pPr>
        <w:jc w:val="center"/>
      </w:pPr>
      <w:r>
        <w:rPr>
          <w:rFonts w:eastAsia="Arial" w:cs="Arial"/>
        </w:rPr>
        <w:t>Σ</w:t>
      </w:r>
      <w:r>
        <w:rPr>
          <w:rFonts w:eastAsia="Arial" w:cs="Arial"/>
        </w:rPr>
        <w:t>ᵢ</w:t>
      </w:r>
      <w:r>
        <w:rPr>
          <w:rFonts w:eastAsia="Arial" w:cs="Arial"/>
        </w:rPr>
        <w:t>B</w:t>
      </w:r>
      <w:r>
        <w:rPr>
          <w:rFonts w:eastAsia="Arial" w:cs="Arial"/>
        </w:rPr>
        <w:t>ᵀᵢ</w:t>
      </w:r>
      <w:r>
        <w:rPr>
          <w:rFonts w:eastAsia="Arial" w:cs="Arial"/>
        </w:rPr>
        <w:t>,ₜ = Eₜ</w:t>
      </w:r>
    </w:p>
    <w:p w14:paraId="684DC72A" w14:textId="77777777" w:rsidR="009A7901" w:rsidRDefault="009A7901">
      <w:r>
        <w:rPr>
          <w:rFonts w:eastAsia="Arial" w:cs="Arial"/>
        </w:rPr>
        <w:t>Temporary safeguards should apply only during 2026 and 2027. Annual nominal reductions could initially be limited to 5% and increases to 15%. After applying these limits, allocations must be proportionally rescaled or solved iteratively until their total is exactly equal to Eₜ. The safeguards should expire at the end of 2027 so that allocations converge fully to the needs-based formula in 2028. Any exceptional protection after 2027 should be time limited, transparently justified by a documented risk to esse</w:t>
      </w:r>
      <w:r>
        <w:rPr>
          <w:rFonts w:eastAsia="Arial" w:cs="Arial"/>
        </w:rPr>
        <w:t>ntial service continuity and financed within the existing national envelope.</w:t>
      </w:r>
    </w:p>
    <w:p w14:paraId="0ADE8FDF" w14:textId="77777777" w:rsidR="009A7901" w:rsidRDefault="009A7901">
      <w:pPr>
        <w:pStyle w:val="Titre3"/>
      </w:pPr>
      <w:r>
        <w:rPr>
          <w:rFonts w:ascii="Arial" w:eastAsia="Arial" w:hAnsi="Arial" w:cs="Arial"/>
        </w:rPr>
        <w:t>Econometric evaluation of the prospective model</w:t>
      </w:r>
    </w:p>
    <w:p w14:paraId="174209EC" w14:textId="77777777" w:rsidR="009A7901" w:rsidRDefault="009A7901">
      <w:r>
        <w:rPr>
          <w:rFonts w:eastAsia="Arial" w:cs="Arial"/>
        </w:rPr>
        <w:t>The preceding equation is a normative allocation rule: θ, λₜ and the component weights are chosen through policy decisions and simulation rather than estimated from the historical regressions. Once the formula has been implemented and future allocations are observed, conformity with the approved rule can be evaluated econometrically as follows:</w:t>
      </w:r>
    </w:p>
    <w:p w14:paraId="5B836724" w14:textId="77777777" w:rsidR="009A7901" w:rsidRDefault="009A7901">
      <w:pPr>
        <w:jc w:val="center"/>
      </w:pPr>
      <w:r>
        <w:rPr>
          <w:rFonts w:eastAsia="Arial" w:cs="Arial"/>
        </w:rPr>
        <w:t>B</w:t>
      </w:r>
      <w:r>
        <w:rPr>
          <w:rFonts w:eastAsia="Arial" w:cs="Arial"/>
        </w:rPr>
        <w:t>ᴼᵇ</w:t>
      </w:r>
      <w:r>
        <w:rPr>
          <w:rFonts w:eastAsia="Arial" w:cs="Arial"/>
        </w:rPr>
        <w:t>ˢ</w:t>
      </w:r>
      <w:r>
        <w:rPr>
          <w:rFonts w:eastAsia="Arial" w:cs="Arial"/>
        </w:rPr>
        <w:t>ᵢ</w:t>
      </w:r>
      <w:r>
        <w:rPr>
          <w:rFonts w:eastAsia="Arial" w:cs="Arial"/>
        </w:rPr>
        <w:t>,ₜ = Eₜ[(1 − λₜ)h</w:t>
      </w:r>
      <w:r>
        <w:rPr>
          <w:rFonts w:eastAsia="Arial" w:cs="Arial"/>
        </w:rPr>
        <w:t>ᵢ</w:t>
      </w:r>
      <w:r>
        <w:rPr>
          <w:rFonts w:eastAsia="Arial" w:cs="Arial"/>
        </w:rPr>
        <w:t>,ₜ + λₜ{θ/N + (1 − θ)[wₚp</w:t>
      </w:r>
      <w:r>
        <w:rPr>
          <w:rFonts w:eastAsia="Arial" w:cs="Arial"/>
        </w:rPr>
        <w:t>ᵢ</w:t>
      </w:r>
      <w:r>
        <w:rPr>
          <w:rFonts w:eastAsia="Arial" w:cs="Arial"/>
        </w:rPr>
        <w:t>,ₜ + w</w:t>
      </w:r>
      <w:r>
        <w:rPr>
          <w:rFonts w:eastAsia="Arial" w:cs="Arial"/>
        </w:rPr>
        <w:t>ᴅ</w:t>
      </w:r>
      <w:r>
        <w:rPr>
          <w:rFonts w:eastAsia="Arial" w:cs="Arial"/>
        </w:rPr>
        <w:t>d</w:t>
      </w:r>
      <w:r>
        <w:rPr>
          <w:rFonts w:eastAsia="Arial" w:cs="Arial"/>
        </w:rPr>
        <w:t>ᵢ</w:t>
      </w:r>
      <w:r>
        <w:rPr>
          <w:rFonts w:eastAsia="Arial" w:cs="Arial"/>
        </w:rPr>
        <w:t>,ₜ + wₙn</w:t>
      </w:r>
      <w:r>
        <w:rPr>
          <w:rFonts w:eastAsia="Arial" w:cs="Arial"/>
        </w:rPr>
        <w:t>ᵢ</w:t>
      </w:r>
      <w:r>
        <w:rPr>
          <w:rFonts w:eastAsia="Arial" w:cs="Arial"/>
        </w:rPr>
        <w:t>,ₜ + w</w:t>
      </w:r>
      <w:r>
        <w:rPr>
          <w:rFonts w:eastAsia="Arial" w:cs="Arial"/>
        </w:rPr>
        <w:t>ɢ</w:t>
      </w:r>
      <w:r>
        <w:rPr>
          <w:rFonts w:eastAsia="Arial" w:cs="Arial"/>
        </w:rPr>
        <w:t>g</w:t>
      </w:r>
      <w:r>
        <w:rPr>
          <w:rFonts w:eastAsia="Arial" w:cs="Arial"/>
        </w:rPr>
        <w:t>ᵢ</w:t>
      </w:r>
      <w:r>
        <w:rPr>
          <w:rFonts w:eastAsia="Arial" w:cs="Arial"/>
        </w:rPr>
        <w:t>,ₜ + wₛs</w:t>
      </w:r>
      <w:r>
        <w:rPr>
          <w:rFonts w:eastAsia="Arial" w:cs="Arial"/>
        </w:rPr>
        <w:t>ᵢ</w:t>
      </w:r>
      <w:r>
        <w:rPr>
          <w:rFonts w:eastAsia="Arial" w:cs="Arial"/>
        </w:rPr>
        <w:t>,ₜ]}] + ε</w:t>
      </w:r>
      <w:r>
        <w:rPr>
          <w:rFonts w:eastAsia="Arial" w:cs="Arial"/>
        </w:rPr>
        <w:t>ᵢ</w:t>
      </w:r>
      <w:r>
        <w:rPr>
          <w:rFonts w:eastAsia="Arial" w:cs="Arial"/>
        </w:rPr>
        <w:t>,ₜ</w:t>
      </w:r>
    </w:p>
    <w:p w14:paraId="5B18CA0F" w14:textId="77777777" w:rsidR="009A7901" w:rsidRDefault="009A7901">
      <w:r>
        <w:rPr>
          <w:rFonts w:eastAsia="Arial" w:cs="Arial"/>
        </w:rPr>
        <w:t>Here, B</w:t>
      </w:r>
      <w:r>
        <w:rPr>
          <w:rFonts w:eastAsia="Arial" w:cs="Arial"/>
        </w:rPr>
        <w:t>ᴼᵇ</w:t>
      </w:r>
      <w:r>
        <w:rPr>
          <w:rFonts w:eastAsia="Arial" w:cs="Arial"/>
        </w:rPr>
        <w:t>ˢ</w:t>
      </w:r>
      <w:r>
        <w:rPr>
          <w:rFonts w:eastAsia="Arial" w:cs="Arial"/>
        </w:rPr>
        <w:t>ᵢ</w:t>
      </w:r>
      <w:r>
        <w:rPr>
          <w:rFonts w:eastAsia="Arial" w:cs="Arial"/>
        </w:rPr>
        <w:t>,ₜ is the allocation actually observed for district i in year t, while ε</w:t>
      </w:r>
      <w:r>
        <w:rPr>
          <w:rFonts w:eastAsia="Arial" w:cs="Arial"/>
        </w:rPr>
        <w:t>ᵢ</w:t>
      </w:r>
      <w:r>
        <w:rPr>
          <w:rFonts w:eastAsia="Arial" w:cs="Arial"/>
        </w:rPr>
        <w:t>,ₜ is the difference between the observed allocation and the amount predicted by the prospective formula. A positive residual indicates that the district received more than predicted; a negative residual indicates that it received less. For ex-post budget neutrality, the district residuals should satisfy Σ</w:t>
      </w:r>
      <w:r>
        <w:rPr>
          <w:rFonts w:eastAsia="Arial" w:cs="Arial"/>
        </w:rPr>
        <w:t>ᵢ</w:t>
      </w:r>
      <w:r>
        <w:rPr>
          <w:rFonts w:eastAsia="Arial" w:cs="Arial"/>
        </w:rPr>
        <w:t>ε</w:t>
      </w:r>
      <w:r>
        <w:rPr>
          <w:rFonts w:eastAsia="Arial" w:cs="Arial"/>
        </w:rPr>
        <w:t>ᵢ</w:t>
      </w:r>
      <w:r>
        <w:rPr>
          <w:rFonts w:eastAsia="Arial" w:cs="Arial"/>
        </w:rPr>
        <w:t>,ₜ=0.</w:t>
      </w:r>
    </w:p>
    <w:p w14:paraId="610C968F" w14:textId="77777777" w:rsidR="009A7901" w:rsidRDefault="009A7901">
      <w:r>
        <w:rPr>
          <w:rFonts w:eastAsia="Arial" w:cs="Arial"/>
        </w:rPr>
        <w:t>The policy equation should therefore be used to calculate target allocations, whereas the econometric equation should be used subsequently to assess adherence to the approved formula. It should not replace the historical Models M1–M7, which answer a different question by describing how allocations were associated with observed characteristics during 2016–2018.</w:t>
      </w:r>
    </w:p>
    <w:p w14:paraId="3AF8E87B" w14:textId="77777777" w:rsidR="009A7901" w:rsidRDefault="009A7901">
      <w:pPr>
        <w:pStyle w:val="Titre3"/>
      </w:pPr>
      <w:r>
        <w:rPr>
          <w:rFonts w:ascii="Arial" w:eastAsia="Arial" w:hAnsi="Arial" w:cs="Arial"/>
        </w:rPr>
        <w:t>Calibration, validation and governance</w:t>
      </w:r>
    </w:p>
    <w:p w14:paraId="79FB8C2C" w14:textId="77777777" w:rsidR="009A7901" w:rsidRDefault="009A7901">
      <w:r>
        <w:rPr>
          <w:rFonts w:eastAsia="Arial" w:cs="Arial"/>
        </w:rPr>
        <w:t>Before implementation, the Ministry should conduct district-level microsimulations under alternative values of θ, component weights, indicator definitions, transition speeds and gain/loss limits. Prespecified evaluation criteria should include:</w:t>
      </w:r>
    </w:p>
    <w:p w14:paraId="423D7DDA" w14:textId="77777777" w:rsidR="009A7901" w:rsidRDefault="009A7901">
      <w:pPr>
        <w:pStyle w:val="Listepuces"/>
      </w:pPr>
      <w:r>
        <w:rPr>
          <w:rFonts w:eastAsia="Arial" w:cs="Arial"/>
        </w:rPr>
        <w:t>per-capita allocation levels and dispersion;</w:t>
      </w:r>
    </w:p>
    <w:p w14:paraId="4C11F66D" w14:textId="77777777" w:rsidR="009A7901" w:rsidRDefault="009A7901">
      <w:pPr>
        <w:pStyle w:val="Listepuces"/>
      </w:pPr>
      <w:r>
        <w:rPr>
          <w:rFonts w:eastAsia="Arial" w:cs="Arial"/>
        </w:rPr>
        <w:t>concentration of allocations across poverty and health-need quintiles;</w:t>
      </w:r>
    </w:p>
    <w:p w14:paraId="68279274" w14:textId="77777777" w:rsidR="009A7901" w:rsidRDefault="009A7901">
      <w:pPr>
        <w:pStyle w:val="Listepuces"/>
      </w:pPr>
      <w:r>
        <w:rPr>
          <w:rFonts w:eastAsia="Arial" w:cs="Arial"/>
        </w:rPr>
        <w:t>the number and characteristics of districts reaching gain or loss limits;</w:t>
      </w:r>
    </w:p>
    <w:p w14:paraId="512A6AB2" w14:textId="77777777" w:rsidR="009A7901" w:rsidRDefault="009A7901">
      <w:pPr>
        <w:pStyle w:val="Listepuces"/>
      </w:pPr>
      <w:r>
        <w:rPr>
          <w:rFonts w:eastAsia="Arial" w:cs="Arial"/>
        </w:rPr>
        <w:t>budget stability, fixed-cost coverage and affordability within Eₜ;</w:t>
      </w:r>
    </w:p>
    <w:p w14:paraId="634C007C" w14:textId="77777777" w:rsidR="009A7901" w:rsidRDefault="009A7901">
      <w:pPr>
        <w:pStyle w:val="Listepuces"/>
      </w:pPr>
      <w:r>
        <w:rPr>
          <w:rFonts w:eastAsia="Arial" w:cs="Arial"/>
        </w:rPr>
        <w:t>sensitivity to measurement error, missing data, outliers and alternative weights; and</w:t>
      </w:r>
    </w:p>
    <w:p w14:paraId="75BB7C5F" w14:textId="77777777" w:rsidR="009A7901" w:rsidRDefault="009A7901">
      <w:pPr>
        <w:pStyle w:val="Listepuces"/>
      </w:pPr>
      <w:r>
        <w:rPr>
          <w:rFonts w:eastAsia="Arial" w:cs="Arial"/>
        </w:rPr>
        <w:t>implications for service availability, utilization and equity outcomes.</w:t>
      </w:r>
    </w:p>
    <w:p w14:paraId="349F34DC" w14:textId="77777777" w:rsidR="009A7901" w:rsidRDefault="009A7901">
      <w:r>
        <w:rPr>
          <w:rFonts w:eastAsia="Arial" w:cs="Arial"/>
        </w:rPr>
        <w:t>The final formula should be approved through a documented governance process involving the Ministry, regions, districts, finance authorities and relevant partners. The technical manual should publish data sources, transformation rules, weights, update frequency, treatment of new or reorganized districts, quality-assurance procedures and an appeals mechanism. Calculations should be independently reproducible, with periodic recalibration rather than ad hoc annual changes. A pilot or shadow-allocation year wou</w:t>
      </w:r>
      <w:r>
        <w:rPr>
          <w:rFonts w:eastAsia="Arial" w:cs="Arial"/>
        </w:rPr>
        <w:t>ld allow comparison with historical budgets before fiscal implementation. The proposed structure is therefore a policy-design framework, not a validated prescriptive formula.</w:t>
      </w:r>
    </w:p>
    <w:p w14:paraId="5ABBA892" w14:textId="77777777" w:rsidR="009A7901" w:rsidRDefault="009A7901">
      <w:pPr>
        <w:pStyle w:val="Titre3"/>
      </w:pPr>
      <w:r>
        <w:rPr>
          <w:rFonts w:ascii="Arial" w:eastAsia="Arial" w:hAnsi="Arial" w:cs="Arial"/>
        </w:rPr>
        <w:t>From framework to tool: an interactive allocation simulator</w:t>
      </w:r>
    </w:p>
    <w:p w14:paraId="6C3EE245" w14:textId="77777777" w:rsidR="009A7901" w:rsidRDefault="009A7901">
      <w:pPr>
        <w:jc w:val="both"/>
      </w:pPr>
      <w:r>
        <w:rPr>
          <w:rFonts w:eastAsia="Arial" w:cs="Arial"/>
        </w:rPr>
        <w:t>To move from a conceptual formula to a policy-ready instrument, the integrated allocation rule described above (Eₜ, θ, λₜ, h</w:t>
      </w:r>
      <w:r>
        <w:rPr>
          <w:rFonts w:eastAsia="Arial" w:cs="Arial"/>
        </w:rPr>
        <w:t>ᵢ</w:t>
      </w:r>
      <w:r>
        <w:rPr>
          <w:rFonts w:eastAsia="Arial" w:cs="Arial"/>
        </w:rPr>
        <w:t>,ₜ and q</w:t>
      </w:r>
      <w:r>
        <w:rPr>
          <w:rFonts w:eastAsia="Arial" w:cs="Arial"/>
        </w:rPr>
        <w:t>ᵢ</w:t>
      </w:r>
      <w:r>
        <w:rPr>
          <w:rFonts w:eastAsia="Arial" w:cs="Arial"/>
        </w:rPr>
        <w:t>,ₜ) was implemented as an interactive, spreadsheet-based simulator covering the full panel of 71 health districts and the 14 DRS over fiscal years 2016 to 2030. The simulator reproduces the observed 2016–2018 BOOST allocations exactly (main article Table 4) and uses them, rather than assumed values, as the historical anchor h</w:t>
      </w:r>
      <w:r>
        <w:rPr>
          <w:rFonts w:eastAsia="Arial" w:cs="Arial"/>
        </w:rPr>
        <w:t>ᵢ</w:t>
      </w:r>
      <w:r>
        <w:rPr>
          <w:rFonts w:eastAsia="Arial" w:cs="Arial"/>
        </w:rPr>
        <w:t xml:space="preserve">,ₜ for the transition; the calibrated national envelope equalled approximately 1.296 billion FCFA in 2016 and 1.190 billion FCFA in 2018, consistent with the totals reported </w:t>
      </w:r>
      <w:r>
        <w:rPr>
          <w:rFonts w:eastAsia="Arial" w:cs="Arial"/>
        </w:rPr>
        <w:t>in the Results.</w:t>
      </w:r>
    </w:p>
    <w:p w14:paraId="437B6D39" w14:textId="77777777" w:rsidR="009A7901" w:rsidRDefault="009A7901">
      <w:pPr>
        <w:jc w:val="both"/>
      </w:pPr>
      <w:r>
        <w:rPr>
          <w:rFonts w:eastAsia="Arial" w:cs="Arial"/>
        </w:rPr>
        <w:t>From 2019 onward, the envelope Eₜ and the district population, deprivation, health-need and service-capacity indicators are projected under three named macro-fiscal, demographic and health scenarios—Prudent, Central and Transformation 2050 (Supplementary Table S8)</w:t>
      </w:r>
      <w:r>
        <w:rPr>
          <w:rFonts w:eastAsia="Arial" w:cs="Arial"/>
        </w:rPr>
        <w:t xml:space="preserve"> </w:t>
      </w:r>
      <w:r>
        <w:rPr>
          <w:rFonts w:eastAsia="Arial" w:cs="Arial"/>
        </w:rPr>
        <w:t>so that district allocations, per-capita amounts and gains or losses can be examined under alternative national trajectories rather than a single deterministic path. Each scenario applies λ₂₀₂₆=0.50 and λ₂₀₂₇=0.75 as specified above, the −5%/+15% annual safeguards during 2026–2027, and a signed rescaling coefficient κₜ that redistributes the residual Rₜ = Eₜ − Σ</w:t>
      </w:r>
      <w:r>
        <w:rPr>
          <w:rFonts w:eastAsia="Arial" w:cs="Arial"/>
        </w:rPr>
        <w:t>ᵢ</w:t>
      </w:r>
      <w:r>
        <w:rPr>
          <w:rFonts w:eastAsia="Arial" w:cs="Arial"/>
        </w:rPr>
        <w:t>C</w:t>
      </w:r>
      <w:r>
        <w:rPr>
          <w:rFonts w:eastAsia="Arial" w:cs="Arial"/>
        </w:rPr>
        <w:t>ᵢ</w:t>
      </w:r>
      <w:r>
        <w:rPr>
          <w:rFonts w:eastAsia="Arial" w:cs="Arial"/>
        </w:rPr>
        <w:t>,ₜ (the gap between the envelope and the sum of safeguard-bounded pre-allocations C</w:t>
      </w:r>
      <w:r>
        <w:rPr>
          <w:rFonts w:eastAsia="Arial" w:cs="Arial"/>
        </w:rPr>
        <w:t>ᵢ</w:t>
      </w:r>
      <w:r>
        <w:rPr>
          <w:rFonts w:eastAsia="Arial" w:cs="Arial"/>
        </w:rPr>
        <w:t>,ₜ) across districts that remain within their permitted margi</w:t>
      </w:r>
      <w:r>
        <w:rPr>
          <w:rFonts w:eastAsia="Arial" w:cs="Arial"/>
        </w:rPr>
        <w:t>n, so that Σ</w:t>
      </w:r>
      <w:r>
        <w:rPr>
          <w:rFonts w:eastAsia="Arial" w:cs="Arial"/>
        </w:rPr>
        <w:t>ᵢ</w:t>
      </w:r>
      <w:r>
        <w:rPr>
          <w:rFonts w:eastAsia="Arial" w:cs="Arial"/>
        </w:rPr>
        <w:t>B</w:t>
      </w:r>
      <w:r>
        <w:rPr>
          <w:rFonts w:eastAsia="Arial" w:cs="Arial"/>
        </w:rPr>
        <w:t>ᶠ</w:t>
      </w:r>
      <w:r>
        <w:rPr>
          <w:rFonts w:eastAsia="Arial" w:cs="Arial"/>
        </w:rPr>
        <w:t>ᵢ</w:t>
      </w:r>
      <w:r>
        <w:rPr>
          <w:rFonts w:eastAsia="Arial" w:cs="Arial"/>
        </w:rPr>
        <w:t>,ₜ = Eₜ holds exactly, rather than only approximately, in every simulated year.</w:t>
      </w:r>
    </w:p>
    <w:p w14:paraId="7119FCCB" w14:textId="77777777" w:rsidR="009A7901" w:rsidRDefault="009A7901">
      <w:pPr>
        <w:jc w:val="both"/>
      </w:pPr>
      <w:r>
        <w:rPr>
          <w:rFonts w:eastAsia="Arial" w:cs="Arial"/>
        </w:rPr>
        <w:lastRenderedPageBreak/>
        <w:t xml:space="preserve">The tool includes a national dashboard and ranked district tables (highest- and lowest-allocation districts, and gains or losses relative to the historical share), a parameter sheet through which θ, λₜ, the component weights and the scenario assumptions can be changed without altering the underlying formulas, and a full </w:t>
      </w:r>
      <w:r>
        <w:rPr>
          <w:rFonts w:eastAsia="Arial" w:cs="Arial"/>
        </w:rPr>
        <w:t>audit trail—a data dictionary defining every variable and its source, a sources-and-limitations register, and internal consistency checks (district count, exact budget neutrality, absence of negative allocations, and reconciliation of the 2023 district population total against the RGPH-5 regional figures). This operationalizes the calibration and validation steps described above: it allows the Ministry, regions and partners to inspect per-capita levels, concentration by poverty and need, and the districts r</w:t>
      </w:r>
      <w:r>
        <w:rPr>
          <w:rFonts w:eastAsia="Arial" w:cs="Arial"/>
        </w:rPr>
        <w:t>eaching the gain/loss limits under each scenario before any legal appropriation is changed, consistent with the recommended shadow-allocation and pilot approach. The simulator is a decision-support and consultation tool operationalizing the policy parameters proposed in this manuscript; it does not itself constitute formula validation, which still requires the governance process, data-quality assurance and stakeholder approval described above.</w:t>
      </w:r>
    </w:p>
    <w:p w14:paraId="0D03F6D4" w14:textId="77777777" w:rsidR="009A7901" w:rsidRDefault="009A7901">
      <w:pPr>
        <w:pStyle w:val="Lgende"/>
        <w:keepNext/>
      </w:pPr>
      <w:r>
        <w:rPr>
          <w:rFonts w:eastAsia="Arial" w:cs="Arial"/>
        </w:rPr>
        <w:t>Supplementary Table S8. Macro-fiscal, demographic and health scenarios implemented in the allocation simulator, 2019–2030</w:t>
      </w:r>
    </w:p>
    <w:tbl>
      <w:tblPr>
        <w:tblStyle w:val="Grilledutableau"/>
        <w:tblW w:w="0" w:type="auto"/>
        <w:tblBorders>
          <w:top w:val="single" w:sz="8" w:space="0" w:color="000000"/>
          <w:left w:val="nil"/>
          <w:bottom w:val="single" w:sz="8" w:space="0" w:color="000000"/>
          <w:right w:val="nil"/>
          <w:insideH w:val="single" w:sz="3" w:space="0" w:color="BFBFBF"/>
          <w:insideV w:val="nil"/>
        </w:tblBorders>
        <w:tblLayout w:type="fixed"/>
        <w:tblLook w:val="04A0" w:firstRow="1" w:lastRow="0" w:firstColumn="1" w:lastColumn="0" w:noHBand="0" w:noVBand="1"/>
      </w:tblPr>
      <w:tblGrid>
        <w:gridCol w:w="2600"/>
        <w:gridCol w:w="1350"/>
        <w:gridCol w:w="1350"/>
        <w:gridCol w:w="1600"/>
        <w:gridCol w:w="2453"/>
      </w:tblGrid>
      <w:tr w:rsidR="003E4513" w14:paraId="704C0D10" w14:textId="77777777">
        <w:trPr>
          <w:tblHeader/>
        </w:trPr>
        <w:tc>
          <w:tcPr>
            <w:tcW w:w="2600" w:type="dxa"/>
            <w:tcMar>
              <w:top w:w="60" w:type="dxa"/>
              <w:left w:w="70" w:type="dxa"/>
              <w:bottom w:w="60" w:type="dxa"/>
              <w:right w:w="70" w:type="dxa"/>
            </w:tcMar>
            <w:vAlign w:val="center"/>
          </w:tcPr>
          <w:p w14:paraId="6C20D8E3" w14:textId="77777777" w:rsidR="009A7901" w:rsidRDefault="009A7901">
            <w:pPr>
              <w:spacing w:line="240" w:lineRule="auto"/>
            </w:pPr>
            <w:r>
              <w:rPr>
                <w:rFonts w:eastAsia="Arial" w:cs="Arial"/>
                <w:b/>
                <w:sz w:val="15"/>
              </w:rPr>
              <w:t>Parameter</w:t>
            </w:r>
          </w:p>
        </w:tc>
        <w:tc>
          <w:tcPr>
            <w:tcW w:w="1350" w:type="dxa"/>
            <w:tcMar>
              <w:top w:w="60" w:type="dxa"/>
              <w:left w:w="70" w:type="dxa"/>
              <w:bottom w:w="60" w:type="dxa"/>
              <w:right w:w="70" w:type="dxa"/>
            </w:tcMar>
            <w:vAlign w:val="center"/>
          </w:tcPr>
          <w:p w14:paraId="432D6D4F" w14:textId="77777777" w:rsidR="009A7901" w:rsidRDefault="009A7901">
            <w:pPr>
              <w:spacing w:line="240" w:lineRule="auto"/>
            </w:pPr>
            <w:r>
              <w:rPr>
                <w:rFonts w:eastAsia="Arial" w:cs="Arial"/>
                <w:b/>
                <w:sz w:val="15"/>
              </w:rPr>
              <w:t>Prudent</w:t>
            </w:r>
          </w:p>
        </w:tc>
        <w:tc>
          <w:tcPr>
            <w:tcW w:w="1350" w:type="dxa"/>
            <w:tcMar>
              <w:top w:w="60" w:type="dxa"/>
              <w:left w:w="70" w:type="dxa"/>
              <w:bottom w:w="60" w:type="dxa"/>
              <w:right w:w="70" w:type="dxa"/>
            </w:tcMar>
            <w:vAlign w:val="center"/>
          </w:tcPr>
          <w:p w14:paraId="40C73874" w14:textId="77777777" w:rsidR="009A7901" w:rsidRDefault="009A7901">
            <w:pPr>
              <w:spacing w:line="240" w:lineRule="auto"/>
            </w:pPr>
            <w:r>
              <w:rPr>
                <w:rFonts w:eastAsia="Arial" w:cs="Arial"/>
                <w:b/>
                <w:sz w:val="15"/>
              </w:rPr>
              <w:t>Central</w:t>
            </w:r>
          </w:p>
        </w:tc>
        <w:tc>
          <w:tcPr>
            <w:tcW w:w="1600" w:type="dxa"/>
            <w:tcMar>
              <w:top w:w="60" w:type="dxa"/>
              <w:left w:w="70" w:type="dxa"/>
              <w:bottom w:w="60" w:type="dxa"/>
              <w:right w:w="70" w:type="dxa"/>
            </w:tcMar>
            <w:vAlign w:val="center"/>
          </w:tcPr>
          <w:p w14:paraId="35CDA24B" w14:textId="77777777" w:rsidR="009A7901" w:rsidRDefault="009A7901">
            <w:pPr>
              <w:spacing w:line="240" w:lineRule="auto"/>
            </w:pPr>
            <w:r>
              <w:rPr>
                <w:rFonts w:eastAsia="Arial" w:cs="Arial"/>
                <w:b/>
                <w:sz w:val="15"/>
              </w:rPr>
              <w:t>Transformation 2050</w:t>
            </w:r>
          </w:p>
        </w:tc>
        <w:tc>
          <w:tcPr>
            <w:tcW w:w="2453" w:type="dxa"/>
            <w:tcMar>
              <w:top w:w="60" w:type="dxa"/>
              <w:left w:w="70" w:type="dxa"/>
              <w:bottom w:w="60" w:type="dxa"/>
              <w:right w:w="70" w:type="dxa"/>
            </w:tcMar>
            <w:vAlign w:val="center"/>
          </w:tcPr>
          <w:p w14:paraId="2CD7DD28" w14:textId="77777777" w:rsidR="009A7901" w:rsidRDefault="009A7901">
            <w:pPr>
              <w:spacing w:line="240" w:lineRule="auto"/>
            </w:pPr>
            <w:r>
              <w:rPr>
                <w:rFonts w:eastAsia="Arial" w:cs="Arial"/>
                <w:b/>
                <w:sz w:val="15"/>
              </w:rPr>
              <w:t>Official target and source</w:t>
            </w:r>
          </w:p>
        </w:tc>
      </w:tr>
      <w:tr w:rsidR="003E4513" w14:paraId="4466C7E8" w14:textId="77777777">
        <w:tc>
          <w:tcPr>
            <w:tcW w:w="2600" w:type="dxa"/>
            <w:tcMar>
              <w:top w:w="60" w:type="dxa"/>
              <w:left w:w="70" w:type="dxa"/>
              <w:bottom w:w="60" w:type="dxa"/>
              <w:right w:w="70" w:type="dxa"/>
            </w:tcMar>
            <w:vAlign w:val="center"/>
          </w:tcPr>
          <w:p w14:paraId="309E0E3B" w14:textId="77777777" w:rsidR="009A7901" w:rsidRDefault="009A7901">
            <w:pPr>
              <w:spacing w:line="240" w:lineRule="auto"/>
            </w:pPr>
            <w:r>
              <w:rPr>
                <w:rFonts w:eastAsia="Arial" w:cs="Arial"/>
                <w:sz w:val="15"/>
              </w:rPr>
              <w:t>Envelope growth (Eₜ)</w:t>
            </w:r>
          </w:p>
        </w:tc>
        <w:tc>
          <w:tcPr>
            <w:tcW w:w="1350" w:type="dxa"/>
            <w:tcMar>
              <w:top w:w="60" w:type="dxa"/>
              <w:left w:w="70" w:type="dxa"/>
              <w:bottom w:w="60" w:type="dxa"/>
              <w:right w:w="70" w:type="dxa"/>
            </w:tcMar>
            <w:vAlign w:val="center"/>
          </w:tcPr>
          <w:p w14:paraId="3A94CB2B" w14:textId="77777777" w:rsidR="009A7901" w:rsidRDefault="009A7901">
            <w:pPr>
              <w:spacing w:line="240" w:lineRule="auto"/>
            </w:pPr>
            <w:r>
              <w:rPr>
                <w:rFonts w:eastAsia="Arial" w:cs="Arial"/>
                <w:sz w:val="15"/>
              </w:rPr>
              <w:t>1.3%/year</w:t>
            </w:r>
          </w:p>
        </w:tc>
        <w:tc>
          <w:tcPr>
            <w:tcW w:w="1350" w:type="dxa"/>
            <w:tcMar>
              <w:top w:w="60" w:type="dxa"/>
              <w:left w:w="70" w:type="dxa"/>
              <w:bottom w:w="60" w:type="dxa"/>
              <w:right w:w="70" w:type="dxa"/>
            </w:tcMar>
            <w:vAlign w:val="center"/>
          </w:tcPr>
          <w:p w14:paraId="79431360" w14:textId="77777777" w:rsidR="009A7901" w:rsidRDefault="009A7901">
            <w:pPr>
              <w:spacing w:line="240" w:lineRule="auto"/>
            </w:pPr>
            <w:r>
              <w:rPr>
                <w:rFonts w:eastAsia="Arial" w:cs="Arial"/>
                <w:sz w:val="15"/>
              </w:rPr>
              <w:t>2.2%/year</w:t>
            </w:r>
          </w:p>
        </w:tc>
        <w:tc>
          <w:tcPr>
            <w:tcW w:w="1600" w:type="dxa"/>
            <w:tcMar>
              <w:top w:w="60" w:type="dxa"/>
              <w:left w:w="70" w:type="dxa"/>
              <w:bottom w:w="60" w:type="dxa"/>
              <w:right w:w="70" w:type="dxa"/>
            </w:tcMar>
            <w:vAlign w:val="center"/>
          </w:tcPr>
          <w:p w14:paraId="1D4B3327" w14:textId="77777777" w:rsidR="009A7901" w:rsidRDefault="009A7901">
            <w:pPr>
              <w:spacing w:line="240" w:lineRule="auto"/>
            </w:pPr>
            <w:r>
              <w:rPr>
                <w:rFonts w:eastAsia="Arial" w:cs="Arial"/>
                <w:sz w:val="15"/>
              </w:rPr>
              <w:t>3.2%/year</w:t>
            </w:r>
          </w:p>
        </w:tc>
        <w:tc>
          <w:tcPr>
            <w:tcW w:w="2453" w:type="dxa"/>
            <w:tcMar>
              <w:top w:w="60" w:type="dxa"/>
              <w:left w:w="70" w:type="dxa"/>
              <w:bottom w:w="60" w:type="dxa"/>
              <w:right w:w="70" w:type="dxa"/>
            </w:tcMar>
            <w:vAlign w:val="center"/>
          </w:tcPr>
          <w:p w14:paraId="68F61A95" w14:textId="77777777" w:rsidR="009A7901" w:rsidRDefault="009A7901">
            <w:pPr>
              <w:spacing w:line="240" w:lineRule="auto"/>
            </w:pPr>
            <w:r>
              <w:rPr>
                <w:rFonts w:eastAsia="Arial" w:cs="Arial"/>
                <w:sz w:val="15"/>
              </w:rPr>
              <w:t>Lowest, average and highest annual growth of the total MSAS budget, 2025–2028; DPPD 2025–2027 and DPPD 2026–2028 [27,28]</w:t>
            </w:r>
          </w:p>
        </w:tc>
      </w:tr>
      <w:tr w:rsidR="003E4513" w14:paraId="39DE39CA" w14:textId="77777777">
        <w:tc>
          <w:tcPr>
            <w:tcW w:w="2600" w:type="dxa"/>
            <w:tcMar>
              <w:top w:w="60" w:type="dxa"/>
              <w:left w:w="70" w:type="dxa"/>
              <w:bottom w:w="60" w:type="dxa"/>
              <w:right w:w="70" w:type="dxa"/>
            </w:tcMar>
            <w:vAlign w:val="center"/>
          </w:tcPr>
          <w:p w14:paraId="360FD9D6" w14:textId="77777777" w:rsidR="009A7901" w:rsidRDefault="009A7901">
            <w:pPr>
              <w:spacing w:line="240" w:lineRule="auto"/>
            </w:pPr>
            <w:r>
              <w:rPr>
                <w:rFonts w:eastAsia="Arial" w:cs="Arial"/>
                <w:sz w:val="15"/>
              </w:rPr>
              <w:t>Population growth</w:t>
            </w:r>
          </w:p>
        </w:tc>
        <w:tc>
          <w:tcPr>
            <w:tcW w:w="1350" w:type="dxa"/>
            <w:tcMar>
              <w:top w:w="60" w:type="dxa"/>
              <w:left w:w="70" w:type="dxa"/>
              <w:bottom w:w="60" w:type="dxa"/>
              <w:right w:w="70" w:type="dxa"/>
            </w:tcMar>
            <w:vAlign w:val="center"/>
          </w:tcPr>
          <w:p w14:paraId="1924B652" w14:textId="77777777" w:rsidR="009A7901" w:rsidRDefault="009A7901">
            <w:pPr>
              <w:spacing w:line="240" w:lineRule="auto"/>
            </w:pPr>
            <w:r>
              <w:rPr>
                <w:rFonts w:eastAsia="Arial" w:cs="Arial"/>
                <w:sz w:val="15"/>
              </w:rPr>
              <w:t>2.7%/year</w:t>
            </w:r>
          </w:p>
        </w:tc>
        <w:tc>
          <w:tcPr>
            <w:tcW w:w="1350" w:type="dxa"/>
            <w:tcMar>
              <w:top w:w="60" w:type="dxa"/>
              <w:left w:w="70" w:type="dxa"/>
              <w:bottom w:w="60" w:type="dxa"/>
              <w:right w:w="70" w:type="dxa"/>
            </w:tcMar>
            <w:vAlign w:val="center"/>
          </w:tcPr>
          <w:p w14:paraId="30731785" w14:textId="77777777" w:rsidR="009A7901" w:rsidRDefault="009A7901">
            <w:pPr>
              <w:spacing w:line="240" w:lineRule="auto"/>
            </w:pPr>
            <w:r>
              <w:rPr>
                <w:rFonts w:eastAsia="Arial" w:cs="Arial"/>
                <w:sz w:val="15"/>
              </w:rPr>
              <w:t>2.9%/year</w:t>
            </w:r>
          </w:p>
        </w:tc>
        <w:tc>
          <w:tcPr>
            <w:tcW w:w="1600" w:type="dxa"/>
            <w:tcMar>
              <w:top w:w="60" w:type="dxa"/>
              <w:left w:w="70" w:type="dxa"/>
              <w:bottom w:w="60" w:type="dxa"/>
              <w:right w:w="70" w:type="dxa"/>
            </w:tcMar>
            <w:vAlign w:val="center"/>
          </w:tcPr>
          <w:p w14:paraId="4A5A17D7" w14:textId="77777777" w:rsidR="009A7901" w:rsidRDefault="009A7901">
            <w:pPr>
              <w:spacing w:line="240" w:lineRule="auto"/>
            </w:pPr>
            <w:r>
              <w:rPr>
                <w:rFonts w:eastAsia="Arial" w:cs="Arial"/>
                <w:sz w:val="15"/>
              </w:rPr>
              <w:t>3.0%/year</w:t>
            </w:r>
          </w:p>
        </w:tc>
        <w:tc>
          <w:tcPr>
            <w:tcW w:w="2453" w:type="dxa"/>
            <w:tcMar>
              <w:top w:w="60" w:type="dxa"/>
              <w:left w:w="70" w:type="dxa"/>
              <w:bottom w:w="60" w:type="dxa"/>
              <w:right w:w="70" w:type="dxa"/>
            </w:tcMar>
            <w:vAlign w:val="center"/>
          </w:tcPr>
          <w:p w14:paraId="7D517ABA" w14:textId="77777777" w:rsidR="009A7901" w:rsidRDefault="009A7901">
            <w:pPr>
              <w:spacing w:line="240" w:lineRule="auto"/>
            </w:pPr>
            <w:r>
              <w:rPr>
                <w:rFonts w:eastAsia="Arial" w:cs="Arial"/>
                <w:sz w:val="15"/>
              </w:rPr>
              <w:t>Population projected to rise from 18 million (2023) to 39 million (2050); Sénégal 2050 [25]</w:t>
            </w:r>
          </w:p>
        </w:tc>
      </w:tr>
      <w:tr w:rsidR="003E4513" w14:paraId="014D9AED" w14:textId="77777777">
        <w:tc>
          <w:tcPr>
            <w:tcW w:w="2600" w:type="dxa"/>
            <w:tcMar>
              <w:top w:w="60" w:type="dxa"/>
              <w:left w:w="70" w:type="dxa"/>
              <w:bottom w:w="60" w:type="dxa"/>
              <w:right w:w="70" w:type="dxa"/>
            </w:tcMar>
            <w:vAlign w:val="center"/>
          </w:tcPr>
          <w:p w14:paraId="1D5BDCEA" w14:textId="77777777" w:rsidR="009A7901" w:rsidRDefault="009A7901">
            <w:pPr>
              <w:spacing w:line="240" w:lineRule="auto"/>
            </w:pPr>
            <w:r>
              <w:rPr>
                <w:rFonts w:eastAsia="Arial" w:cs="Arial"/>
                <w:sz w:val="15"/>
              </w:rPr>
              <w:t>Poverty reduction</w:t>
            </w:r>
          </w:p>
        </w:tc>
        <w:tc>
          <w:tcPr>
            <w:tcW w:w="1350" w:type="dxa"/>
            <w:tcMar>
              <w:top w:w="60" w:type="dxa"/>
              <w:left w:w="70" w:type="dxa"/>
              <w:bottom w:w="60" w:type="dxa"/>
              <w:right w:w="70" w:type="dxa"/>
            </w:tcMar>
            <w:vAlign w:val="center"/>
          </w:tcPr>
          <w:p w14:paraId="6836D160" w14:textId="77777777" w:rsidR="009A7901" w:rsidRDefault="009A7901">
            <w:pPr>
              <w:spacing w:line="240" w:lineRule="auto"/>
            </w:pPr>
            <w:r>
              <w:rPr>
                <w:rFonts w:eastAsia="Arial" w:cs="Arial"/>
                <w:sz w:val="15"/>
              </w:rPr>
              <w:t>0 pt/year</w:t>
            </w:r>
          </w:p>
        </w:tc>
        <w:tc>
          <w:tcPr>
            <w:tcW w:w="1350" w:type="dxa"/>
            <w:tcMar>
              <w:top w:w="60" w:type="dxa"/>
              <w:left w:w="70" w:type="dxa"/>
              <w:bottom w:w="60" w:type="dxa"/>
              <w:right w:w="70" w:type="dxa"/>
            </w:tcMar>
            <w:vAlign w:val="center"/>
          </w:tcPr>
          <w:p w14:paraId="1A0B3DF3" w14:textId="77777777" w:rsidR="009A7901" w:rsidRDefault="009A7901">
            <w:pPr>
              <w:spacing w:line="240" w:lineRule="auto"/>
            </w:pPr>
            <w:r>
              <w:rPr>
                <w:rFonts w:eastAsia="Arial" w:cs="Arial"/>
                <w:sz w:val="15"/>
              </w:rPr>
              <w:t>−</w:t>
            </w:r>
            <w:r>
              <w:rPr>
                <w:rFonts w:eastAsia="Arial" w:cs="Arial"/>
                <w:sz w:val="15"/>
              </w:rPr>
              <w:t>0.4 pt/year</w:t>
            </w:r>
          </w:p>
        </w:tc>
        <w:tc>
          <w:tcPr>
            <w:tcW w:w="1600" w:type="dxa"/>
            <w:tcMar>
              <w:top w:w="60" w:type="dxa"/>
              <w:left w:w="70" w:type="dxa"/>
              <w:bottom w:w="60" w:type="dxa"/>
              <w:right w:w="70" w:type="dxa"/>
            </w:tcMar>
            <w:vAlign w:val="center"/>
          </w:tcPr>
          <w:p w14:paraId="3C54403C" w14:textId="77777777" w:rsidR="009A7901" w:rsidRDefault="009A7901">
            <w:pPr>
              <w:spacing w:line="240" w:lineRule="auto"/>
            </w:pPr>
            <w:r>
              <w:rPr>
                <w:rFonts w:eastAsia="Arial" w:cs="Arial"/>
                <w:sz w:val="15"/>
              </w:rPr>
              <w:t>−</w:t>
            </w:r>
            <w:r>
              <w:rPr>
                <w:rFonts w:eastAsia="Arial" w:cs="Arial"/>
                <w:sz w:val="15"/>
              </w:rPr>
              <w:t>0.83 pt/year</w:t>
            </w:r>
          </w:p>
        </w:tc>
        <w:tc>
          <w:tcPr>
            <w:tcW w:w="2453" w:type="dxa"/>
            <w:tcMar>
              <w:top w:w="60" w:type="dxa"/>
              <w:left w:w="70" w:type="dxa"/>
              <w:bottom w:w="60" w:type="dxa"/>
              <w:right w:w="70" w:type="dxa"/>
            </w:tcMar>
            <w:vAlign w:val="center"/>
          </w:tcPr>
          <w:p w14:paraId="0731170A" w14:textId="77777777" w:rsidR="009A7901" w:rsidRDefault="009A7901">
            <w:pPr>
              <w:spacing w:line="240" w:lineRule="auto"/>
            </w:pPr>
            <w:r>
              <w:rPr>
                <w:rFonts w:eastAsia="Arial" w:cs="Arial"/>
                <w:sz w:val="15"/>
              </w:rPr>
              <w:t>Poverty rate targeted to fall from 37.5% to 15% by 2050; Sénégal 2050 [25]</w:t>
            </w:r>
          </w:p>
        </w:tc>
      </w:tr>
      <w:tr w:rsidR="003E4513" w14:paraId="1CAA4F77" w14:textId="77777777">
        <w:tc>
          <w:tcPr>
            <w:tcW w:w="2600" w:type="dxa"/>
            <w:tcMar>
              <w:top w:w="60" w:type="dxa"/>
              <w:left w:w="70" w:type="dxa"/>
              <w:bottom w:w="60" w:type="dxa"/>
              <w:right w:w="70" w:type="dxa"/>
            </w:tcMar>
            <w:vAlign w:val="center"/>
          </w:tcPr>
          <w:p w14:paraId="193D23BB" w14:textId="77777777" w:rsidR="009A7901" w:rsidRDefault="009A7901">
            <w:pPr>
              <w:spacing w:line="240" w:lineRule="auto"/>
            </w:pPr>
            <w:r>
              <w:rPr>
                <w:rFonts w:eastAsia="Arial" w:cs="Arial"/>
                <w:sz w:val="15"/>
              </w:rPr>
              <w:t>Under-five mortality reduction</w:t>
            </w:r>
          </w:p>
        </w:tc>
        <w:tc>
          <w:tcPr>
            <w:tcW w:w="1350" w:type="dxa"/>
            <w:tcMar>
              <w:top w:w="60" w:type="dxa"/>
              <w:left w:w="70" w:type="dxa"/>
              <w:bottom w:w="60" w:type="dxa"/>
              <w:right w:w="70" w:type="dxa"/>
            </w:tcMar>
            <w:vAlign w:val="center"/>
          </w:tcPr>
          <w:p w14:paraId="59908829" w14:textId="77777777" w:rsidR="009A7901" w:rsidRDefault="009A7901">
            <w:pPr>
              <w:spacing w:line="240" w:lineRule="auto"/>
            </w:pPr>
            <w:r>
              <w:rPr>
                <w:rFonts w:eastAsia="Arial" w:cs="Arial"/>
                <w:sz w:val="15"/>
              </w:rPr>
              <w:t>−</w:t>
            </w:r>
            <w:r>
              <w:rPr>
                <w:rFonts w:eastAsia="Arial" w:cs="Arial"/>
                <w:sz w:val="15"/>
              </w:rPr>
              <w:t>1.5%/year</w:t>
            </w:r>
          </w:p>
        </w:tc>
        <w:tc>
          <w:tcPr>
            <w:tcW w:w="1350" w:type="dxa"/>
            <w:tcMar>
              <w:top w:w="60" w:type="dxa"/>
              <w:left w:w="70" w:type="dxa"/>
              <w:bottom w:w="60" w:type="dxa"/>
              <w:right w:w="70" w:type="dxa"/>
            </w:tcMar>
            <w:vAlign w:val="center"/>
          </w:tcPr>
          <w:p w14:paraId="18C48053" w14:textId="77777777" w:rsidR="009A7901" w:rsidRDefault="009A7901">
            <w:pPr>
              <w:spacing w:line="240" w:lineRule="auto"/>
            </w:pPr>
            <w:r>
              <w:rPr>
                <w:rFonts w:eastAsia="Arial" w:cs="Arial"/>
                <w:sz w:val="15"/>
              </w:rPr>
              <w:t>−</w:t>
            </w:r>
            <w:r>
              <w:rPr>
                <w:rFonts w:eastAsia="Arial" w:cs="Arial"/>
                <w:sz w:val="15"/>
              </w:rPr>
              <w:t>3.5%/year</w:t>
            </w:r>
          </w:p>
        </w:tc>
        <w:tc>
          <w:tcPr>
            <w:tcW w:w="1600" w:type="dxa"/>
            <w:tcMar>
              <w:top w:w="60" w:type="dxa"/>
              <w:left w:w="70" w:type="dxa"/>
              <w:bottom w:w="60" w:type="dxa"/>
              <w:right w:w="70" w:type="dxa"/>
            </w:tcMar>
            <w:vAlign w:val="center"/>
          </w:tcPr>
          <w:p w14:paraId="457BAFD7" w14:textId="77777777" w:rsidR="009A7901" w:rsidRDefault="009A7901">
            <w:pPr>
              <w:spacing w:line="240" w:lineRule="auto"/>
            </w:pPr>
            <w:r>
              <w:rPr>
                <w:rFonts w:eastAsia="Arial" w:cs="Arial"/>
                <w:sz w:val="15"/>
              </w:rPr>
              <w:t>−</w:t>
            </w:r>
            <w:r>
              <w:rPr>
                <w:rFonts w:eastAsia="Arial" w:cs="Arial"/>
                <w:sz w:val="15"/>
              </w:rPr>
              <w:t>6.0%/year</w:t>
            </w:r>
          </w:p>
        </w:tc>
        <w:tc>
          <w:tcPr>
            <w:tcW w:w="2453" w:type="dxa"/>
            <w:tcMar>
              <w:top w:w="60" w:type="dxa"/>
              <w:left w:w="70" w:type="dxa"/>
              <w:bottom w:w="60" w:type="dxa"/>
              <w:right w:w="70" w:type="dxa"/>
            </w:tcMar>
            <w:vAlign w:val="center"/>
          </w:tcPr>
          <w:p w14:paraId="3515B415" w14:textId="77777777" w:rsidR="009A7901" w:rsidRDefault="009A7901">
            <w:pPr>
              <w:spacing w:line="240" w:lineRule="auto"/>
            </w:pPr>
            <w:r>
              <w:rPr>
                <w:rFonts w:eastAsia="Arial" w:cs="Arial"/>
                <w:sz w:val="15"/>
              </w:rPr>
              <w:t>40 deaths/1 000 live births to 29.3 by 2028 (25 by 2030, global target); SRMNIA-N 2024–2028 [29]; UN SDG target 3.2 [30]</w:t>
            </w:r>
          </w:p>
        </w:tc>
      </w:tr>
      <w:tr w:rsidR="003E4513" w14:paraId="57FBD5B9" w14:textId="77777777">
        <w:tc>
          <w:tcPr>
            <w:tcW w:w="2600" w:type="dxa"/>
            <w:tcMar>
              <w:top w:w="60" w:type="dxa"/>
              <w:left w:w="70" w:type="dxa"/>
              <w:bottom w:w="60" w:type="dxa"/>
              <w:right w:w="70" w:type="dxa"/>
            </w:tcMar>
            <w:vAlign w:val="center"/>
          </w:tcPr>
          <w:p w14:paraId="4CB746CC" w14:textId="77777777" w:rsidR="009A7901" w:rsidRDefault="009A7901">
            <w:pPr>
              <w:spacing w:line="240" w:lineRule="auto"/>
            </w:pPr>
            <w:r>
              <w:rPr>
                <w:rFonts w:eastAsia="Arial" w:cs="Arial"/>
                <w:sz w:val="15"/>
              </w:rPr>
              <w:t>Stunting reduction</w:t>
            </w:r>
          </w:p>
        </w:tc>
        <w:tc>
          <w:tcPr>
            <w:tcW w:w="1350" w:type="dxa"/>
            <w:tcMar>
              <w:top w:w="60" w:type="dxa"/>
              <w:left w:w="70" w:type="dxa"/>
              <w:bottom w:w="60" w:type="dxa"/>
              <w:right w:w="70" w:type="dxa"/>
            </w:tcMar>
            <w:vAlign w:val="center"/>
          </w:tcPr>
          <w:p w14:paraId="2E23CD49" w14:textId="77777777" w:rsidR="009A7901" w:rsidRDefault="009A7901">
            <w:pPr>
              <w:spacing w:line="240" w:lineRule="auto"/>
            </w:pPr>
            <w:r>
              <w:rPr>
                <w:rFonts w:eastAsia="Arial" w:cs="Arial"/>
                <w:sz w:val="15"/>
              </w:rPr>
              <w:t>−</w:t>
            </w:r>
            <w:r>
              <w:rPr>
                <w:rFonts w:eastAsia="Arial" w:cs="Arial"/>
                <w:sz w:val="15"/>
              </w:rPr>
              <w:t>2.0%/year</w:t>
            </w:r>
          </w:p>
        </w:tc>
        <w:tc>
          <w:tcPr>
            <w:tcW w:w="1350" w:type="dxa"/>
            <w:tcMar>
              <w:top w:w="60" w:type="dxa"/>
              <w:left w:w="70" w:type="dxa"/>
              <w:bottom w:w="60" w:type="dxa"/>
              <w:right w:w="70" w:type="dxa"/>
            </w:tcMar>
            <w:vAlign w:val="center"/>
          </w:tcPr>
          <w:p w14:paraId="2E8746CF" w14:textId="77777777" w:rsidR="009A7901" w:rsidRDefault="009A7901">
            <w:pPr>
              <w:spacing w:line="240" w:lineRule="auto"/>
            </w:pPr>
            <w:r>
              <w:rPr>
                <w:rFonts w:eastAsia="Arial" w:cs="Arial"/>
                <w:sz w:val="15"/>
              </w:rPr>
              <w:t>−</w:t>
            </w:r>
            <w:r>
              <w:rPr>
                <w:rFonts w:eastAsia="Arial" w:cs="Arial"/>
                <w:sz w:val="15"/>
              </w:rPr>
              <w:t>5.0%/year</w:t>
            </w:r>
          </w:p>
        </w:tc>
        <w:tc>
          <w:tcPr>
            <w:tcW w:w="1600" w:type="dxa"/>
            <w:tcMar>
              <w:top w:w="60" w:type="dxa"/>
              <w:left w:w="70" w:type="dxa"/>
              <w:bottom w:w="60" w:type="dxa"/>
              <w:right w:w="70" w:type="dxa"/>
            </w:tcMar>
            <w:vAlign w:val="center"/>
          </w:tcPr>
          <w:p w14:paraId="16B42C26" w14:textId="77777777" w:rsidR="009A7901" w:rsidRDefault="009A7901">
            <w:pPr>
              <w:spacing w:line="240" w:lineRule="auto"/>
            </w:pPr>
            <w:r>
              <w:rPr>
                <w:rFonts w:eastAsia="Arial" w:cs="Arial"/>
                <w:sz w:val="15"/>
              </w:rPr>
              <w:t>−</w:t>
            </w:r>
            <w:r>
              <w:rPr>
                <w:rFonts w:eastAsia="Arial" w:cs="Arial"/>
                <w:sz w:val="15"/>
              </w:rPr>
              <w:t>10.0%/year</w:t>
            </w:r>
          </w:p>
        </w:tc>
        <w:tc>
          <w:tcPr>
            <w:tcW w:w="2453" w:type="dxa"/>
            <w:tcMar>
              <w:top w:w="60" w:type="dxa"/>
              <w:left w:w="70" w:type="dxa"/>
              <w:bottom w:w="60" w:type="dxa"/>
              <w:right w:w="70" w:type="dxa"/>
            </w:tcMar>
            <w:vAlign w:val="center"/>
          </w:tcPr>
          <w:p w14:paraId="190E6315" w14:textId="77777777" w:rsidR="009A7901" w:rsidRDefault="009A7901">
            <w:pPr>
              <w:spacing w:line="240" w:lineRule="auto"/>
            </w:pPr>
            <w:r>
              <w:rPr>
                <w:rFonts w:eastAsia="Arial" w:cs="Arial"/>
                <w:sz w:val="15"/>
              </w:rPr>
              <w:t>17.5% of children affected to below 10% by 2028; SRMNIA-N 2024–2028 [29]</w:t>
            </w:r>
          </w:p>
        </w:tc>
      </w:tr>
      <w:tr w:rsidR="003E4513" w14:paraId="7BE2005B" w14:textId="77777777">
        <w:tc>
          <w:tcPr>
            <w:tcW w:w="2600" w:type="dxa"/>
            <w:tcMar>
              <w:top w:w="60" w:type="dxa"/>
              <w:left w:w="70" w:type="dxa"/>
              <w:bottom w:w="60" w:type="dxa"/>
              <w:right w:w="70" w:type="dxa"/>
            </w:tcMar>
            <w:vAlign w:val="center"/>
          </w:tcPr>
          <w:p w14:paraId="734303C7" w14:textId="77777777" w:rsidR="009A7901" w:rsidRDefault="009A7901">
            <w:pPr>
              <w:spacing w:line="240" w:lineRule="auto"/>
            </w:pPr>
            <w:r>
              <w:rPr>
                <w:rFonts w:eastAsia="Arial" w:cs="Arial"/>
                <w:sz w:val="15"/>
              </w:rPr>
              <w:t>Facility-based delivery gain</w:t>
            </w:r>
          </w:p>
        </w:tc>
        <w:tc>
          <w:tcPr>
            <w:tcW w:w="1350" w:type="dxa"/>
            <w:tcMar>
              <w:top w:w="60" w:type="dxa"/>
              <w:left w:w="70" w:type="dxa"/>
              <w:bottom w:w="60" w:type="dxa"/>
              <w:right w:w="70" w:type="dxa"/>
            </w:tcMar>
            <w:vAlign w:val="center"/>
          </w:tcPr>
          <w:p w14:paraId="6CF4E6DF" w14:textId="77777777" w:rsidR="009A7901" w:rsidRDefault="009A7901">
            <w:pPr>
              <w:spacing w:line="240" w:lineRule="auto"/>
            </w:pPr>
            <w:r>
              <w:rPr>
                <w:rFonts w:eastAsia="Arial" w:cs="Arial"/>
                <w:sz w:val="15"/>
              </w:rPr>
              <w:t>+0.5 pt/year</w:t>
            </w:r>
          </w:p>
        </w:tc>
        <w:tc>
          <w:tcPr>
            <w:tcW w:w="1350" w:type="dxa"/>
            <w:tcMar>
              <w:top w:w="60" w:type="dxa"/>
              <w:left w:w="70" w:type="dxa"/>
              <w:bottom w:w="60" w:type="dxa"/>
              <w:right w:w="70" w:type="dxa"/>
            </w:tcMar>
            <w:vAlign w:val="center"/>
          </w:tcPr>
          <w:p w14:paraId="0A49E357" w14:textId="77777777" w:rsidR="009A7901" w:rsidRDefault="009A7901">
            <w:pPr>
              <w:spacing w:line="240" w:lineRule="auto"/>
            </w:pPr>
            <w:r>
              <w:rPr>
                <w:rFonts w:eastAsia="Arial" w:cs="Arial"/>
                <w:sz w:val="15"/>
              </w:rPr>
              <w:t>+1.0 pt/year</w:t>
            </w:r>
          </w:p>
        </w:tc>
        <w:tc>
          <w:tcPr>
            <w:tcW w:w="1600" w:type="dxa"/>
            <w:tcMar>
              <w:top w:w="60" w:type="dxa"/>
              <w:left w:w="70" w:type="dxa"/>
              <w:bottom w:w="60" w:type="dxa"/>
              <w:right w:w="70" w:type="dxa"/>
            </w:tcMar>
            <w:vAlign w:val="center"/>
          </w:tcPr>
          <w:p w14:paraId="4FA32A7D" w14:textId="77777777" w:rsidR="009A7901" w:rsidRDefault="009A7901">
            <w:pPr>
              <w:spacing w:line="240" w:lineRule="auto"/>
            </w:pPr>
            <w:r>
              <w:rPr>
                <w:rFonts w:eastAsia="Arial" w:cs="Arial"/>
                <w:sz w:val="15"/>
              </w:rPr>
              <w:t>+2.0 pt/year</w:t>
            </w:r>
          </w:p>
        </w:tc>
        <w:tc>
          <w:tcPr>
            <w:tcW w:w="2453" w:type="dxa"/>
            <w:tcMar>
              <w:top w:w="60" w:type="dxa"/>
              <w:left w:w="70" w:type="dxa"/>
              <w:bottom w:w="60" w:type="dxa"/>
              <w:right w:w="70" w:type="dxa"/>
            </w:tcMar>
            <w:vAlign w:val="center"/>
          </w:tcPr>
          <w:p w14:paraId="41A1EBDB" w14:textId="77777777" w:rsidR="009A7901" w:rsidRDefault="009A7901">
            <w:pPr>
              <w:spacing w:line="240" w:lineRule="auto"/>
            </w:pPr>
            <w:r>
              <w:rPr>
                <w:rFonts w:eastAsia="Arial" w:cs="Arial"/>
                <w:sz w:val="15"/>
              </w:rPr>
              <w:t>74% of births assisted in a facility to 90% by 2028; SRMNIA-N 2024–2028 [29]</w:t>
            </w:r>
          </w:p>
        </w:tc>
      </w:tr>
      <w:tr w:rsidR="003E4513" w14:paraId="32ECCFCF" w14:textId="77777777">
        <w:tc>
          <w:tcPr>
            <w:tcW w:w="2600" w:type="dxa"/>
            <w:tcMar>
              <w:top w:w="60" w:type="dxa"/>
              <w:left w:w="70" w:type="dxa"/>
              <w:bottom w:w="60" w:type="dxa"/>
              <w:right w:w="70" w:type="dxa"/>
            </w:tcMar>
            <w:vAlign w:val="center"/>
          </w:tcPr>
          <w:p w14:paraId="28348E0F" w14:textId="77777777" w:rsidR="009A7901" w:rsidRDefault="009A7901">
            <w:pPr>
              <w:spacing w:line="240" w:lineRule="auto"/>
            </w:pPr>
            <w:r>
              <w:rPr>
                <w:rFonts w:eastAsia="Arial" w:cs="Arial"/>
                <w:sz w:val="15"/>
              </w:rPr>
              <w:t>Primary-health-care supply growth</w:t>
            </w:r>
          </w:p>
        </w:tc>
        <w:tc>
          <w:tcPr>
            <w:tcW w:w="1350" w:type="dxa"/>
            <w:tcMar>
              <w:top w:w="60" w:type="dxa"/>
              <w:left w:w="70" w:type="dxa"/>
              <w:bottom w:w="60" w:type="dxa"/>
              <w:right w:w="70" w:type="dxa"/>
            </w:tcMar>
            <w:vAlign w:val="center"/>
          </w:tcPr>
          <w:p w14:paraId="033A979D" w14:textId="77777777" w:rsidR="009A7901" w:rsidRDefault="009A7901">
            <w:pPr>
              <w:spacing w:line="240" w:lineRule="auto"/>
            </w:pPr>
            <w:r>
              <w:rPr>
                <w:rFonts w:eastAsia="Arial" w:cs="Arial"/>
                <w:sz w:val="15"/>
              </w:rPr>
              <w:t>0.5%/year</w:t>
            </w:r>
          </w:p>
        </w:tc>
        <w:tc>
          <w:tcPr>
            <w:tcW w:w="1350" w:type="dxa"/>
            <w:tcMar>
              <w:top w:w="60" w:type="dxa"/>
              <w:left w:w="70" w:type="dxa"/>
              <w:bottom w:w="60" w:type="dxa"/>
              <w:right w:w="70" w:type="dxa"/>
            </w:tcMar>
            <w:vAlign w:val="center"/>
          </w:tcPr>
          <w:p w14:paraId="79D7246B" w14:textId="77777777" w:rsidR="009A7901" w:rsidRDefault="009A7901">
            <w:pPr>
              <w:spacing w:line="240" w:lineRule="auto"/>
            </w:pPr>
            <w:r>
              <w:rPr>
                <w:rFonts w:eastAsia="Arial" w:cs="Arial"/>
                <w:sz w:val="15"/>
              </w:rPr>
              <w:t>1.5%/year</w:t>
            </w:r>
          </w:p>
        </w:tc>
        <w:tc>
          <w:tcPr>
            <w:tcW w:w="1600" w:type="dxa"/>
            <w:tcMar>
              <w:top w:w="60" w:type="dxa"/>
              <w:left w:w="70" w:type="dxa"/>
              <w:bottom w:w="60" w:type="dxa"/>
              <w:right w:w="70" w:type="dxa"/>
            </w:tcMar>
            <w:vAlign w:val="center"/>
          </w:tcPr>
          <w:p w14:paraId="4D9D1A87" w14:textId="77777777" w:rsidR="009A7901" w:rsidRDefault="009A7901">
            <w:pPr>
              <w:spacing w:line="240" w:lineRule="auto"/>
            </w:pPr>
            <w:r>
              <w:rPr>
                <w:rFonts w:eastAsia="Arial" w:cs="Arial"/>
                <w:sz w:val="15"/>
              </w:rPr>
              <w:t>3.0%/year</w:t>
            </w:r>
          </w:p>
        </w:tc>
        <w:tc>
          <w:tcPr>
            <w:tcW w:w="2453" w:type="dxa"/>
            <w:tcMar>
              <w:top w:w="60" w:type="dxa"/>
              <w:left w:w="70" w:type="dxa"/>
              <w:bottom w:w="60" w:type="dxa"/>
              <w:right w:w="70" w:type="dxa"/>
            </w:tcMar>
            <w:vAlign w:val="center"/>
          </w:tcPr>
          <w:p w14:paraId="1F0F8EFA" w14:textId="77777777" w:rsidR="009A7901" w:rsidRDefault="009A7901">
            <w:pPr>
              <w:spacing w:line="240" w:lineRule="auto"/>
            </w:pPr>
            <w:r>
              <w:rPr>
                <w:rFonts w:eastAsia="Arial" w:cs="Arial"/>
                <w:sz w:val="15"/>
              </w:rPr>
              <w:t>Working assumption; no equivalent quantified national target identified</w:t>
            </w:r>
          </w:p>
        </w:tc>
      </w:tr>
    </w:tbl>
    <w:p w14:paraId="41ECFA83" w14:textId="77777777" w:rsidR="009A7901" w:rsidRDefault="009A7901">
      <w:pPr>
        <w:pStyle w:val="Lgende"/>
      </w:pPr>
      <w:r>
        <w:rPr>
          <w:rFonts w:eastAsia="Arial" w:cs="Arial"/>
        </w:rPr>
        <w:t>Note: “Central” is used as the simulator’s default active scenario. Growth and reduction rates are policy-planning assumptions used to project the envelope and component indicators after 2018; they are not estimates from Models M1–M7. pt, percentage point; SDG, Sustainable Development Goal.</w:t>
      </w:r>
    </w:p>
    <w:p w14:paraId="3B5343EA" w14:textId="77777777" w:rsidR="009A7901" w:rsidRDefault="009A7901">
      <w:pPr>
        <w:jc w:val="both"/>
      </w:pPr>
      <w:r>
        <w:rPr>
          <w:rFonts w:eastAsia="Arial" w:cs="Arial"/>
        </w:rPr>
        <w:t>Subsequent to the scenario definitions in Supplementary Table S8, the envelope growth assumption (Eₜ) was recalibrated in September 2026 using the Ministry's approved multi-year expenditure programming documents (Document de programmation pluriannuelle des dépenses, DPPD) as the projection basis. The Prudent, Central and Transformation 2050 growth rates were replaced with the lowest, average (compound annual) and highest annual growth rates of the Ministry's total budget observed across the DPPD 2025–2027 a</w:t>
      </w:r>
      <w:r>
        <w:rPr>
          <w:rFonts w:eastAsia="Arial" w:cs="Arial"/>
        </w:rPr>
        <w:t xml:space="preserve">nd the more </w:t>
      </w:r>
      <w:r>
        <w:rPr>
          <w:rFonts w:eastAsia="Arial" w:cs="Arial"/>
        </w:rPr>
        <w:t>recent DPPD 2026–2028 [27,28], yielding 1.3%, 2.2% and 3.2% per year respectively. The remaining scenario components (population, poverty, mortality, stunting, facility-based delivery and primary-health-care supply growth) rely on the Sénégal 2050 and SRMNIA-N targets, as no equivalent multi-year district-level targets are yet available from the DPPD.</w:t>
      </w:r>
    </w:p>
    <w:p w14:paraId="04613710" w14:textId="77777777" w:rsidR="005E1E0D" w:rsidRDefault="002265E2">
      <w:pPr>
        <w:pStyle w:val="Titre1"/>
      </w:pPr>
      <w:r>
        <w:t>Simulator quality assurance</w:t>
      </w:r>
    </w:p>
    <w:p w14:paraId="208A0621" w14:textId="77777777" w:rsidR="005E1E0D" w:rsidRDefault="002265E2">
      <w:r>
        <w:t>The integrated rule was implemented in a spreadsheet simulator covering 71 health districts and 14 DRS for 2016-2030. Observed BOOST allocations for 2016-2018 form the historical anchor. The workbook produces district allocations, deviations from the historical path, per-capita amounts and gain-or-loss indicators under alternative national-envelope and transition assumptions.</w:t>
      </w:r>
    </w:p>
    <w:p w14:paraId="6A19E4FF" w14:textId="77777777" w:rsidR="00790EF8" w:rsidRDefault="009A7901">
      <w:pPr>
        <w:pStyle w:val="Lgende"/>
      </w:pPr>
      <w:r>
        <w:t>Supplementary Table S9. Simulator quality-assurance controls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088"/>
        <w:gridCol w:w="4680"/>
        <w:gridCol w:w="3312"/>
      </w:tblGrid>
      <w:tr w:rsidR="005E1E0D" w14:paraId="04E69012" w14:textId="77777777">
        <w:trPr>
          <w:cantSplit/>
          <w:tblHeader/>
          <w:jc w:val="center"/>
        </w:trPr>
        <w:tc>
          <w:tcPr>
            <w:tcW w:w="2088" w:type="dxa"/>
            <w:tcMar>
              <w:top w:w="80" w:type="dxa"/>
              <w:left w:w="90" w:type="dxa"/>
              <w:bottom w:w="80" w:type="dxa"/>
              <w:right w:w="90" w:type="dxa"/>
            </w:tcMar>
            <w:vAlign w:val="center"/>
          </w:tcPr>
          <w:p w14:paraId="7E72EFA3" w14:textId="77777777" w:rsidR="005E1E0D" w:rsidRDefault="002265E2">
            <w:r>
              <w:rPr>
                <w:b/>
                <w:sz w:val="18"/>
              </w:rPr>
              <w:lastRenderedPageBreak/>
              <w:t>Control</w:t>
            </w:r>
          </w:p>
        </w:tc>
        <w:tc>
          <w:tcPr>
            <w:tcW w:w="4680" w:type="dxa"/>
            <w:tcMar>
              <w:top w:w="80" w:type="dxa"/>
              <w:left w:w="90" w:type="dxa"/>
              <w:bottom w:w="80" w:type="dxa"/>
              <w:right w:w="90" w:type="dxa"/>
            </w:tcMar>
            <w:vAlign w:val="center"/>
          </w:tcPr>
          <w:p w14:paraId="1A603ABA" w14:textId="77777777" w:rsidR="005E1E0D" w:rsidRDefault="002265E2">
            <w:r>
              <w:rPr>
                <w:b/>
                <w:sz w:val="18"/>
              </w:rPr>
              <w:t>Expected condition</w:t>
            </w:r>
          </w:p>
        </w:tc>
        <w:tc>
          <w:tcPr>
            <w:tcW w:w="3312" w:type="dxa"/>
            <w:tcMar>
              <w:top w:w="80" w:type="dxa"/>
              <w:left w:w="90" w:type="dxa"/>
              <w:bottom w:w="80" w:type="dxa"/>
              <w:right w:w="90" w:type="dxa"/>
            </w:tcMar>
            <w:vAlign w:val="center"/>
          </w:tcPr>
          <w:p w14:paraId="78B9A472" w14:textId="77777777" w:rsidR="005E1E0D" w:rsidRDefault="002265E2">
            <w:r>
              <w:rPr>
                <w:b/>
                <w:sz w:val="18"/>
              </w:rPr>
              <w:t>Purpose</w:t>
            </w:r>
          </w:p>
        </w:tc>
      </w:tr>
      <w:tr w:rsidR="005E1E0D" w14:paraId="73FD1A44" w14:textId="77777777">
        <w:trPr>
          <w:cantSplit/>
          <w:jc w:val="center"/>
        </w:trPr>
        <w:tc>
          <w:tcPr>
            <w:tcW w:w="2088" w:type="dxa"/>
            <w:tcMar>
              <w:top w:w="80" w:type="dxa"/>
              <w:left w:w="90" w:type="dxa"/>
              <w:bottom w:w="80" w:type="dxa"/>
              <w:right w:w="90" w:type="dxa"/>
            </w:tcMar>
            <w:vAlign w:val="center"/>
          </w:tcPr>
          <w:p w14:paraId="1C31B053" w14:textId="77777777" w:rsidR="005E1E0D" w:rsidRDefault="002265E2">
            <w:pPr>
              <w:spacing w:after="0" w:line="240" w:lineRule="auto"/>
            </w:pPr>
            <w:r>
              <w:rPr>
                <w:sz w:val="17"/>
              </w:rPr>
              <w:t>Historical reproduction</w:t>
            </w:r>
          </w:p>
        </w:tc>
        <w:tc>
          <w:tcPr>
            <w:tcW w:w="4680" w:type="dxa"/>
            <w:tcMar>
              <w:top w:w="80" w:type="dxa"/>
              <w:left w:w="90" w:type="dxa"/>
              <w:bottom w:w="80" w:type="dxa"/>
              <w:right w:w="90" w:type="dxa"/>
            </w:tcMar>
            <w:vAlign w:val="center"/>
          </w:tcPr>
          <w:p w14:paraId="394612F4" w14:textId="77777777" w:rsidR="005E1E0D" w:rsidRDefault="002265E2">
            <w:pPr>
              <w:spacing w:after="0" w:line="240" w:lineRule="auto"/>
            </w:pPr>
            <w:r>
              <w:rPr>
                <w:sz w:val="17"/>
              </w:rPr>
              <w:t>District and national totals reproduce the observed 2016-2018 BOOST values</w:t>
            </w:r>
          </w:p>
        </w:tc>
        <w:tc>
          <w:tcPr>
            <w:tcW w:w="3312" w:type="dxa"/>
            <w:tcMar>
              <w:top w:w="80" w:type="dxa"/>
              <w:left w:w="90" w:type="dxa"/>
              <w:bottom w:w="80" w:type="dxa"/>
              <w:right w:w="90" w:type="dxa"/>
            </w:tcMar>
            <w:vAlign w:val="center"/>
          </w:tcPr>
          <w:p w14:paraId="5051FA53" w14:textId="77777777" w:rsidR="005E1E0D" w:rsidRDefault="002265E2">
            <w:pPr>
              <w:spacing w:after="0" w:line="240" w:lineRule="auto"/>
            </w:pPr>
            <w:r>
              <w:rPr>
                <w:sz w:val="17"/>
              </w:rPr>
              <w:t>Traceability to source data</w:t>
            </w:r>
          </w:p>
        </w:tc>
      </w:tr>
      <w:tr w:rsidR="005E1E0D" w14:paraId="4CCE6B78" w14:textId="77777777">
        <w:trPr>
          <w:cantSplit/>
          <w:jc w:val="center"/>
        </w:trPr>
        <w:tc>
          <w:tcPr>
            <w:tcW w:w="2088" w:type="dxa"/>
            <w:tcMar>
              <w:top w:w="80" w:type="dxa"/>
              <w:left w:w="90" w:type="dxa"/>
              <w:bottom w:w="80" w:type="dxa"/>
              <w:right w:w="90" w:type="dxa"/>
            </w:tcMar>
            <w:vAlign w:val="center"/>
          </w:tcPr>
          <w:p w14:paraId="4FE593EB" w14:textId="77777777" w:rsidR="005E1E0D" w:rsidRDefault="002265E2">
            <w:pPr>
              <w:spacing w:after="0" w:line="240" w:lineRule="auto"/>
            </w:pPr>
            <w:r>
              <w:rPr>
                <w:sz w:val="17"/>
              </w:rPr>
              <w:t>Share control</w:t>
            </w:r>
          </w:p>
        </w:tc>
        <w:tc>
          <w:tcPr>
            <w:tcW w:w="4680" w:type="dxa"/>
            <w:tcMar>
              <w:top w:w="80" w:type="dxa"/>
              <w:left w:w="90" w:type="dxa"/>
              <w:bottom w:w="80" w:type="dxa"/>
              <w:right w:w="90" w:type="dxa"/>
            </w:tcMar>
            <w:vAlign w:val="center"/>
          </w:tcPr>
          <w:p w14:paraId="356889E5" w14:textId="77777777" w:rsidR="005E1E0D" w:rsidRDefault="002265E2">
            <w:pPr>
              <w:spacing w:after="0" w:line="240" w:lineRule="auto"/>
            </w:pPr>
            <w:r>
              <w:rPr>
                <w:sz w:val="17"/>
              </w:rPr>
              <w:t>Allocation shares sum to 1 within each year</w:t>
            </w:r>
          </w:p>
        </w:tc>
        <w:tc>
          <w:tcPr>
            <w:tcW w:w="3312" w:type="dxa"/>
            <w:tcMar>
              <w:top w:w="80" w:type="dxa"/>
              <w:left w:w="90" w:type="dxa"/>
              <w:bottom w:w="80" w:type="dxa"/>
              <w:right w:w="90" w:type="dxa"/>
            </w:tcMar>
            <w:vAlign w:val="center"/>
          </w:tcPr>
          <w:p w14:paraId="067EE2C6" w14:textId="77777777" w:rsidR="005E1E0D" w:rsidRDefault="002265E2">
            <w:pPr>
              <w:spacing w:after="0" w:line="240" w:lineRule="auto"/>
            </w:pPr>
            <w:r>
              <w:rPr>
                <w:sz w:val="17"/>
              </w:rPr>
              <w:t>Internal consistency</w:t>
            </w:r>
          </w:p>
        </w:tc>
      </w:tr>
      <w:tr w:rsidR="005E1E0D" w14:paraId="37E1C9F9" w14:textId="77777777">
        <w:trPr>
          <w:cantSplit/>
          <w:jc w:val="center"/>
        </w:trPr>
        <w:tc>
          <w:tcPr>
            <w:tcW w:w="2088" w:type="dxa"/>
            <w:tcMar>
              <w:top w:w="80" w:type="dxa"/>
              <w:left w:w="90" w:type="dxa"/>
              <w:bottom w:w="80" w:type="dxa"/>
              <w:right w:w="90" w:type="dxa"/>
            </w:tcMar>
            <w:vAlign w:val="center"/>
          </w:tcPr>
          <w:p w14:paraId="25FDB482" w14:textId="77777777" w:rsidR="005E1E0D" w:rsidRDefault="002265E2">
            <w:pPr>
              <w:spacing w:after="0" w:line="240" w:lineRule="auto"/>
            </w:pPr>
            <w:r>
              <w:rPr>
                <w:sz w:val="17"/>
              </w:rPr>
              <w:t>Budget neutrality</w:t>
            </w:r>
          </w:p>
        </w:tc>
        <w:tc>
          <w:tcPr>
            <w:tcW w:w="4680" w:type="dxa"/>
            <w:tcMar>
              <w:top w:w="80" w:type="dxa"/>
              <w:left w:w="90" w:type="dxa"/>
              <w:bottom w:w="80" w:type="dxa"/>
              <w:right w:w="90" w:type="dxa"/>
            </w:tcMar>
            <w:vAlign w:val="center"/>
          </w:tcPr>
          <w:p w14:paraId="1102B7DF" w14:textId="77777777" w:rsidR="005E1E0D" w:rsidRDefault="002265E2">
            <w:pPr>
              <w:spacing w:after="0" w:line="240" w:lineRule="auto"/>
            </w:pPr>
            <w:r>
              <w:rPr>
                <w:sz w:val="17"/>
              </w:rPr>
              <w:t>Final district allocations sum to E_t</w:t>
            </w:r>
          </w:p>
        </w:tc>
        <w:tc>
          <w:tcPr>
            <w:tcW w:w="3312" w:type="dxa"/>
            <w:tcMar>
              <w:top w:w="80" w:type="dxa"/>
              <w:left w:w="90" w:type="dxa"/>
              <w:bottom w:w="80" w:type="dxa"/>
              <w:right w:w="90" w:type="dxa"/>
            </w:tcMar>
            <w:vAlign w:val="center"/>
          </w:tcPr>
          <w:p w14:paraId="305494EB" w14:textId="77777777" w:rsidR="005E1E0D" w:rsidRDefault="002265E2">
            <w:pPr>
              <w:spacing w:after="0" w:line="240" w:lineRule="auto"/>
            </w:pPr>
            <w:r>
              <w:rPr>
                <w:sz w:val="17"/>
              </w:rPr>
              <w:t>Respect of the national envelope</w:t>
            </w:r>
          </w:p>
        </w:tc>
      </w:tr>
      <w:tr w:rsidR="005E1E0D" w14:paraId="0C00C862" w14:textId="77777777">
        <w:trPr>
          <w:cantSplit/>
          <w:jc w:val="center"/>
        </w:trPr>
        <w:tc>
          <w:tcPr>
            <w:tcW w:w="2088" w:type="dxa"/>
            <w:tcMar>
              <w:top w:w="80" w:type="dxa"/>
              <w:left w:w="90" w:type="dxa"/>
              <w:bottom w:w="80" w:type="dxa"/>
              <w:right w:w="90" w:type="dxa"/>
            </w:tcMar>
            <w:vAlign w:val="center"/>
          </w:tcPr>
          <w:p w14:paraId="6C0E1DAF" w14:textId="77777777" w:rsidR="005E1E0D" w:rsidRDefault="002265E2">
            <w:pPr>
              <w:spacing w:after="0" w:line="240" w:lineRule="auto"/>
            </w:pPr>
            <w:r>
              <w:rPr>
                <w:sz w:val="17"/>
              </w:rPr>
              <w:t>Transition control</w:t>
            </w:r>
          </w:p>
        </w:tc>
        <w:tc>
          <w:tcPr>
            <w:tcW w:w="4680" w:type="dxa"/>
            <w:tcMar>
              <w:top w:w="80" w:type="dxa"/>
              <w:left w:w="90" w:type="dxa"/>
              <w:bottom w:w="80" w:type="dxa"/>
              <w:right w:w="90" w:type="dxa"/>
            </w:tcMar>
            <w:vAlign w:val="center"/>
          </w:tcPr>
          <w:p w14:paraId="7495C6AB" w14:textId="77777777" w:rsidR="005E1E0D" w:rsidRDefault="002265E2">
            <w:pPr>
              <w:spacing w:after="0" w:line="240" w:lineRule="auto"/>
            </w:pPr>
            <w:r>
              <w:rPr>
                <w:sz w:val="17"/>
              </w:rPr>
              <w:t>lambda_t and safeguards follow the selected scenario</w:t>
            </w:r>
          </w:p>
        </w:tc>
        <w:tc>
          <w:tcPr>
            <w:tcW w:w="3312" w:type="dxa"/>
            <w:tcMar>
              <w:top w:w="80" w:type="dxa"/>
              <w:left w:w="90" w:type="dxa"/>
              <w:bottom w:w="80" w:type="dxa"/>
              <w:right w:w="90" w:type="dxa"/>
            </w:tcMar>
            <w:vAlign w:val="center"/>
          </w:tcPr>
          <w:p w14:paraId="30F39751" w14:textId="77777777" w:rsidR="005E1E0D" w:rsidRDefault="002265E2">
            <w:pPr>
              <w:spacing w:after="0" w:line="240" w:lineRule="auto"/>
            </w:pPr>
            <w:r>
              <w:rPr>
                <w:sz w:val="17"/>
              </w:rPr>
              <w:t>Policy consistency</w:t>
            </w:r>
          </w:p>
        </w:tc>
      </w:tr>
      <w:tr w:rsidR="005E1E0D" w14:paraId="5155DFFC" w14:textId="77777777">
        <w:trPr>
          <w:cantSplit/>
          <w:jc w:val="center"/>
        </w:trPr>
        <w:tc>
          <w:tcPr>
            <w:tcW w:w="2088" w:type="dxa"/>
            <w:tcMar>
              <w:top w:w="80" w:type="dxa"/>
              <w:left w:w="90" w:type="dxa"/>
              <w:bottom w:w="80" w:type="dxa"/>
              <w:right w:w="90" w:type="dxa"/>
            </w:tcMar>
            <w:vAlign w:val="center"/>
          </w:tcPr>
          <w:p w14:paraId="151415CC" w14:textId="77777777" w:rsidR="005E1E0D" w:rsidRDefault="002265E2">
            <w:pPr>
              <w:spacing w:after="0" w:line="240" w:lineRule="auto"/>
            </w:pPr>
            <w:r>
              <w:rPr>
                <w:sz w:val="17"/>
              </w:rPr>
              <w:t>Range and sign checks</w:t>
            </w:r>
          </w:p>
        </w:tc>
        <w:tc>
          <w:tcPr>
            <w:tcW w:w="4680" w:type="dxa"/>
            <w:tcMar>
              <w:top w:w="80" w:type="dxa"/>
              <w:left w:w="90" w:type="dxa"/>
              <w:bottom w:w="80" w:type="dxa"/>
              <w:right w:w="90" w:type="dxa"/>
            </w:tcMar>
            <w:vAlign w:val="center"/>
          </w:tcPr>
          <w:p w14:paraId="3E94DD72" w14:textId="77777777" w:rsidR="005E1E0D" w:rsidRDefault="002265E2">
            <w:pPr>
              <w:spacing w:after="0" w:line="240" w:lineRule="auto"/>
            </w:pPr>
            <w:r>
              <w:rPr>
                <w:sz w:val="17"/>
              </w:rPr>
              <w:t>No negative allocations; indicator directions are consistent</w:t>
            </w:r>
          </w:p>
        </w:tc>
        <w:tc>
          <w:tcPr>
            <w:tcW w:w="3312" w:type="dxa"/>
            <w:tcMar>
              <w:top w:w="80" w:type="dxa"/>
              <w:left w:w="90" w:type="dxa"/>
              <w:bottom w:w="80" w:type="dxa"/>
              <w:right w:w="90" w:type="dxa"/>
            </w:tcMar>
            <w:vAlign w:val="center"/>
          </w:tcPr>
          <w:p w14:paraId="700029F0" w14:textId="77777777" w:rsidR="005E1E0D" w:rsidRDefault="002265E2">
            <w:pPr>
              <w:spacing w:after="0" w:line="240" w:lineRule="auto"/>
            </w:pPr>
            <w:r>
              <w:rPr>
                <w:sz w:val="17"/>
              </w:rPr>
              <w:t>Error detection</w:t>
            </w:r>
          </w:p>
        </w:tc>
      </w:tr>
      <w:tr w:rsidR="005E1E0D" w14:paraId="730E2A40" w14:textId="77777777">
        <w:trPr>
          <w:cantSplit/>
          <w:jc w:val="center"/>
        </w:trPr>
        <w:tc>
          <w:tcPr>
            <w:tcW w:w="2088" w:type="dxa"/>
            <w:tcMar>
              <w:top w:w="80" w:type="dxa"/>
              <w:left w:w="90" w:type="dxa"/>
              <w:bottom w:w="80" w:type="dxa"/>
              <w:right w:w="90" w:type="dxa"/>
            </w:tcMar>
            <w:vAlign w:val="center"/>
          </w:tcPr>
          <w:p w14:paraId="667EB3DD" w14:textId="77777777" w:rsidR="005E1E0D" w:rsidRDefault="002265E2">
            <w:pPr>
              <w:spacing w:after="0" w:line="240" w:lineRule="auto"/>
            </w:pPr>
            <w:r>
              <w:rPr>
                <w:sz w:val="17"/>
              </w:rPr>
              <w:t>Sensitivity analysis</w:t>
            </w:r>
          </w:p>
        </w:tc>
        <w:tc>
          <w:tcPr>
            <w:tcW w:w="4680" w:type="dxa"/>
            <w:tcMar>
              <w:top w:w="80" w:type="dxa"/>
              <w:left w:w="90" w:type="dxa"/>
              <w:bottom w:w="80" w:type="dxa"/>
              <w:right w:w="90" w:type="dxa"/>
            </w:tcMar>
            <w:vAlign w:val="center"/>
          </w:tcPr>
          <w:p w14:paraId="25C72604" w14:textId="77777777" w:rsidR="005E1E0D" w:rsidRDefault="002265E2">
            <w:pPr>
              <w:spacing w:after="0" w:line="240" w:lineRule="auto"/>
            </w:pPr>
            <w:r>
              <w:rPr>
                <w:sz w:val="17"/>
              </w:rPr>
              <w:t>Compare weights, envelopes, caps and transition paths</w:t>
            </w:r>
          </w:p>
        </w:tc>
        <w:tc>
          <w:tcPr>
            <w:tcW w:w="3312" w:type="dxa"/>
            <w:tcMar>
              <w:top w:w="80" w:type="dxa"/>
              <w:left w:w="90" w:type="dxa"/>
              <w:bottom w:w="80" w:type="dxa"/>
              <w:right w:w="90" w:type="dxa"/>
            </w:tcMar>
            <w:vAlign w:val="center"/>
          </w:tcPr>
          <w:p w14:paraId="640A1D2D" w14:textId="77777777" w:rsidR="005E1E0D" w:rsidRDefault="002265E2">
            <w:pPr>
              <w:spacing w:after="0" w:line="240" w:lineRule="auto"/>
            </w:pPr>
            <w:r>
              <w:rPr>
                <w:sz w:val="17"/>
              </w:rPr>
              <w:t>Assess distributional robustness</w:t>
            </w:r>
          </w:p>
        </w:tc>
      </w:tr>
    </w:tbl>
    <w:p w14:paraId="0177D077" w14:textId="77777777" w:rsidR="005E1E0D" w:rsidRDefault="005E1E0D">
      <w:pPr>
        <w:spacing w:after="0"/>
      </w:pPr>
    </w:p>
    <w:p w14:paraId="6C851867" w14:textId="77777777" w:rsidR="005E1E0D" w:rsidRDefault="002265E2">
      <w:pPr>
        <w:pStyle w:val="Titre1"/>
      </w:pPr>
      <w:r>
        <w:t>Reproducibility package</w:t>
      </w:r>
    </w:p>
    <w:p w14:paraId="490629F2" w14:textId="77777777" w:rsidR="005E1E0D" w:rsidRDefault="002265E2">
      <w:r>
        <w:t>The reproducibility package associated with the study comprises the study protocol, derived analytical dataset, analytical data dictionary, reconstruction and estimation code, full tables and figures, and spreadsheet-based allocation simulator. These materials are available from the corresponding author on reasonable request, subject to the terms governing the source data. Requests may be sent to oumsagna2025@gmail.com.</w:t>
      </w:r>
    </w:p>
    <w:p w14:paraId="0C83F7F8" w14:textId="77777777" w:rsidR="00790EF8" w:rsidRDefault="009A7901">
      <w:pPr>
        <w:pStyle w:val="Lgende"/>
      </w:pPr>
      <w:r>
        <w:t>Supplementary Table S10. Contents of the reproducibility package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44"/>
        <w:gridCol w:w="4536"/>
        <w:gridCol w:w="3600"/>
      </w:tblGrid>
      <w:tr w:rsidR="005E1E0D" w14:paraId="0B5D1022" w14:textId="77777777">
        <w:trPr>
          <w:cantSplit/>
          <w:tblHeader/>
          <w:jc w:val="center"/>
        </w:trPr>
        <w:tc>
          <w:tcPr>
            <w:tcW w:w="1944" w:type="dxa"/>
            <w:tcMar>
              <w:top w:w="80" w:type="dxa"/>
              <w:left w:w="90" w:type="dxa"/>
              <w:bottom w:w="80" w:type="dxa"/>
              <w:right w:w="90" w:type="dxa"/>
            </w:tcMar>
            <w:vAlign w:val="center"/>
          </w:tcPr>
          <w:p w14:paraId="3DCC8A69" w14:textId="77777777" w:rsidR="005E1E0D" w:rsidRDefault="002265E2">
            <w:r>
              <w:rPr>
                <w:b/>
                <w:sz w:val="18"/>
              </w:rPr>
              <w:t>Component</w:t>
            </w:r>
          </w:p>
        </w:tc>
        <w:tc>
          <w:tcPr>
            <w:tcW w:w="4536" w:type="dxa"/>
            <w:tcMar>
              <w:top w:w="80" w:type="dxa"/>
              <w:left w:w="90" w:type="dxa"/>
              <w:bottom w:w="80" w:type="dxa"/>
              <w:right w:w="90" w:type="dxa"/>
            </w:tcMar>
            <w:vAlign w:val="center"/>
          </w:tcPr>
          <w:p w14:paraId="6AE6A327" w14:textId="77777777" w:rsidR="005E1E0D" w:rsidRDefault="002265E2">
            <w:r>
              <w:rPr>
                <w:b/>
                <w:sz w:val="18"/>
              </w:rPr>
              <w:t>Minimum content</w:t>
            </w:r>
          </w:p>
        </w:tc>
        <w:tc>
          <w:tcPr>
            <w:tcW w:w="3600" w:type="dxa"/>
            <w:tcMar>
              <w:top w:w="80" w:type="dxa"/>
              <w:left w:w="90" w:type="dxa"/>
              <w:bottom w:w="80" w:type="dxa"/>
              <w:right w:w="90" w:type="dxa"/>
            </w:tcMar>
            <w:vAlign w:val="center"/>
          </w:tcPr>
          <w:p w14:paraId="2D0DF42C" w14:textId="77777777" w:rsidR="005E1E0D" w:rsidRDefault="002265E2">
            <w:r>
              <w:rPr>
                <w:b/>
                <w:sz w:val="18"/>
              </w:rPr>
              <w:t>Availability statement</w:t>
            </w:r>
          </w:p>
        </w:tc>
      </w:tr>
      <w:tr w:rsidR="005E1E0D" w14:paraId="4F3B14EA" w14:textId="77777777">
        <w:trPr>
          <w:cantSplit/>
          <w:jc w:val="center"/>
        </w:trPr>
        <w:tc>
          <w:tcPr>
            <w:tcW w:w="1944" w:type="dxa"/>
            <w:tcMar>
              <w:top w:w="80" w:type="dxa"/>
              <w:left w:w="90" w:type="dxa"/>
              <w:bottom w:w="80" w:type="dxa"/>
              <w:right w:w="90" w:type="dxa"/>
            </w:tcMar>
            <w:vAlign w:val="center"/>
          </w:tcPr>
          <w:p w14:paraId="0C409B28" w14:textId="77777777" w:rsidR="005E1E0D" w:rsidRDefault="002265E2">
            <w:pPr>
              <w:spacing w:after="0" w:line="240" w:lineRule="auto"/>
            </w:pPr>
            <w:r>
              <w:rPr>
                <w:sz w:val="17"/>
              </w:rPr>
              <w:t>Source record</w:t>
            </w:r>
          </w:p>
        </w:tc>
        <w:tc>
          <w:tcPr>
            <w:tcW w:w="4536" w:type="dxa"/>
            <w:tcMar>
              <w:top w:w="80" w:type="dxa"/>
              <w:left w:w="90" w:type="dxa"/>
              <w:bottom w:w="80" w:type="dxa"/>
              <w:right w:w="90" w:type="dxa"/>
            </w:tcMar>
            <w:vAlign w:val="center"/>
          </w:tcPr>
          <w:p w14:paraId="258D06DA" w14:textId="77777777" w:rsidR="005E1E0D" w:rsidRDefault="002265E2">
            <w:pPr>
              <w:spacing w:after="0" w:line="240" w:lineRule="auto"/>
            </w:pPr>
            <w:r>
              <w:rPr>
                <w:sz w:val="17"/>
              </w:rPr>
              <w:t>BOOST catalog link and extraction date</w:t>
            </w:r>
          </w:p>
        </w:tc>
        <w:tc>
          <w:tcPr>
            <w:tcW w:w="3600" w:type="dxa"/>
            <w:tcMar>
              <w:top w:w="80" w:type="dxa"/>
              <w:left w:w="90" w:type="dxa"/>
              <w:bottom w:w="80" w:type="dxa"/>
              <w:right w:w="90" w:type="dxa"/>
            </w:tcMar>
            <w:vAlign w:val="center"/>
          </w:tcPr>
          <w:p w14:paraId="2E4CB150" w14:textId="77777777" w:rsidR="005E1E0D" w:rsidRDefault="002265E2">
            <w:pPr>
              <w:spacing w:after="0" w:line="240" w:lineRule="auto"/>
            </w:pPr>
            <w:r>
              <w:rPr>
                <w:sz w:val="17"/>
              </w:rPr>
              <w:t>Public source; extracted 10 August 2026</w:t>
            </w:r>
          </w:p>
        </w:tc>
      </w:tr>
      <w:tr w:rsidR="005E1E0D" w14:paraId="05C64D7E" w14:textId="77777777">
        <w:trPr>
          <w:cantSplit/>
          <w:jc w:val="center"/>
        </w:trPr>
        <w:tc>
          <w:tcPr>
            <w:tcW w:w="1944" w:type="dxa"/>
            <w:tcMar>
              <w:top w:w="80" w:type="dxa"/>
              <w:left w:w="90" w:type="dxa"/>
              <w:bottom w:w="80" w:type="dxa"/>
              <w:right w:w="90" w:type="dxa"/>
            </w:tcMar>
            <w:vAlign w:val="center"/>
          </w:tcPr>
          <w:p w14:paraId="289E4075" w14:textId="77777777" w:rsidR="005E1E0D" w:rsidRDefault="002265E2">
            <w:pPr>
              <w:spacing w:after="0" w:line="240" w:lineRule="auto"/>
            </w:pPr>
            <w:r>
              <w:rPr>
                <w:sz w:val="17"/>
              </w:rPr>
              <w:t>Analytical data</w:t>
            </w:r>
          </w:p>
        </w:tc>
        <w:tc>
          <w:tcPr>
            <w:tcW w:w="4536" w:type="dxa"/>
            <w:tcMar>
              <w:top w:w="80" w:type="dxa"/>
              <w:left w:w="90" w:type="dxa"/>
              <w:bottom w:w="80" w:type="dxa"/>
              <w:right w:w="90" w:type="dxa"/>
            </w:tcMar>
            <w:vAlign w:val="center"/>
          </w:tcPr>
          <w:p w14:paraId="5A1B8E1C" w14:textId="77777777" w:rsidR="005E1E0D" w:rsidRDefault="002265E2">
            <w:pPr>
              <w:spacing w:after="0" w:line="240" w:lineRule="auto"/>
            </w:pPr>
            <w:r>
              <w:rPr>
                <w:sz w:val="17"/>
              </w:rPr>
              <w:t>District-year variables used in M1-M7</w:t>
            </w:r>
          </w:p>
        </w:tc>
        <w:tc>
          <w:tcPr>
            <w:tcW w:w="3600" w:type="dxa"/>
            <w:tcMar>
              <w:top w:w="80" w:type="dxa"/>
              <w:left w:w="90" w:type="dxa"/>
              <w:bottom w:w="80" w:type="dxa"/>
              <w:right w:w="90" w:type="dxa"/>
            </w:tcMar>
            <w:vAlign w:val="center"/>
          </w:tcPr>
          <w:p w14:paraId="6E27BE8E" w14:textId="77777777" w:rsidR="005E1E0D" w:rsidRDefault="002265E2">
            <w:pPr>
              <w:spacing w:after="0" w:line="240" w:lineRule="auto"/>
            </w:pPr>
            <w:r>
              <w:rPr>
                <w:sz w:val="17"/>
              </w:rPr>
              <w:t>Available on reasonable request, subject to source terms</w:t>
            </w:r>
          </w:p>
        </w:tc>
      </w:tr>
      <w:tr w:rsidR="005E1E0D" w14:paraId="178F0957" w14:textId="77777777">
        <w:trPr>
          <w:cantSplit/>
          <w:jc w:val="center"/>
        </w:trPr>
        <w:tc>
          <w:tcPr>
            <w:tcW w:w="1944" w:type="dxa"/>
            <w:tcMar>
              <w:top w:w="80" w:type="dxa"/>
              <w:left w:w="90" w:type="dxa"/>
              <w:bottom w:w="80" w:type="dxa"/>
              <w:right w:w="90" w:type="dxa"/>
            </w:tcMar>
            <w:vAlign w:val="center"/>
          </w:tcPr>
          <w:p w14:paraId="239790A6" w14:textId="77777777" w:rsidR="005E1E0D" w:rsidRDefault="002265E2">
            <w:pPr>
              <w:spacing w:after="0" w:line="240" w:lineRule="auto"/>
            </w:pPr>
            <w:r>
              <w:rPr>
                <w:sz w:val="17"/>
              </w:rPr>
              <w:t>Data dictionary</w:t>
            </w:r>
          </w:p>
        </w:tc>
        <w:tc>
          <w:tcPr>
            <w:tcW w:w="4536" w:type="dxa"/>
            <w:tcMar>
              <w:top w:w="80" w:type="dxa"/>
              <w:left w:w="90" w:type="dxa"/>
              <w:bottom w:w="80" w:type="dxa"/>
              <w:right w:w="90" w:type="dxa"/>
            </w:tcMar>
            <w:vAlign w:val="center"/>
          </w:tcPr>
          <w:p w14:paraId="0894FACA" w14:textId="77777777" w:rsidR="005E1E0D" w:rsidRDefault="002265E2">
            <w:pPr>
              <w:spacing w:after="0" w:line="240" w:lineRule="auto"/>
            </w:pPr>
            <w:r>
              <w:rPr>
                <w:sz w:val="17"/>
              </w:rPr>
              <w:t>Names, labels, units, levels and derivations</w:t>
            </w:r>
          </w:p>
        </w:tc>
        <w:tc>
          <w:tcPr>
            <w:tcW w:w="3600" w:type="dxa"/>
            <w:tcMar>
              <w:top w:w="80" w:type="dxa"/>
              <w:left w:w="90" w:type="dxa"/>
              <w:bottom w:w="80" w:type="dxa"/>
              <w:right w:w="90" w:type="dxa"/>
            </w:tcMar>
            <w:vAlign w:val="center"/>
          </w:tcPr>
          <w:p w14:paraId="5665B9A0" w14:textId="77777777" w:rsidR="005E1E0D" w:rsidRDefault="002265E2">
            <w:pPr>
              <w:spacing w:after="0" w:line="240" w:lineRule="auto"/>
            </w:pPr>
            <w:r>
              <w:rPr>
                <w:sz w:val="17"/>
              </w:rPr>
              <w:t>Included in the manuscript and reproducibility package</w:t>
            </w:r>
          </w:p>
        </w:tc>
      </w:tr>
      <w:tr w:rsidR="005E1E0D" w14:paraId="4C3A3632" w14:textId="77777777">
        <w:trPr>
          <w:cantSplit/>
          <w:jc w:val="center"/>
        </w:trPr>
        <w:tc>
          <w:tcPr>
            <w:tcW w:w="1944" w:type="dxa"/>
            <w:tcMar>
              <w:top w:w="80" w:type="dxa"/>
              <w:left w:w="90" w:type="dxa"/>
              <w:bottom w:w="80" w:type="dxa"/>
              <w:right w:w="90" w:type="dxa"/>
            </w:tcMar>
            <w:vAlign w:val="center"/>
          </w:tcPr>
          <w:p w14:paraId="65661CC1" w14:textId="77777777" w:rsidR="005E1E0D" w:rsidRDefault="002265E2">
            <w:pPr>
              <w:spacing w:after="0" w:line="240" w:lineRule="auto"/>
            </w:pPr>
            <w:r>
              <w:rPr>
                <w:sz w:val="17"/>
              </w:rPr>
              <w:t>Statistical code</w:t>
            </w:r>
          </w:p>
        </w:tc>
        <w:tc>
          <w:tcPr>
            <w:tcW w:w="4536" w:type="dxa"/>
            <w:tcMar>
              <w:top w:w="80" w:type="dxa"/>
              <w:left w:w="90" w:type="dxa"/>
              <w:bottom w:w="80" w:type="dxa"/>
              <w:right w:w="90" w:type="dxa"/>
            </w:tcMar>
            <w:vAlign w:val="center"/>
          </w:tcPr>
          <w:p w14:paraId="196A0343" w14:textId="77777777" w:rsidR="005E1E0D" w:rsidRDefault="002265E2">
            <w:pPr>
              <w:spacing w:after="0" w:line="240" w:lineRule="auto"/>
            </w:pPr>
            <w:r>
              <w:rPr>
                <w:sz w:val="17"/>
              </w:rPr>
              <w:t>Data reconstruction, descriptive analysis, M1-M7 and bootstrap tests</w:t>
            </w:r>
          </w:p>
        </w:tc>
        <w:tc>
          <w:tcPr>
            <w:tcW w:w="3600" w:type="dxa"/>
            <w:tcMar>
              <w:top w:w="80" w:type="dxa"/>
              <w:left w:w="90" w:type="dxa"/>
              <w:bottom w:w="80" w:type="dxa"/>
              <w:right w:w="90" w:type="dxa"/>
            </w:tcMar>
            <w:vAlign w:val="center"/>
          </w:tcPr>
          <w:p w14:paraId="130BF171" w14:textId="77777777" w:rsidR="005E1E0D" w:rsidRDefault="002265E2">
            <w:pPr>
              <w:spacing w:after="0" w:line="240" w:lineRule="auto"/>
            </w:pPr>
            <w:r>
              <w:rPr>
                <w:sz w:val="17"/>
              </w:rPr>
              <w:t>Available on reasonable request</w:t>
            </w:r>
          </w:p>
        </w:tc>
      </w:tr>
      <w:tr w:rsidR="005E1E0D" w14:paraId="6F450C7E" w14:textId="77777777">
        <w:trPr>
          <w:cantSplit/>
          <w:jc w:val="center"/>
        </w:trPr>
        <w:tc>
          <w:tcPr>
            <w:tcW w:w="1944" w:type="dxa"/>
            <w:tcMar>
              <w:top w:w="80" w:type="dxa"/>
              <w:left w:w="90" w:type="dxa"/>
              <w:bottom w:w="80" w:type="dxa"/>
              <w:right w:w="90" w:type="dxa"/>
            </w:tcMar>
            <w:vAlign w:val="center"/>
          </w:tcPr>
          <w:p w14:paraId="703DF434" w14:textId="77777777" w:rsidR="005E1E0D" w:rsidRDefault="002265E2">
            <w:pPr>
              <w:spacing w:after="0" w:line="240" w:lineRule="auto"/>
            </w:pPr>
            <w:r>
              <w:rPr>
                <w:sz w:val="17"/>
              </w:rPr>
              <w:t>Simulator</w:t>
            </w:r>
          </w:p>
        </w:tc>
        <w:tc>
          <w:tcPr>
            <w:tcW w:w="4536" w:type="dxa"/>
            <w:tcMar>
              <w:top w:w="80" w:type="dxa"/>
              <w:left w:w="90" w:type="dxa"/>
              <w:bottom w:w="80" w:type="dxa"/>
              <w:right w:w="90" w:type="dxa"/>
            </w:tcMar>
            <w:vAlign w:val="center"/>
          </w:tcPr>
          <w:p w14:paraId="13CE5924" w14:textId="77777777" w:rsidR="005E1E0D" w:rsidRDefault="002265E2">
            <w:pPr>
              <w:spacing w:after="0" w:line="240" w:lineRule="auto"/>
            </w:pPr>
            <w:r>
              <w:rPr>
                <w:sz w:val="17"/>
              </w:rPr>
              <w:t>Parameters, formulas, controls and outputs for 2016-2030</w:t>
            </w:r>
          </w:p>
        </w:tc>
        <w:tc>
          <w:tcPr>
            <w:tcW w:w="3600" w:type="dxa"/>
            <w:tcMar>
              <w:top w:w="80" w:type="dxa"/>
              <w:left w:w="90" w:type="dxa"/>
              <w:bottom w:w="80" w:type="dxa"/>
              <w:right w:w="90" w:type="dxa"/>
            </w:tcMar>
            <w:vAlign w:val="center"/>
          </w:tcPr>
          <w:p w14:paraId="6E3E836E" w14:textId="77777777" w:rsidR="005E1E0D" w:rsidRDefault="002265E2">
            <w:pPr>
              <w:spacing w:after="0" w:line="240" w:lineRule="auto"/>
            </w:pPr>
            <w:r>
              <w:rPr>
                <w:sz w:val="17"/>
              </w:rPr>
              <w:t>Available on reasonable request</w:t>
            </w:r>
          </w:p>
        </w:tc>
      </w:tr>
      <w:tr w:rsidR="005E1E0D" w14:paraId="53A30497" w14:textId="77777777">
        <w:trPr>
          <w:cantSplit/>
          <w:jc w:val="center"/>
        </w:trPr>
        <w:tc>
          <w:tcPr>
            <w:tcW w:w="1944" w:type="dxa"/>
            <w:tcMar>
              <w:top w:w="80" w:type="dxa"/>
              <w:left w:w="90" w:type="dxa"/>
              <w:bottom w:w="80" w:type="dxa"/>
              <w:right w:w="90" w:type="dxa"/>
            </w:tcMar>
            <w:vAlign w:val="center"/>
          </w:tcPr>
          <w:p w14:paraId="46FD2F97" w14:textId="77777777" w:rsidR="005E1E0D" w:rsidRDefault="002265E2">
            <w:pPr>
              <w:spacing w:after="0" w:line="240" w:lineRule="auto"/>
            </w:pPr>
            <w:r>
              <w:rPr>
                <w:sz w:val="17"/>
              </w:rPr>
              <w:t>Reporting files</w:t>
            </w:r>
          </w:p>
        </w:tc>
        <w:tc>
          <w:tcPr>
            <w:tcW w:w="4536" w:type="dxa"/>
            <w:tcMar>
              <w:top w:w="80" w:type="dxa"/>
              <w:left w:w="90" w:type="dxa"/>
              <w:bottom w:w="80" w:type="dxa"/>
              <w:right w:w="90" w:type="dxa"/>
            </w:tcMar>
            <w:vAlign w:val="center"/>
          </w:tcPr>
          <w:p w14:paraId="7A178A65" w14:textId="77777777" w:rsidR="005E1E0D" w:rsidRDefault="002265E2">
            <w:pPr>
              <w:spacing w:after="0" w:line="240" w:lineRule="auto"/>
            </w:pPr>
            <w:r>
              <w:rPr>
                <w:sz w:val="17"/>
              </w:rPr>
              <w:t>STROBE and RECORD checklists; full tables and figures</w:t>
            </w:r>
          </w:p>
        </w:tc>
        <w:tc>
          <w:tcPr>
            <w:tcW w:w="3600" w:type="dxa"/>
            <w:tcMar>
              <w:top w:w="80" w:type="dxa"/>
              <w:left w:w="90" w:type="dxa"/>
              <w:bottom w:w="80" w:type="dxa"/>
              <w:right w:w="90" w:type="dxa"/>
            </w:tcMar>
            <w:vAlign w:val="center"/>
          </w:tcPr>
          <w:p w14:paraId="74253D06" w14:textId="77777777" w:rsidR="005E1E0D" w:rsidRDefault="002265E2">
            <w:pPr>
              <w:spacing w:after="0" w:line="240" w:lineRule="auto"/>
            </w:pPr>
            <w:r>
              <w:rPr>
                <w:sz w:val="17"/>
              </w:rPr>
              <w:t>Prepared for journal submission</w:t>
            </w:r>
          </w:p>
        </w:tc>
      </w:tr>
    </w:tbl>
    <w:p w14:paraId="2FF406F9" w14:textId="77777777" w:rsidR="005E1E0D" w:rsidRDefault="005E1E0D">
      <w:pPr>
        <w:spacing w:after="0"/>
      </w:pPr>
    </w:p>
    <w:p w14:paraId="3FBC4A6F" w14:textId="77777777" w:rsidR="005E1E0D" w:rsidRDefault="002265E2">
      <w:pPr>
        <w:pStyle w:val="Titre1"/>
      </w:pPr>
      <w:r>
        <w:t>Limits to reproducibility and interpretation</w:t>
      </w:r>
    </w:p>
    <w:p w14:paraId="35806535" w14:textId="77777777" w:rsidR="005E1E0D" w:rsidRDefault="002265E2">
      <w:pPr>
        <w:pStyle w:val="Listepuces"/>
      </w:pPr>
      <w:r>
        <w:t>BOOST captures initial appropriations within the identifiable decentralized perimeter, not all district resources, personnel costs, donor finance, releases or execution.</w:t>
      </w:r>
    </w:p>
    <w:p w14:paraId="19B776C7" w14:textId="77777777" w:rsidR="005E1E0D" w:rsidRDefault="002265E2">
      <w:pPr>
        <w:pStyle w:val="Listepuces"/>
      </w:pPr>
      <w:r>
        <w:t>Most deprivation and health-need indicators are regional and time invariant, limiting inference to between-region contrasts.</w:t>
      </w:r>
    </w:p>
    <w:p w14:paraId="2E545F93" w14:textId="77777777" w:rsidR="005E1E0D" w:rsidRDefault="002265E2">
      <w:pPr>
        <w:pStyle w:val="Listepuces"/>
      </w:pPr>
      <w:r>
        <w:t>The three-year historical window and 14 regional clusters constrain statistical inference.</w:t>
      </w:r>
    </w:p>
    <w:p w14:paraId="75E3557A" w14:textId="77777777" w:rsidR="005E1E0D" w:rsidRDefault="002265E2">
      <w:pPr>
        <w:pStyle w:val="Listepuces"/>
      </w:pPr>
      <w:r>
        <w:t>Nominal allocations were not deflated and should not be interpreted as changes in real purchasing power.</w:t>
      </w:r>
    </w:p>
    <w:p w14:paraId="2D5329AD" w14:textId="77777777" w:rsidR="005E1E0D" w:rsidRDefault="002265E2">
      <w:pPr>
        <w:pStyle w:val="Listepuces"/>
      </w:pPr>
      <w:r>
        <w:t>Simulator weights and scenario assumptions are exogenous policy parameters requiring calibration, consultation and formal approval.</w:t>
      </w:r>
    </w:p>
    <w:p w14:paraId="6A728B2A" w14:textId="77777777" w:rsidR="005E1E0D" w:rsidRDefault="002265E2">
      <w:pPr>
        <w:pStyle w:val="Titre1"/>
      </w:pPr>
      <w:r>
        <w:t>Abbreviations</w:t>
      </w:r>
    </w:p>
    <w:p w14:paraId="4751C8BD" w14:textId="77777777" w:rsidR="005E1E0D" w:rsidRDefault="002265E2">
      <w:r>
        <w:t>ANSD, National Agency for Statistics and Demography; BOOST, World Bank public expenditure database; DHS, Demographic and Health Survey; DRS, regional health directorate; EHCVM, Harmonized Survey on Household Living Conditions; FCFA, West African CFA franc; LFI, initial budget appropriation; MSAS, Ministry of Health and Social Action; OLS, ordinary least squares; RECORD, Reporting of studies Conducted using Observational Routinely-collected health Data; STROBE, Strengthening the Reporting of Observational Studies in Epidemiology.</w:t>
      </w:r>
    </w:p>
    <w:sectPr w:rsidR="005E1E0D" w:rsidSect="00034616">
      <w:footerReference w:type="default" r:id="rId8"/>
      <w:pgSz w:w="12240" w:h="15840"/>
      <w:pgMar w:top="1008"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98DF1" w14:textId="77777777" w:rsidR="009A7901" w:rsidRDefault="009A7901">
      <w:pPr>
        <w:spacing w:after="0" w:line="240" w:lineRule="auto"/>
      </w:pPr>
      <w:r>
        <w:separator/>
      </w:r>
    </w:p>
  </w:endnote>
  <w:endnote w:type="continuationSeparator" w:id="0">
    <w:p w14:paraId="35AA1F0A" w14:textId="77777777" w:rsidR="009A7901" w:rsidRDefault="009A7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5818" w14:textId="77777777" w:rsidR="005E1E0D" w:rsidRDefault="002265E2">
    <w:pPr>
      <w:pStyle w:val="Pieddepage"/>
      <w:jc w:val="center"/>
    </w:pPr>
    <w:r>
      <w:rPr>
        <w:color w:val="595959"/>
        <w:sz w:val="16"/>
      </w:rPr>
      <w:t xml:space="preserve">Supplementary Methods and Reproducibility </w:t>
    </w:r>
    <w:proofErr w:type="gramStart"/>
    <w:r>
      <w:rPr>
        <w:color w:val="595959"/>
        <w:sz w:val="16"/>
      </w:rPr>
      <w:t>Information  |</w:t>
    </w:r>
    <w:proofErr w:type="gramEnd"/>
    <w:r>
      <w:rPr>
        <w:color w:val="595959"/>
        <w:sz w:val="16"/>
      </w:rPr>
      <w:t xml:space="preserve">  Health Economics Review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4F9C2" w14:textId="77777777" w:rsidR="009A7901" w:rsidRDefault="009A7901">
      <w:pPr>
        <w:spacing w:after="0" w:line="240" w:lineRule="auto"/>
      </w:pPr>
      <w:r>
        <w:separator/>
      </w:r>
    </w:p>
  </w:footnote>
  <w:footnote w:type="continuationSeparator" w:id="0">
    <w:p w14:paraId="462E7278" w14:textId="77777777" w:rsidR="009A7901" w:rsidRDefault="009A79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17880875">
    <w:abstractNumId w:val="8"/>
  </w:num>
  <w:num w:numId="2" w16cid:durableId="1623883763">
    <w:abstractNumId w:val="6"/>
  </w:num>
  <w:num w:numId="3" w16cid:durableId="1808624531">
    <w:abstractNumId w:val="5"/>
  </w:num>
  <w:num w:numId="4" w16cid:durableId="1643851507">
    <w:abstractNumId w:val="4"/>
  </w:num>
  <w:num w:numId="5" w16cid:durableId="1471821163">
    <w:abstractNumId w:val="7"/>
  </w:num>
  <w:num w:numId="6" w16cid:durableId="726681400">
    <w:abstractNumId w:val="3"/>
  </w:num>
  <w:num w:numId="7" w16cid:durableId="2027906675">
    <w:abstractNumId w:val="2"/>
  </w:num>
  <w:num w:numId="8" w16cid:durableId="349188723">
    <w:abstractNumId w:val="1"/>
  </w:num>
  <w:num w:numId="9" w16cid:durableId="883761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65E2"/>
    <w:rsid w:val="0029639D"/>
    <w:rsid w:val="00326F90"/>
    <w:rsid w:val="004806C0"/>
    <w:rsid w:val="005E1E0D"/>
    <w:rsid w:val="006A6D2E"/>
    <w:rsid w:val="00790EF8"/>
    <w:rsid w:val="009A7901"/>
    <w:rsid w:val="00A824EA"/>
    <w:rsid w:val="00AA1D8D"/>
    <w:rsid w:val="00B47730"/>
    <w:rsid w:val="00CB0664"/>
    <w:rsid w:val="00E50B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5C0DF4"/>
  <w14:defaultImageDpi w14:val="300"/>
  <w15:docId w15:val="{FF7DFD62-3A9B-4D70-B408-0E002979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0" w:lineRule="auto"/>
    </w:pPr>
    <w:rPr>
      <w:rFonts w:ascii="Arial" w:hAnsi="Arial"/>
      <w:color w:val="000000"/>
      <w:sz w:val="19"/>
    </w:rPr>
  </w:style>
  <w:style w:type="paragraph" w:styleId="Titre1">
    <w:name w:val="heading 1"/>
    <w:basedOn w:val="Normal"/>
    <w:next w:val="Normal"/>
    <w:link w:val="Titre1Car"/>
    <w:uiPriority w:val="9"/>
    <w:qFormat/>
    <w:rsid w:val="00FC693F"/>
    <w:pPr>
      <w:keepNext/>
      <w:keepLines/>
      <w:spacing w:before="180"/>
      <w:outlineLvl w:val="0"/>
    </w:pPr>
    <w:rPr>
      <w:rFonts w:asciiTheme="majorHAnsi" w:eastAsiaTheme="majorEastAsia" w:hAnsiTheme="majorHAnsi" w:cstheme="majorBidi"/>
      <w:b/>
      <w:bCs/>
      <w:sz w:val="26"/>
      <w:szCs w:val="28"/>
    </w:rPr>
  </w:style>
  <w:style w:type="paragraph" w:styleId="Titre2">
    <w:name w:val="heading 2"/>
    <w:basedOn w:val="Normal"/>
    <w:next w:val="Normal"/>
    <w:link w:val="Titre2Car"/>
    <w:uiPriority w:val="9"/>
    <w:unhideWhenUsed/>
    <w:qFormat/>
    <w:rsid w:val="00FC693F"/>
    <w:pPr>
      <w:keepNext/>
      <w:keepLines/>
      <w:spacing w:before="180"/>
      <w:outlineLvl w:val="1"/>
    </w:pPr>
    <w:rPr>
      <w:rFonts w:asciiTheme="majorHAnsi" w:eastAsiaTheme="majorEastAsia" w:hAnsiTheme="majorHAnsi" w:cstheme="majorBidi"/>
      <w:b/>
      <w:bCs/>
      <w:sz w:val="22"/>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rPr>
      <w:color w:val="000000"/>
    </w:rPr>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rPr>
      <w:color w:val="000000"/>
    </w:rPr>
  </w:style>
  <w:style w:type="paragraph" w:styleId="Sansinterligne">
    <w:name w:val="No Spacing"/>
    <w:uiPriority w:val="1"/>
    <w:qFormat/>
    <w:rsid w:val="00FC693F"/>
    <w:pPr>
      <w:spacing w:after="0" w:line="240" w:lineRule="auto"/>
    </w:pPr>
    <w:rPr>
      <w:color w:val="000000"/>
    </w:r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000000"/>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000000"/>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000000"/>
    </w:rPr>
  </w:style>
  <w:style w:type="paragraph" w:styleId="Titre">
    <w:name w:val="Title"/>
    <w:basedOn w:val="Normal"/>
    <w:next w:val="Normal"/>
    <w:link w:val="TitreCar"/>
    <w:uiPriority w:val="10"/>
    <w:qFormat/>
    <w:rsid w:val="00FC693F"/>
    <w:pPr>
      <w:keepNext/>
      <w:spacing w:line="240" w:lineRule="auto"/>
      <w:contextualSpacing/>
    </w:pPr>
    <w:rPr>
      <w:rFonts w:asciiTheme="majorHAnsi" w:eastAsiaTheme="majorEastAsia" w:hAnsiTheme="majorHAnsi" w:cstheme="majorBidi"/>
      <w:b/>
      <w:spacing w:val="5"/>
      <w:kern w:val="28"/>
      <w:sz w:val="34"/>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000000"/>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000000"/>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rPr>
      <w:color w:val="000000"/>
    </w:rPr>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rPr>
      <w:color w:val="000000"/>
    </w:rPr>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color w:val="000000"/>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TextedemacroCar">
    <w:name w:val="Texte de macro Car"/>
    <w:basedOn w:val="Policepardfaut"/>
    <w:link w:val="Textedemacro"/>
    <w:uiPriority w:val="99"/>
    <w:rsid w:val="0029639D"/>
    <w:rPr>
      <w:rFonts w:ascii="Courier" w:hAnsi="Courier"/>
      <w:color w:val="000000"/>
      <w:sz w:val="20"/>
      <w:szCs w:val="20"/>
    </w:rPr>
  </w:style>
  <w:style w:type="paragraph" w:styleId="Citation">
    <w:name w:val="Quote"/>
    <w:basedOn w:val="Normal"/>
    <w:next w:val="Normal"/>
    <w:link w:val="CitationCar"/>
    <w:uiPriority w:val="29"/>
    <w:qFormat/>
    <w:rsid w:val="00FC693F"/>
    <w:rPr>
      <w:i/>
      <w:iCs/>
    </w:rPr>
  </w:style>
  <w:style w:type="character" w:customStyle="1" w:styleId="CitationCar">
    <w:name w:val="Citation Car"/>
    <w:basedOn w:val="Policepardfaut"/>
    <w:link w:val="Citation"/>
    <w:uiPriority w:val="29"/>
    <w:rsid w:val="00FC693F"/>
    <w:rPr>
      <w:i/>
      <w:iCs/>
      <w:color w:val="000000"/>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000000"/>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000000"/>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000000"/>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000000"/>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000000"/>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000000"/>
      <w:sz w:val="20"/>
      <w:szCs w:val="20"/>
    </w:rPr>
  </w:style>
  <w:style w:type="paragraph" w:styleId="Lgende">
    <w:name w:val="caption"/>
    <w:basedOn w:val="Normal"/>
    <w:next w:val="Normal"/>
    <w:uiPriority w:val="35"/>
    <w:semiHidden/>
    <w:unhideWhenUsed/>
    <w:qFormat/>
    <w:rsid w:val="00FC693F"/>
    <w:pPr>
      <w:spacing w:line="240" w:lineRule="auto"/>
    </w:pPr>
    <w:rPr>
      <w:b/>
      <w:bCs/>
      <w:sz w:val="18"/>
      <w:szCs w:val="18"/>
    </w:rPr>
  </w:style>
  <w:style w:type="character" w:styleId="lev">
    <w:name w:val="Strong"/>
    <w:basedOn w:val="Policepardfaut"/>
    <w:uiPriority w:val="22"/>
    <w:qFormat/>
    <w:rsid w:val="00FC693F"/>
    <w:rPr>
      <w:b/>
      <w:bCs/>
      <w:color w:val="000000"/>
    </w:rPr>
  </w:style>
  <w:style w:type="character" w:styleId="Accentuation">
    <w:name w:val="Emphasis"/>
    <w:basedOn w:val="Policepardfaut"/>
    <w:uiPriority w:val="20"/>
    <w:qFormat/>
    <w:rsid w:val="00FC693F"/>
    <w:rPr>
      <w:i/>
      <w:iCs/>
      <w:color w:val="000000"/>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rPr>
  </w:style>
  <w:style w:type="character" w:customStyle="1" w:styleId="CitationintenseCar">
    <w:name w:val="Citation intense Car"/>
    <w:basedOn w:val="Policepardfaut"/>
    <w:link w:val="Citationintense"/>
    <w:uiPriority w:val="30"/>
    <w:rsid w:val="00FC693F"/>
    <w:rPr>
      <w:b/>
      <w:bCs/>
      <w:i/>
      <w:iCs/>
      <w:color w:val="000000"/>
    </w:rPr>
  </w:style>
  <w:style w:type="character" w:styleId="Accentuationlgre">
    <w:name w:val="Subtle Emphasis"/>
    <w:basedOn w:val="Policepardfaut"/>
    <w:uiPriority w:val="19"/>
    <w:qFormat/>
    <w:rsid w:val="00FC693F"/>
    <w:rPr>
      <w:i/>
      <w:iCs/>
      <w:color w:val="000000"/>
    </w:rPr>
  </w:style>
  <w:style w:type="character" w:styleId="Accentuationintense">
    <w:name w:val="Intense Emphasis"/>
    <w:basedOn w:val="Policepardfaut"/>
    <w:uiPriority w:val="21"/>
    <w:qFormat/>
    <w:rsid w:val="00FC693F"/>
    <w:rPr>
      <w:b/>
      <w:bCs/>
      <w:i/>
      <w:iCs/>
      <w:color w:val="000000"/>
    </w:rPr>
  </w:style>
  <w:style w:type="character" w:styleId="Rfrencelgre">
    <w:name w:val="Subtle Reference"/>
    <w:basedOn w:val="Policepardfaut"/>
    <w:uiPriority w:val="31"/>
    <w:qFormat/>
    <w:rsid w:val="00FC693F"/>
    <w:rPr>
      <w:smallCaps/>
      <w:color w:val="000000"/>
      <w:u w:val="single"/>
    </w:rPr>
  </w:style>
  <w:style w:type="character" w:styleId="Rfrenceintense">
    <w:name w:val="Intense Reference"/>
    <w:basedOn w:val="Policepardfaut"/>
    <w:uiPriority w:val="32"/>
    <w:qFormat/>
    <w:rsid w:val="00FC693F"/>
    <w:rPr>
      <w:b/>
      <w:bCs/>
      <w:smallCaps/>
      <w:color w:val="000000"/>
      <w:spacing w:val="5"/>
      <w:u w:val="single"/>
    </w:rPr>
  </w:style>
  <w:style w:type="character" w:styleId="Titredulivre">
    <w:name w:val="Book Title"/>
    <w:basedOn w:val="Policepardfaut"/>
    <w:uiPriority w:val="33"/>
    <w:qFormat/>
    <w:rsid w:val="00FC693F"/>
    <w:rPr>
      <w:b/>
      <w:bCs/>
      <w:smallCaps/>
      <w:color w:val="000000"/>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5259</Words>
  <Characters>28929</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Methods and Reproducibility Information</dc:title>
  <dc:subject>Supplementary file for Health Economics Review submission</dc:subject>
  <dc:creator>Oumar Sagna</dc:creator>
  <cp:keywords/>
  <dc:description>generated by python-docx</dc:description>
  <cp:lastModifiedBy>Oumar Sagna</cp:lastModifiedBy>
  <cp:revision>2</cp:revision>
  <dcterms:created xsi:type="dcterms:W3CDTF">2026-09-12T21:34:00Z</dcterms:created>
  <dcterms:modified xsi:type="dcterms:W3CDTF">2026-09-12T21:34:00Z</dcterms:modified>
  <cp:category/>
</cp:coreProperties>
</file>