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ascii="Times New Roman" w:hAnsi="Times New Roman" w:cs="Times New Roman"/>
          <w:b/>
          <w:bCs/>
          <w:sz w:val="32"/>
          <w:lang w:val="en-GB"/>
        </w:rPr>
      </w:pPr>
      <w:bookmarkStart w:id="0" w:name="OLE_LINK6"/>
      <w:r>
        <w:rPr>
          <w:rFonts w:ascii="Times New Roman" w:hAnsi="Times New Roman" w:cs="Times New Roman"/>
          <w:b/>
          <w:bCs/>
          <w:sz w:val="32"/>
          <w:lang w:val="en-GB"/>
        </w:rPr>
        <w:t xml:space="preserve">Identification of novel prognosis biomarkers through integrating multi-omics data </w:t>
      </w:r>
      <w:r>
        <w:rPr>
          <w:rFonts w:hint="eastAsia" w:ascii="Times New Roman" w:hAnsi="Times New Roman" w:cs="Times New Roman"/>
          <w:b/>
          <w:bCs/>
          <w:sz w:val="32"/>
          <w:lang w:val="en-GB"/>
        </w:rPr>
        <w:t>in</w:t>
      </w:r>
      <w:r>
        <w:rPr>
          <w:rFonts w:ascii="Times New Roman" w:hAnsi="Times New Roman" w:cs="Times New Roman"/>
          <w:b/>
          <w:bCs/>
          <w:sz w:val="32"/>
          <w:lang w:val="en-GB"/>
        </w:rPr>
        <w:t xml:space="preserve"> gastric cancer</w:t>
      </w:r>
    </w:p>
    <w:p>
      <w:pPr>
        <w:pStyle w:val="5"/>
        <w:spacing w:before="240" w:after="240" w:line="360" w:lineRule="auto"/>
        <w:rPr>
          <w:rFonts w:eastAsiaTheme="minorEastAsia"/>
          <w:kern w:val="2"/>
          <w:sz w:val="20"/>
          <w:lang w:val="en-US" w:eastAsia="zh-CN"/>
        </w:rPr>
      </w:pPr>
      <w:r>
        <w:rPr>
          <w:rFonts w:eastAsiaTheme="minorEastAsia"/>
          <w:kern w:val="2"/>
          <w:sz w:val="20"/>
          <w:lang w:val="en-US" w:eastAsia="zh-CN"/>
        </w:rPr>
        <w:t>Nannan Liu</w:t>
      </w:r>
      <w:r>
        <w:rPr>
          <w:rFonts w:eastAsiaTheme="minorEastAsia"/>
          <w:kern w:val="2"/>
          <w:sz w:val="20"/>
          <w:vertAlign w:val="superscript"/>
          <w:lang w:val="en-US" w:eastAsia="zh-CN"/>
        </w:rPr>
        <w:t>1,†</w:t>
      </w:r>
      <w:r>
        <w:rPr>
          <w:rFonts w:eastAsiaTheme="minorEastAsia"/>
          <w:kern w:val="2"/>
          <w:sz w:val="20"/>
          <w:lang w:val="en-US" w:eastAsia="zh-CN"/>
        </w:rPr>
        <w:t>, Yun Wu</w:t>
      </w:r>
      <w:r>
        <w:rPr>
          <w:rFonts w:eastAsiaTheme="minorEastAsia"/>
          <w:kern w:val="2"/>
          <w:sz w:val="20"/>
          <w:vertAlign w:val="superscript"/>
          <w:lang w:val="en-US" w:eastAsia="zh-CN"/>
        </w:rPr>
        <w:t>1,†</w:t>
      </w:r>
      <w:r>
        <w:rPr>
          <w:rFonts w:eastAsiaTheme="minorEastAsia"/>
          <w:kern w:val="2"/>
          <w:sz w:val="20"/>
          <w:lang w:val="en-US" w:eastAsia="zh-CN"/>
        </w:rPr>
        <w:t xml:space="preserve">, </w:t>
      </w:r>
      <w:r>
        <w:rPr>
          <w:rFonts w:hint="eastAsia" w:eastAsiaTheme="minorEastAsia"/>
          <w:kern w:val="2"/>
          <w:sz w:val="20"/>
          <w:lang w:val="en-US" w:eastAsia="zh-CN"/>
        </w:rPr>
        <w:t>Weipeng Cheng</w:t>
      </w:r>
      <w:r>
        <w:rPr>
          <w:rFonts w:eastAsiaTheme="minorEastAsia"/>
          <w:kern w:val="2"/>
          <w:sz w:val="20"/>
          <w:vertAlign w:val="superscript"/>
          <w:lang w:val="en-US" w:eastAsia="zh-CN"/>
        </w:rPr>
        <w:t>1</w:t>
      </w:r>
      <w:r>
        <w:rPr>
          <w:rFonts w:eastAsiaTheme="minorEastAsia"/>
          <w:kern w:val="2"/>
          <w:sz w:val="20"/>
          <w:lang w:val="en-US" w:eastAsia="zh-CN"/>
        </w:rPr>
        <w:t xml:space="preserve">, </w:t>
      </w:r>
      <w:r>
        <w:rPr>
          <w:rFonts w:hint="eastAsia" w:eastAsiaTheme="minorEastAsia"/>
          <w:kern w:val="2"/>
          <w:sz w:val="20"/>
          <w:lang w:val="en-US" w:eastAsia="zh-CN"/>
        </w:rPr>
        <w:t>Yuxuan Wu</w:t>
      </w:r>
      <w:r>
        <w:rPr>
          <w:rFonts w:eastAsiaTheme="minorEastAsia"/>
          <w:kern w:val="2"/>
          <w:sz w:val="20"/>
          <w:vertAlign w:val="superscript"/>
          <w:lang w:val="en-US" w:eastAsia="zh-CN"/>
        </w:rPr>
        <w:t>1</w:t>
      </w:r>
      <w:r>
        <w:rPr>
          <w:rFonts w:eastAsiaTheme="minorEastAsia"/>
          <w:kern w:val="2"/>
          <w:sz w:val="20"/>
          <w:lang w:val="en-US" w:eastAsia="zh-CN"/>
        </w:rPr>
        <w:t xml:space="preserve">, </w:t>
      </w:r>
      <w:r>
        <w:rPr>
          <w:rFonts w:hint="eastAsia" w:eastAsiaTheme="minorEastAsia"/>
          <w:kern w:val="2"/>
          <w:sz w:val="20"/>
          <w:lang w:val="en-US" w:eastAsia="zh-CN"/>
        </w:rPr>
        <w:t>Liguo Wang</w:t>
      </w:r>
      <w:r>
        <w:rPr>
          <w:rFonts w:eastAsiaTheme="minorEastAsia"/>
          <w:kern w:val="2"/>
          <w:sz w:val="20"/>
          <w:vertAlign w:val="superscript"/>
          <w:lang w:val="en-US" w:eastAsia="zh-CN"/>
        </w:rPr>
        <w:t>1,*</w:t>
      </w:r>
      <w:r>
        <w:rPr>
          <w:rFonts w:eastAsiaTheme="minorEastAsia"/>
          <w:kern w:val="2"/>
          <w:sz w:val="20"/>
          <w:lang w:val="en-US" w:eastAsia="zh-CN"/>
        </w:rPr>
        <w:t>, Liwei Zhuang</w:t>
      </w:r>
      <w:r>
        <w:rPr>
          <w:rFonts w:eastAsiaTheme="minorEastAsia"/>
          <w:kern w:val="2"/>
          <w:sz w:val="20"/>
          <w:vertAlign w:val="superscript"/>
          <w:lang w:val="en-US" w:eastAsia="zh-CN"/>
        </w:rPr>
        <w:t>1,*</w:t>
      </w:r>
    </w:p>
    <w:p>
      <w:pPr>
        <w:pStyle w:val="5"/>
        <w:spacing w:line="360" w:lineRule="auto"/>
        <w:rPr>
          <w:rFonts w:eastAsiaTheme="minorEastAsia"/>
          <w:kern w:val="2"/>
          <w:sz w:val="20"/>
          <w:lang w:val="en-US" w:eastAsia="zh-CN"/>
        </w:rPr>
      </w:pPr>
      <w:r>
        <w:rPr>
          <w:rFonts w:eastAsiaTheme="minorEastAsia"/>
          <w:kern w:val="2"/>
          <w:sz w:val="20"/>
          <w:vertAlign w:val="superscript"/>
          <w:lang w:val="en-US" w:eastAsia="zh-CN"/>
        </w:rPr>
        <w:t>1</w:t>
      </w:r>
      <w:r>
        <w:rPr>
          <w:rFonts w:eastAsiaTheme="minorEastAsia"/>
          <w:kern w:val="2"/>
          <w:sz w:val="20"/>
          <w:lang w:val="en-US" w:eastAsia="zh-CN"/>
        </w:rPr>
        <w:t>The Fourth Affiliated Hospital, Harbin Medical University, Harbin, Heilongjiang 150001, China</w:t>
      </w:r>
      <w:r>
        <w:rPr>
          <w:rFonts w:hint="eastAsia" w:eastAsiaTheme="minorEastAsia"/>
          <w:kern w:val="2"/>
          <w:sz w:val="20"/>
          <w:lang w:val="en-US" w:eastAsia="zh-CN"/>
        </w:rPr>
        <w:t>.</w:t>
      </w:r>
    </w:p>
    <w:p>
      <w:pPr>
        <w:pStyle w:val="5"/>
        <w:spacing w:line="360" w:lineRule="auto"/>
        <w:rPr>
          <w:rFonts w:eastAsiaTheme="minorEastAsia"/>
          <w:kern w:val="2"/>
          <w:sz w:val="20"/>
          <w:lang w:val="en-US" w:eastAsia="zh-CN"/>
        </w:rPr>
      </w:pPr>
      <w:r>
        <w:rPr>
          <w:sz w:val="20"/>
        </w:rPr>
        <w:t>Telephone numbers:</w:t>
      </w:r>
      <w:r>
        <w:rPr>
          <w:rFonts w:hint="eastAsia"/>
          <w:sz w:val="20"/>
          <w:lang w:val="en-US" w:eastAsia="zh-CN"/>
        </w:rPr>
        <w:t>0451-82576955</w:t>
      </w:r>
    </w:p>
    <w:p>
      <w:pPr>
        <w:pStyle w:val="5"/>
        <w:spacing w:line="360" w:lineRule="auto"/>
        <w:rPr>
          <w:rFonts w:eastAsiaTheme="minorEastAsia"/>
          <w:kern w:val="2"/>
          <w:sz w:val="20"/>
          <w:lang w:val="en-US" w:eastAsia="zh-CN"/>
        </w:rPr>
      </w:pPr>
      <w:r>
        <w:rPr>
          <w:rFonts w:eastAsiaTheme="minorEastAsia"/>
          <w:kern w:val="2"/>
          <w:sz w:val="20"/>
          <w:vertAlign w:val="superscript"/>
          <w:lang w:val="en-US" w:eastAsia="zh-CN"/>
        </w:rPr>
        <w:t>†</w:t>
      </w:r>
      <w:r>
        <w:rPr>
          <w:rFonts w:eastAsiaTheme="minorEastAsia"/>
          <w:kern w:val="2"/>
          <w:sz w:val="20"/>
          <w:lang w:val="en-US" w:eastAsia="zh-CN"/>
        </w:rPr>
        <w:t xml:space="preserve">These authors contributed equally to this work </w:t>
      </w:r>
      <w:r>
        <w:rPr>
          <w:sz w:val="20"/>
        </w:rPr>
        <w:t>as first author</w:t>
      </w:r>
      <w:r>
        <w:rPr>
          <w:rFonts w:hint="eastAsia" w:eastAsiaTheme="minorEastAsia"/>
          <w:kern w:val="2"/>
          <w:sz w:val="20"/>
          <w:lang w:val="en-US" w:eastAsia="zh-CN"/>
        </w:rPr>
        <w:t>.</w:t>
      </w:r>
    </w:p>
    <w:p>
      <w:pPr>
        <w:rPr>
          <w:rFonts w:ascii="Times New Roman" w:hAnsi="Times New Roman" w:cs="Times New Roman"/>
          <w:sz w:val="20"/>
          <w:szCs w:val="24"/>
        </w:rPr>
      </w:pPr>
      <w:bookmarkStart w:id="1" w:name="OLE_LINK5"/>
      <w:r>
        <w:rPr>
          <w:sz w:val="20"/>
          <w:vertAlign w:val="superscript"/>
        </w:rPr>
        <w:t>*</w:t>
      </w:r>
      <w:r>
        <w:rPr>
          <w:rFonts w:ascii="Times New Roman" w:hAnsi="Times New Roman" w:cs="Times New Roman"/>
          <w:sz w:val="20"/>
          <w:szCs w:val="24"/>
        </w:rPr>
        <w:t>Correspondence</w:t>
      </w:r>
      <w:bookmarkEnd w:id="1"/>
      <w:r>
        <w:rPr>
          <w:rFonts w:ascii="Times New Roman" w:hAnsi="Times New Roman" w:cs="Times New Roman"/>
          <w:sz w:val="20"/>
          <w:szCs w:val="24"/>
        </w:rPr>
        <w:t xml:space="preserve"> should be addressed</w:t>
      </w:r>
      <w:r>
        <w:rPr>
          <w:rFonts w:hint="eastAsia" w:ascii="Times New Roman" w:hAnsi="Times New Roman" w:cs="Times New Roman"/>
          <w:sz w:val="20"/>
          <w:szCs w:val="24"/>
        </w:rPr>
        <w:t>:</w:t>
      </w:r>
      <w:r>
        <w:rPr>
          <w:rFonts w:ascii="Times New Roman" w:hAnsi="Times New Roman" w:cs="Times New Roman"/>
          <w:sz w:val="20"/>
          <w:szCs w:val="24"/>
        </w:rPr>
        <w:t xml:space="preserve"> zhuangliweiyd@126.com </w:t>
      </w:r>
      <w:r>
        <w:rPr>
          <w:rFonts w:hint="eastAsia" w:ascii="Times New Roman" w:hAnsi="Times New Roman" w:cs="Times New Roman"/>
          <w:sz w:val="20"/>
          <w:szCs w:val="24"/>
        </w:rPr>
        <w:t>(Liwei Zhuang</w:t>
      </w:r>
      <w:r>
        <w:rPr>
          <w:rFonts w:ascii="Times New Roman" w:hAnsi="Times New Roman" w:cs="Times New Roman"/>
          <w:sz w:val="20"/>
          <w:szCs w:val="24"/>
        </w:rPr>
        <w:t xml:space="preserve">), </w:t>
      </w:r>
      <w:r>
        <w:rPr>
          <w:rFonts w:hint="eastAsia" w:ascii="Times New Roman" w:hAnsi="Times New Roman" w:cs="Times New Roman"/>
          <w:sz w:val="20"/>
          <w:szCs w:val="24"/>
        </w:rPr>
        <w:t>wangliguo8314000@sina.com</w:t>
      </w:r>
      <w:r>
        <w:rPr>
          <w:rFonts w:ascii="Times New Roman" w:hAnsi="Times New Roman" w:cs="Times New Roman"/>
          <w:sz w:val="20"/>
          <w:szCs w:val="24"/>
        </w:rPr>
        <w:t xml:space="preserve"> (</w:t>
      </w:r>
      <w:r>
        <w:rPr>
          <w:rFonts w:hint="eastAsia" w:ascii="Times New Roman" w:hAnsi="Times New Roman" w:cs="Times New Roman"/>
          <w:sz w:val="20"/>
          <w:szCs w:val="24"/>
        </w:rPr>
        <w:t>Liguo Wang</w:t>
      </w:r>
      <w:r>
        <w:rPr>
          <w:rFonts w:ascii="Times New Roman" w:hAnsi="Times New Roman" w:cs="Times New Roman"/>
          <w:sz w:val="20"/>
          <w:szCs w:val="24"/>
        </w:rPr>
        <w:t>).</w:t>
      </w:r>
      <w:bookmarkEnd w:id="0"/>
    </w:p>
    <w:p/>
    <w:p>
      <w:pPr>
        <w:spacing w:before="240" w:after="240" w:line="360" w:lineRule="auto"/>
        <w:jc w:val="left"/>
        <w:rPr>
          <w:rFonts w:ascii="Times New Roman" w:hAnsi="Times New Roman" w:cs="Times New Roman"/>
          <w:i/>
          <w:sz w:val="24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spacing w:before="240" w:after="240" w:line="360" w:lineRule="auto"/>
        <w:jc w:val="left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Supplementary figures</w:t>
      </w:r>
    </w:p>
    <w:p>
      <w:pPr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drawing>
          <wp:inline distT="0" distB="0" distL="0" distR="0">
            <wp:extent cx="5274310" cy="2423160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23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rPr>
          <w:rFonts w:ascii="Times New Roman" w:hAnsi="Times New Roman" w:cs="Times New Roman"/>
        </w:rPr>
      </w:pPr>
      <w:r>
        <w:rPr>
          <w:rFonts w:ascii="Times New Roman" w:hAnsi="Times New Roman" w:eastAsia="黑体" w:cs="Times New Roman"/>
          <w:b/>
          <w:sz w:val="24"/>
          <w:szCs w:val="21"/>
        </w:rPr>
        <w:t xml:space="preserve">Figure S1. </w:t>
      </w:r>
      <w:r>
        <w:rPr>
          <w:rFonts w:ascii="Times New Roman" w:hAnsi="Times New Roman" w:cs="Times New Roman"/>
          <w:sz w:val="24"/>
          <w:szCs w:val="24"/>
        </w:rPr>
        <w:t>Hierarchical clustering map shows two expression profile datasets of gastric cancer from the GEO database</w:t>
      </w:r>
      <w:r>
        <w:rPr>
          <w:rFonts w:hint="eastAsia"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 xml:space="preserve">The accession code were </w:t>
      </w:r>
      <w:r>
        <w:rPr>
          <w:rFonts w:ascii="Times New Roman" w:hAnsi="Times New Roman" w:cs="Times New Roman"/>
          <w:bCs/>
          <w:sz w:val="24"/>
        </w:rPr>
        <w:t>GSE13911 (</w:t>
      </w:r>
      <w:r>
        <w:rPr>
          <w:rFonts w:ascii="Times New Roman" w:hAnsi="Times New Roman" w:cs="Times New Roman"/>
          <w:b/>
          <w:bCs/>
          <w:sz w:val="24"/>
        </w:rPr>
        <w:t>A</w:t>
      </w:r>
      <w:r>
        <w:rPr>
          <w:rFonts w:ascii="Times New Roman" w:hAnsi="Times New Roman" w:cs="Times New Roman"/>
          <w:bCs/>
          <w:sz w:val="24"/>
        </w:rPr>
        <w:t>) and GSE29272 (</w:t>
      </w:r>
      <w:r>
        <w:rPr>
          <w:rFonts w:ascii="Times New Roman" w:hAnsi="Times New Roman" w:cs="Times New Roman"/>
          <w:b/>
          <w:bCs/>
          <w:sz w:val="24"/>
        </w:rPr>
        <w:t>B</w:t>
      </w:r>
      <w:r>
        <w:rPr>
          <w:rFonts w:ascii="Times New Roman" w:hAnsi="Times New Roman" w:cs="Times New Roman"/>
          <w:bCs/>
          <w:sz w:val="24"/>
        </w:rPr>
        <w:t>).</w:t>
      </w:r>
    </w:p>
    <w:p>
      <w:pPr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</w:rPr>
        <w:drawing>
          <wp:inline distT="0" distB="0" distL="0" distR="0">
            <wp:extent cx="5274310" cy="6882765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8827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rPr>
          <w:rFonts w:hint="eastAsia" w:ascii="Times New Roman" w:hAnsi="Times New Roman" w:eastAsia="黑体" w:cs="Times New Roman"/>
          <w:b/>
          <w:sz w:val="24"/>
          <w:szCs w:val="21"/>
        </w:rPr>
      </w:pPr>
      <w:r>
        <w:rPr>
          <w:rFonts w:ascii="Times New Roman" w:hAnsi="Times New Roman" w:eastAsia="黑体" w:cs="Times New Roman"/>
          <w:b/>
          <w:sz w:val="24"/>
          <w:szCs w:val="21"/>
        </w:rPr>
        <w:t xml:space="preserve">Figure S2. The </w:t>
      </w:r>
      <w:r>
        <w:rPr>
          <w:rFonts w:ascii="Times New Roman" w:hAnsi="Times New Roman" w:cs="Times New Roman"/>
          <w:sz w:val="24"/>
          <w:szCs w:val="24"/>
        </w:rPr>
        <w:t>Pearson correlations between the KD genes and their dysregulatory factors (</w:t>
      </w:r>
      <w:r>
        <w:rPr>
          <w:rFonts w:hint="eastAsia" w:ascii="Times New Roman" w:hAnsi="Times New Roman" w:eastAsia="黑体" w:cs="Times New Roman"/>
          <w:b/>
          <w:sz w:val="24"/>
          <w:szCs w:val="21"/>
        </w:rPr>
        <w:t>A</w:t>
      </w:r>
      <w:r>
        <w:rPr>
          <w:rFonts w:hint="eastAsia" w:ascii="Times New Roman" w:hAnsi="Times New Roman" w:eastAsia="黑体" w:cs="Times New Roman"/>
          <w:sz w:val="24"/>
          <w:szCs w:val="21"/>
        </w:rPr>
        <w:t>, miRNA</w:t>
      </w:r>
      <w:r>
        <w:rPr>
          <w:rFonts w:ascii="Times New Roman" w:hAnsi="Times New Roman" w:eastAsia="黑体" w:cs="Times New Roman"/>
          <w:sz w:val="24"/>
          <w:szCs w:val="21"/>
        </w:rPr>
        <w:t xml:space="preserve">s; </w:t>
      </w:r>
      <w:r>
        <w:rPr>
          <w:rFonts w:ascii="Times New Roman" w:hAnsi="Times New Roman" w:eastAsia="黑体" w:cs="Times New Roman"/>
          <w:b/>
          <w:sz w:val="24"/>
          <w:szCs w:val="21"/>
        </w:rPr>
        <w:t>B</w:t>
      </w:r>
      <w:r>
        <w:rPr>
          <w:rFonts w:ascii="Times New Roman" w:hAnsi="Times New Roman" w:eastAsia="黑体" w:cs="Times New Roman"/>
          <w:sz w:val="24"/>
          <w:szCs w:val="21"/>
        </w:rPr>
        <w:t>, TFs</w:t>
      </w:r>
      <w:r>
        <w:rPr>
          <w:rFonts w:ascii="Times New Roman" w:hAnsi="Times New Roman" w:cs="Times New Roman"/>
          <w:sz w:val="24"/>
          <w:szCs w:val="24"/>
        </w:rPr>
        <w:t>) on expression level. Red color indicates positive correlation, blue color indicates negative correlation, and the numerical value indicates the Pearson's correlation coefficient.</w:t>
      </w:r>
    </w:p>
    <w:p>
      <w:pPr>
        <w:spacing w:line="360" w:lineRule="auto"/>
        <w:jc w:val="center"/>
        <w:rPr>
          <w:rFonts w:ascii="Times New Roman" w:hAnsi="Times New Roman" w:eastAsia="黑体" w:cs="Times New Roman"/>
          <w:sz w:val="24"/>
          <w:szCs w:val="21"/>
        </w:rPr>
      </w:pPr>
      <w:r>
        <w:rPr>
          <w:rFonts w:ascii="Times New Roman" w:hAnsi="Times New Roman" w:cs="Times New Roman"/>
        </w:rPr>
        <w:drawing>
          <wp:inline distT="0" distB="0" distL="0" distR="0">
            <wp:extent cx="5274310" cy="4057015"/>
            <wp:effectExtent l="0" t="0" r="2540" b="63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0570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rPr>
          <w:rFonts w:hint="eastAsia" w:ascii="Times New Roman" w:hAnsi="Times New Roman" w:eastAsia="黑体" w:cs="Times New Roman"/>
          <w:sz w:val="24"/>
          <w:szCs w:val="21"/>
        </w:rPr>
      </w:pPr>
      <w:r>
        <w:rPr>
          <w:rFonts w:ascii="Times New Roman" w:hAnsi="Times New Roman" w:eastAsia="黑体" w:cs="Times New Roman"/>
          <w:b/>
          <w:sz w:val="24"/>
          <w:szCs w:val="21"/>
        </w:rPr>
        <w:t xml:space="preserve">Figure S3. </w:t>
      </w:r>
      <w:r>
        <w:rPr>
          <w:rFonts w:ascii="Times New Roman" w:hAnsi="Times New Roman" w:cs="Times New Roman"/>
          <w:sz w:val="24"/>
        </w:rPr>
        <w:t xml:space="preserve">The drug response pattern of the drugs in all KD genes in the </w:t>
      </w:r>
      <w:r>
        <w:rPr>
          <w:rFonts w:ascii="Times New Roman" w:hAnsi="Times New Roman" w:cs="Times New Roman"/>
          <w:bCs/>
          <w:sz w:val="24"/>
        </w:rPr>
        <w:t xml:space="preserve">Cancer Genome Project (CGP) </w:t>
      </w:r>
      <w:r>
        <w:rPr>
          <w:rFonts w:ascii="Times New Roman" w:hAnsi="Times New Roman" w:cs="Times New Roman"/>
          <w:sz w:val="24"/>
        </w:rPr>
        <w:t>cell model</w:t>
      </w:r>
      <w:r>
        <w:rPr>
          <w:rFonts w:ascii="Times New Roman" w:hAnsi="Times New Roman" w:cs="Times New Roman"/>
          <w:bCs/>
          <w:sz w:val="24"/>
        </w:rPr>
        <w:t xml:space="preserve"> at the Wellcome Trust Sanger Institute</w:t>
      </w:r>
      <w:r>
        <w:rPr>
          <w:rFonts w:ascii="Times New Roman" w:hAnsi="Times New Roman" w:cs="Times New Roman"/>
          <w:sz w:val="24"/>
        </w:rPr>
        <w:t>, including drug resistance (red) and sensitivity (blue), and line thickness indicates response effect.</w:t>
      </w:r>
    </w:p>
    <w:p>
      <w:pPr>
        <w:spacing w:line="360" w:lineRule="auto"/>
        <w:jc w:val="center"/>
        <w:rPr>
          <w:rFonts w:ascii="Times New Roman" w:hAnsi="Times New Roman" w:eastAsia="黑体" w:cs="Times New Roman"/>
          <w:sz w:val="24"/>
          <w:szCs w:val="21"/>
        </w:rPr>
      </w:pPr>
      <w:r>
        <w:drawing>
          <wp:inline distT="0" distB="0" distL="0" distR="0">
            <wp:extent cx="5274310" cy="3914140"/>
            <wp:effectExtent l="0" t="0" r="254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14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rPr>
          <w:rFonts w:hint="eastAsia" w:ascii="Times New Roman" w:hAnsi="Times New Roman" w:cs="Times New Roman"/>
          <w:sz w:val="24"/>
          <w:szCs w:val="24"/>
        </w:rPr>
      </w:pPr>
      <w:r>
        <w:rPr>
          <w:rFonts w:ascii="Times New Roman" w:hAnsi="Times New Roman" w:eastAsia="黑体" w:cs="Times New Roman"/>
          <w:b/>
          <w:sz w:val="24"/>
          <w:szCs w:val="21"/>
        </w:rPr>
        <w:t>Figure S4.</w:t>
      </w:r>
      <w:r>
        <w:rPr>
          <w:rFonts w:hint="eastAsia" w:ascii="Times New Roman" w:hAnsi="Times New Roman" w:eastAsia="黑体" w:cs="Times New Roman"/>
          <w:b/>
          <w:sz w:val="24"/>
          <w:szCs w:val="21"/>
        </w:rPr>
        <w:t xml:space="preserve"> </w:t>
      </w:r>
      <w:r>
        <w:rPr>
          <w:rFonts w:ascii="Times New Roman" w:hAnsi="Times New Roman" w:eastAsia="黑体" w:cs="Times New Roman"/>
          <w:b/>
          <w:sz w:val="24"/>
          <w:szCs w:val="21"/>
        </w:rPr>
        <w:t xml:space="preserve">KD genes carried in gastric cancer patients in two data sets. </w:t>
      </w:r>
      <w:r>
        <w:rPr>
          <w:rFonts w:ascii="Times New Roman" w:hAnsi="Times New Roman" w:cs="Times New Roman"/>
          <w:sz w:val="24"/>
          <w:szCs w:val="24"/>
        </w:rPr>
        <w:t>TCGA gastric cancer datasets from cBioPort data sources (</w:t>
      </w:r>
      <w:r>
        <w:rPr>
          <w:rFonts w:ascii="Times New Roman" w:hAnsi="Times New Roman" w:cs="Times New Roman"/>
          <w:b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>), and extra datasets for gastric cancer patients from the Firhose database (</w:t>
      </w:r>
      <w:r>
        <w:rPr>
          <w:rFonts w:ascii="Times New Roman" w:hAnsi="Times New Roman" w:cs="Times New Roman"/>
          <w:b/>
          <w:sz w:val="24"/>
          <w:szCs w:val="24"/>
        </w:rPr>
        <w:t>B</w:t>
      </w:r>
      <w:r>
        <w:rPr>
          <w:rFonts w:ascii="Times New Roman" w:hAnsi="Times New Roman" w:cs="Times New Roman"/>
          <w:sz w:val="24"/>
          <w:szCs w:val="24"/>
        </w:rPr>
        <w:t>). The patient groups were constructed by KD gene signatures.</w:t>
      </w:r>
    </w:p>
    <w:p>
      <w:pPr>
        <w:spacing w:line="360" w:lineRule="auto"/>
        <w:jc w:val="left"/>
        <w:rPr>
          <w:rFonts w:ascii="Times New Roman" w:hAnsi="Times New Roman" w:cs="Times New Roman"/>
          <w:sz w:val="24"/>
        </w:rPr>
      </w:pPr>
      <w:r>
        <w:drawing>
          <wp:inline distT="0" distB="0" distL="0" distR="0">
            <wp:extent cx="5274310" cy="4926330"/>
            <wp:effectExtent l="0" t="0" r="2540" b="762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926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eastAsia="黑体" w:cs="Times New Roman"/>
          <w:b/>
          <w:sz w:val="24"/>
          <w:szCs w:val="21"/>
        </w:rPr>
        <w:t xml:space="preserve">Figure S5. Distribution of clinical features in patient groups. </w:t>
      </w:r>
      <w:r>
        <w:rPr>
          <w:rFonts w:ascii="Times New Roman" w:hAnsi="Times New Roman" w:eastAsia="黑体" w:cs="Times New Roman"/>
          <w:sz w:val="24"/>
          <w:szCs w:val="21"/>
        </w:rPr>
        <w:t>The clinical features included age (</w:t>
      </w:r>
      <w:r>
        <w:rPr>
          <w:rFonts w:ascii="Times New Roman" w:hAnsi="Times New Roman" w:eastAsia="黑体" w:cs="Times New Roman"/>
          <w:b/>
          <w:sz w:val="24"/>
          <w:szCs w:val="21"/>
        </w:rPr>
        <w:t>A</w:t>
      </w:r>
      <w:r>
        <w:rPr>
          <w:rFonts w:ascii="Times New Roman" w:hAnsi="Times New Roman" w:eastAsia="黑体" w:cs="Times New Roman"/>
          <w:sz w:val="24"/>
          <w:szCs w:val="21"/>
        </w:rPr>
        <w:t xml:space="preserve">), </w:t>
      </w:r>
      <w:r>
        <w:rPr>
          <w:rFonts w:ascii="Times New Roman" w:hAnsi="Times New Roman" w:cs="Times New Roman"/>
          <w:sz w:val="24"/>
          <w:szCs w:val="24"/>
        </w:rPr>
        <w:t>tumor lymphatic infiltration (</w:t>
      </w:r>
      <w:r>
        <w:rPr>
          <w:rFonts w:ascii="Times New Roman" w:hAnsi="Times New Roman" w:cs="Times New Roman"/>
          <w:b/>
          <w:sz w:val="24"/>
          <w:szCs w:val="24"/>
        </w:rPr>
        <w:t>B</w:t>
      </w:r>
      <w:r>
        <w:rPr>
          <w:rFonts w:ascii="Times New Roman" w:hAnsi="Times New Roman" w:cs="Times New Roman"/>
          <w:sz w:val="24"/>
          <w:szCs w:val="24"/>
        </w:rPr>
        <w:t>), tumor cells (</w:t>
      </w:r>
      <w:r>
        <w:rPr>
          <w:rFonts w:ascii="Times New Roman" w:hAnsi="Times New Roman" w:cs="Times New Roman"/>
          <w:b/>
          <w:sz w:val="24"/>
          <w:szCs w:val="24"/>
        </w:rPr>
        <w:t>C</w:t>
      </w:r>
      <w:r>
        <w:rPr>
          <w:rFonts w:ascii="Times New Roman" w:hAnsi="Times New Roman" w:cs="Times New Roman"/>
          <w:sz w:val="24"/>
          <w:szCs w:val="24"/>
        </w:rPr>
        <w:t>), and tumor nuclei (</w:t>
      </w:r>
      <w:r>
        <w:rPr>
          <w:rFonts w:ascii="Times New Roman" w:hAnsi="Times New Roman" w:cs="Times New Roman"/>
          <w:b/>
          <w:sz w:val="24"/>
          <w:szCs w:val="24"/>
        </w:rPr>
        <w:t>D</w:t>
      </w:r>
      <w:r>
        <w:rPr>
          <w:rFonts w:ascii="Times New Roman" w:hAnsi="Times New Roman" w:cs="Times New Roman"/>
          <w:sz w:val="24"/>
          <w:szCs w:val="24"/>
        </w:rPr>
        <w:t>).</w:t>
      </w:r>
    </w:p>
    <w:p>
      <w:pPr>
        <w:spacing w:line="360" w:lineRule="auto"/>
        <w:jc w:val="center"/>
        <w:rPr>
          <w:rFonts w:ascii="Times New Roman" w:hAnsi="Times New Roman" w:eastAsia="黑体" w:cs="Times New Roman"/>
          <w:sz w:val="24"/>
          <w:szCs w:val="21"/>
        </w:rPr>
      </w:pPr>
      <w:r>
        <w:drawing>
          <wp:inline distT="0" distB="0" distL="0" distR="0">
            <wp:extent cx="5274310" cy="4315460"/>
            <wp:effectExtent l="0" t="0" r="2540" b="889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3154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rPr>
          <w:rFonts w:ascii="Times New Roman" w:hAnsi="Times New Roman" w:cs="Times New Roman"/>
          <w:sz w:val="24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ascii="Times New Roman" w:hAnsi="Times New Roman" w:eastAsia="黑体" w:cs="Times New Roman"/>
          <w:b/>
          <w:sz w:val="24"/>
          <w:szCs w:val="21"/>
        </w:rPr>
        <w:t xml:space="preserve">Figure S6. </w:t>
      </w:r>
      <w:r>
        <w:rPr>
          <w:rFonts w:ascii="Times New Roman" w:hAnsi="Times New Roman" w:cs="Times New Roman"/>
          <w:b/>
          <w:sz w:val="24"/>
        </w:rPr>
        <w:t xml:space="preserve">Prognostic efficacy of KD gene signatures </w:t>
      </w:r>
      <w:r>
        <w:rPr>
          <w:rFonts w:ascii="Times New Roman" w:hAnsi="Times New Roman" w:cs="Times New Roman"/>
          <w:sz w:val="24"/>
        </w:rPr>
        <w:t>(Corresponding to Figure 6 in the main text)</w:t>
      </w:r>
      <w:r>
        <w:rPr>
          <w:rFonts w:ascii="Times New Roman" w:hAnsi="Times New Roman" w:cs="Times New Roman"/>
          <w:b/>
          <w:sz w:val="24"/>
        </w:rPr>
        <w:t>. A</w:t>
      </w:r>
      <w:r>
        <w:rPr>
          <w:rFonts w:ascii="Times New Roman" w:hAnsi="Times New Roman" w:cs="Times New Roman"/>
          <w:sz w:val="24"/>
        </w:rPr>
        <w:t xml:space="preserve">, The KM curve shows the </w:t>
      </w:r>
      <w:r>
        <w:rPr>
          <w:rFonts w:ascii="Times New Roman" w:hAnsi="Times New Roman" w:cs="Times New Roman"/>
          <w:sz w:val="24"/>
          <w:szCs w:val="24"/>
        </w:rPr>
        <w:t>overall-survival (OS) time of</w:t>
      </w:r>
      <w:r>
        <w:rPr>
          <w:rFonts w:ascii="Times New Roman" w:hAnsi="Times New Roman" w:cs="Times New Roman"/>
          <w:sz w:val="24"/>
        </w:rPr>
        <w:t xml:space="preserve"> gastric cancer patients from </w:t>
      </w:r>
      <w:r>
        <w:rPr>
          <w:rFonts w:ascii="Times New Roman" w:hAnsi="Times New Roman" w:cs="Times New Roman"/>
          <w:sz w:val="24"/>
          <w:szCs w:val="24"/>
        </w:rPr>
        <w:t xml:space="preserve">cBioPort. </w:t>
      </w:r>
      <w:r>
        <w:rPr>
          <w:rFonts w:ascii="Times New Roman" w:hAnsi="Times New Roman" w:cs="Times New Roman"/>
          <w:b/>
          <w:sz w:val="24"/>
          <w:szCs w:val="24"/>
        </w:rPr>
        <w:t>BC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</w:rPr>
        <w:t>Clustering analysis based on the expression level of KD genes in extra datasets.</w:t>
      </w:r>
      <w:r>
        <w:rPr>
          <w:rFonts w:ascii="Times New Roman" w:hAnsi="Times New Roman" w:cs="Times New Roman"/>
          <w:b/>
          <w:sz w:val="24"/>
        </w:rPr>
        <w:t xml:space="preserve"> DE</w:t>
      </w:r>
      <w:r>
        <w:rPr>
          <w:rFonts w:ascii="Times New Roman" w:hAnsi="Times New Roman" w:cs="Times New Roman"/>
          <w:sz w:val="24"/>
        </w:rPr>
        <w:t>, The proportion of the patient groups in clinical features, including INTESTINAL TYPE subclass (</w:t>
      </w:r>
      <w:r>
        <w:rPr>
          <w:rFonts w:ascii="Times New Roman" w:hAnsi="Times New Roman" w:cs="Times New Roman"/>
          <w:b/>
          <w:sz w:val="24"/>
        </w:rPr>
        <w:t>D</w:t>
      </w:r>
      <w:r>
        <w:rPr>
          <w:rFonts w:ascii="Times New Roman" w:hAnsi="Times New Roman" w:cs="Times New Roman"/>
          <w:sz w:val="24"/>
        </w:rPr>
        <w:t>) and TNM stages (</w:t>
      </w:r>
      <w:r>
        <w:rPr>
          <w:rFonts w:ascii="Times New Roman" w:hAnsi="Times New Roman" w:cs="Times New Roman"/>
          <w:b/>
          <w:sz w:val="24"/>
        </w:rPr>
        <w:t>E</w:t>
      </w:r>
      <w:r>
        <w:rPr>
          <w:rFonts w:ascii="Times New Roman" w:hAnsi="Times New Roman" w:cs="Times New Roman"/>
          <w:sz w:val="24"/>
        </w:rPr>
        <w:t>).</w:t>
      </w:r>
      <w:bookmarkStart w:id="2" w:name="_GoBack"/>
      <w:bookmarkEnd w:id="2"/>
    </w:p>
    <w:p>
      <w:pPr>
        <w:spacing w:line="360" w:lineRule="auto"/>
        <w:jc w:val="left"/>
        <w:rPr>
          <w:rFonts w:hint="eastAsia" w:ascii="Times New Roman" w:hAnsi="Times New Roman" w:cs="Times New Roman"/>
          <w:sz w:val="24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6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090A"/>
    <w:rsid w:val="000135B6"/>
    <w:rsid w:val="00042491"/>
    <w:rsid w:val="00066972"/>
    <w:rsid w:val="001A3631"/>
    <w:rsid w:val="003472AB"/>
    <w:rsid w:val="00361E98"/>
    <w:rsid w:val="003B6EEB"/>
    <w:rsid w:val="004612E9"/>
    <w:rsid w:val="004F6ECA"/>
    <w:rsid w:val="00540E4B"/>
    <w:rsid w:val="005B1C76"/>
    <w:rsid w:val="00672741"/>
    <w:rsid w:val="006D5D73"/>
    <w:rsid w:val="00761D2C"/>
    <w:rsid w:val="007F315A"/>
    <w:rsid w:val="008B6841"/>
    <w:rsid w:val="00983FCD"/>
    <w:rsid w:val="00A449B5"/>
    <w:rsid w:val="00B719E8"/>
    <w:rsid w:val="00B940C4"/>
    <w:rsid w:val="00BB6E86"/>
    <w:rsid w:val="00D01A2F"/>
    <w:rsid w:val="00D10CB3"/>
    <w:rsid w:val="00D93E7F"/>
    <w:rsid w:val="00DD27E8"/>
    <w:rsid w:val="00E23C3D"/>
    <w:rsid w:val="00E5090A"/>
    <w:rsid w:val="00EB7819"/>
    <w:rsid w:val="00F31D95"/>
    <w:rsid w:val="00F5472A"/>
    <w:rsid w:val="00F6264B"/>
    <w:rsid w:val="00FF48D0"/>
    <w:rsid w:val="10E447E2"/>
    <w:rsid w:val="1FA513E1"/>
    <w:rsid w:val="2AC50B8D"/>
    <w:rsid w:val="62316C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5">
    <w:name w:val="No Spacing"/>
    <w:qFormat/>
    <w:uiPriority w:val="1"/>
    <w:rPr>
      <w:rFonts w:ascii="Times New Roman" w:hAnsi="Times New Roman" w:eastAsia="宋体" w:cs="Times New Roman"/>
      <w:sz w:val="24"/>
      <w:szCs w:val="24"/>
      <w:lang w:val="en-GB" w:eastAsia="en-GB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238</Words>
  <Characters>1361</Characters>
  <Lines>11</Lines>
  <Paragraphs>3</Paragraphs>
  <TotalTime>4</TotalTime>
  <ScaleCrop>false</ScaleCrop>
  <LinksUpToDate>false</LinksUpToDate>
  <CharactersWithSpaces>1596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2019-11-17T07:00:00Z</dcterms:created>
  <dc:creator>Dell</dc:creator>
  <cp:lastModifiedBy>喃喃</cp:lastModifiedBy>
  <dcterms:modified xsi:type="dcterms:W3CDTF">2020-11-28T04:13:36Z</dcterms:modified>
  <cp:revision>29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