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RECORD Reporting Checklist</w:t>
      </w:r>
    </w:p>
    <w:p>
      <w:pPr>
        <w:spacing w:after="200" w:line="280" w:lineRule="auto"/>
      </w:pPr>
      <w:r>
        <w:rPr>
          <w:rFonts w:ascii="Times New Roman" w:cs="Times New Roman" w:eastAsia="Times New Roman" w:hAnsi="Times New Roman"/>
          <w:i/>
          <w:iCs/>
          <w:sz w:val="18"/>
          <w:szCs w:val="18"/>
        </w:rPr>
        <w:t xml:space="preserve">Manuscript: “Post-Market Safety Signals and Regulatory Lifecycle of Deep Brain Stimulation Systems for Movement Disorders: A Multi-Database FDA Public-Records Analysis.” Checklist items follow Benchimol EI, Smeeth L, Guttmann A, et al. The REporting of studies Conducted using Observational Routinely-collected health Data (RECORD) statement. PLoS Med. 2015;12(10):e1001885. Items are mapped to manuscript sections by the authors; STROBE items not extended by RECORD are abbreviated where the parent STROBE checklist item applies without modification.</w:t>
      </w:r>
    </w:p>
    <w:tbl>
      <w:tblPr>
        <w:tblW w:type="dxa" w:w="104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50"/>
        <w:gridCol w:w="2100"/>
        <w:gridCol w:w="4150"/>
        <w:gridCol w:w="1850"/>
        <w:gridCol w:w="1810"/>
      </w:tblGrid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DCE6F1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Item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DCE6F1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STROBE/RECORD topic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DCE6F1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Recommendation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DCE6F1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Reported in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shd w:fill="DCE6F1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7"/>
                <w:szCs w:val="17"/>
              </w:rPr>
              <w:t xml:space="preserve">Notes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Title/abstract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Indicate the study's design with a commonly used term and indicate that the study used routinely collected health data; state codes used to identify the population if applicable.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Title; Abstract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Title states “Multi-Database FDA Public-Records Analysis”; Abstract Methods state FDA Product Classification codes (MHY, NHL, PJS, SGS) used for case definition.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1.2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Abstract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Provide information on databases used, including their linkage, if applicable.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Abstract (Methods)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Four FDA databases named explicitly: Product Classification, MAUDE/openFDA, Device Recall, PMA.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1.3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Abstract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If linkage between databases was conducted, this should be clearly stated.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N/A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 patient-level or cross-database record linkage was performed; databases were analyzed in parallel and synthesized descriptively (Section 2.1, Figure 1).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Background/rationale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Explain the scientific background and rationale.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Introduction §1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3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Objectives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State specific objectives, including prespecified hypotheses.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Introduction, final paragraph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Five numbered study aims; study explicitly described as descriptive/exploratory, not hypothesis-testing.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4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Study design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Present key elements of study design early.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§2.1 Study Design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5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Setting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Describe setting, locations, relevant dates (recruitment, exposure, follow-up, data collection).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§2.1; §2.4; §2.6; §2.7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2015–2025 window for MAUDE/recall; PMA window unrestricted; data lock 14 June 2026.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6.1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Participants – eligibility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Eligibility criteria; methods/algorithms of selection, including codes/algorithms used to identify subgroups.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§2.2 Regulatory Case Definition; Table 1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6.2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Participants – validation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Validation studies of codes/algorithms used to select population, if done.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§2.5 Manual Validation; Table 3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Validation targets narrative-derived adverse-event categories, not population-selection codes; this distinction is stated explicitly.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6.3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Participants – linkage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Linkage between databases for selection, if applicable.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N/A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 patient-level linkage; see item 1.3.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7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Variables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Define all outcomes, exposures, predictors, confounders, effect modifiers; give diagnostic criteria.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§2.4 (narrative categories); §2.7 (lifecycle domains)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7.1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Variables – codes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Complete list of codes/algorithms used to classify exposures, outcomes, etc.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§2.4; §2.7; Supplementary Table S10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Full query manifest provided as supplementary material rather than in-text, per journal word limit.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8.1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Data sources/measurement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Name databases and software/analytic platform.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§2.4; §2.6; §2.7; §2.9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9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Bias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Describe efforts to address potential sources of bias.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§2.5 (manual validation); §2.8 (manufacturer harmonization); §4.7 (Limitations)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10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Study size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Explain how study size was arrived at.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§2.4–§2.7 (Results 3.1–3.6)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Sizes determined by complete retrieval (no sampling), except 400-report validation subsample.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Quantitative variables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Explain how quantitative variables were handled; describe groupings.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§2.7 (PMA lifecycle domains); §2.9 (statistical methods)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12.1–12.3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Statistical methods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Describe all statistical methods, including data completeness, cleaning, and linkage across databases.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§2.9 Exploratory Statistical Analysis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No cross-database linkage was performed (12.3 N/A).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12.4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Eligibility changes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Describe any changes in eligibility/case definitions over the study period.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§2.2; Table 1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SGS retained in case definition despite zero retrieved records; rationale stated.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13.1–13.3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Participants – flow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Report numbers at each stage; reasons for exclusion; flow diagram if possible.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§3.1–3.6; Figure 1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Figure 1 functions as the RECORD-style flow diagram across all four database layers.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14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Descriptive data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Characteristics of study participants and information on exposures/confounders.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§3.2 (MAUDE); §3.5 (Recall); §3.6 (PMA)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15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Outcome data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Report numbers of outcome events or summary measures.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§3.2–§3.3; Table 3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16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Main results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Give unadjusted and adjusted estimates and precision; report category boundaries.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§3.4; Table 4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17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Other analyses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Report other analyses done (subgroups, interactions, sensitivity analyses).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§3.4 (product-code and manufacturer-associated strata)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18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Key results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Summarize key results with reference to study objectives.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§4.1 Principal Findings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19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Limitations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Discuss limitations, sources of bias/imprecision; discuss direction/magnitude of bias.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§4.7 Strengths and Limitations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19.1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Limitations – routine data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Discuss implications of using data not specifically collected for research purposes.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§2.9; §4.3; §4.7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Central theme of the manuscript; repeated explicitly across Methods, Results, and Discussion.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20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Interpretation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Give cautious overall interpretation given objectives, limitations, multiplicity of analyses.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§4.2–§4.6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Generalisability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Discuss generalisability of results.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Abstract (Conclusions); §4.7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Explicitly limited to U.S. public regulatory-record settings.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22.1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Funding/access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Give funding source; describe role of funders; provide information on accessing protocol, raw data, or programming code.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Funding statement; Data Availability Statement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 </w:t>
            </w:r>
          </w:p>
        </w:tc>
      </w:tr>
      <w:tr>
        <w:tc>
          <w:tcPr>
            <w:tcW w:type="dxa" w:w="5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22.2</w:t>
            </w:r>
          </w:p>
        </w:tc>
        <w:tc>
          <w:tcPr>
            <w:tcW w:type="dxa" w:w="210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Disclaimer</w:t>
            </w:r>
          </w:p>
        </w:tc>
        <w:tc>
          <w:tcPr>
            <w:tcW w:type="dxa" w:w="41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State whether findings represent the views of database owner/funder.</w:t>
            </w:r>
          </w:p>
        </w:tc>
        <w:tc>
          <w:tcPr>
            <w:tcW w:type="dxa" w:w="185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Data Availability Statement</w:t>
            </w:r>
          </w:p>
        </w:tc>
        <w:tc>
          <w:tcPr>
            <w:tcW w:type="dxa" w:w="1810"/>
            <w:tcBorders>
              <w:top w:val="single" w:color="999999" w:sz="2"/>
              <w:left w:val="single" w:color="999999" w:sz="2"/>
              <w:bottom w:val="single" w:color="999999" w:sz="2"/>
              <w:right w:val="single" w:color="999999" w:sz="2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spacing w:line="220" w:lineRule="auto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7"/>
                <w:szCs w:val="17"/>
              </w:rPr>
              <w:t xml:space="preserve">FDA public-record interpretations are the authors’ own and do not represent FDA views; consider adding this explicit disclaimer sentence before submission.</w:t>
            </w:r>
          </w:p>
        </w:tc>
      </w:tr>
    </w:tbl>
    <w:p>
      <w:pPr>
        <w:spacing w:before="200" w:line="280" w:lineRule="auto"/>
      </w:pPr>
      <w:r>
        <w:rPr>
          <w:rFonts w:ascii="Times New Roman" w:cs="Times New Roman" w:eastAsia="Times New Roman" w:hAnsi="Times New Roman"/>
          <w:b/>
          <w:bCs/>
          <w:sz w:val="18"/>
          <w:szCs w:val="18"/>
        </w:rPr>
        <w:t xml:space="preserve">Note: this checklist was prepared to support transparent reporting and should be reviewed and verified by all authors against the final submitted manuscript before submission, particularly items 22.1–22.2.</w:t>
      </w:r>
    </w:p>
    <w:sectPr>
      <w:pgSz w:w="12240" w:h="15840" w:orient="landscape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2026-06-30T20:18:48.361Z</dcterms:created>
  <dcterms:modified xsi:type="dcterms:W3CDTF">2026-06-30T20:18:48.361Z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