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13830">
      <w:pPr>
        <w:spacing w:before="360" w:after="240"/>
        <w:jc w:val="center"/>
      </w:pPr>
      <w:r>
        <w:rPr>
          <w:rFonts w:ascii="Times New Roman" w:hAnsi="Times New Roman" w:eastAsia="黑体"/>
          <w:b/>
          <w:sz w:val="32"/>
        </w:rPr>
        <w:t>Supplementary Materials</w:t>
      </w:r>
    </w:p>
    <w:p w14:paraId="78A84592">
      <w:pPr>
        <w:spacing w:before="240" w:after="120"/>
        <w:rPr>
          <w:rFonts w:ascii="Times New Roman" w:hAnsi="Times New Roman" w:eastAsia="黑体"/>
          <w:b/>
          <w:sz w:val="26"/>
        </w:rPr>
      </w:pPr>
    </w:p>
    <w:p w14:paraId="27FAB37A">
      <w:pPr>
        <w:spacing w:before="240" w:after="120"/>
      </w:pPr>
      <w:bookmarkStart w:id="0" w:name="_GoBack"/>
      <w:bookmarkEnd w:id="0"/>
      <w:r>
        <w:rPr>
          <w:rFonts w:ascii="Times New Roman" w:hAnsi="Times New Roman" w:eastAsia="黑体"/>
          <w:b/>
          <w:sz w:val="26"/>
        </w:rPr>
        <w:t>Supplementary Methods S1. Tumor segmentation sub-study (deep-learning mass delineation, direction B)</w:t>
      </w:r>
    </w:p>
    <w:p w14:paraId="1AE4BF07">
      <w:pPr>
        <w:spacing w:after="60" w:line="360" w:lineRule="auto"/>
        <w:ind w:firstLine="420"/>
      </w:pPr>
      <w:r>
        <w:rPr>
          <w:rFonts w:ascii="Times New Roman" w:hAnsi="Times New Roman" w:eastAsia="宋体"/>
          <w:sz w:val="22"/>
        </w:rPr>
        <w:t>To complement the radiomics workflow with automated tumor-boundary extraction, a 2D U-Net was trained for mammographic mass segmentation using expert ROIs as the reference standard.</w:t>
      </w:r>
    </w:p>
    <w:p w14:paraId="3815404D">
      <w:pPr>
        <w:spacing w:after="60" w:line="360" w:lineRule="auto"/>
        <w:ind w:firstLine="420"/>
      </w:pPr>
      <w:r>
        <w:rPr>
          <w:rFonts w:ascii="Times New Roman" w:hAnsi="Times New Roman" w:eastAsia="宋体"/>
          <w:b/>
          <w:sz w:val="22"/>
        </w:rPr>
        <w:t>Data partitioning and vendor-annotation inconsistency.</w:t>
      </w:r>
      <w:r>
        <w:rPr>
          <w:rFonts w:ascii="Times New Roman" w:hAnsi="Times New Roman" w:eastAsia="宋体"/>
          <w:sz w:val="22"/>
        </w:rPr>
        <w:t xml:space="preserve"> Expert ROIs were not semantically uniform across centers. Center A (UIH, n=40) and Center B (HOLOGIC, n=38) provided tight mass contours (median mask occupancy 0.91% and 0.54% of the 1024×1024 field; median bounding box ≈125×121 px and ≈94×90 px). Center C (GE, n=40) showed heterogeneous annotations: 29/40 masks covered &gt;50% of the field with a median bounding box of 1024×1024 px (near-whole-breast), and Center C images carried no dark background (intensity floor ≈0.79), indicating a different cropping/intensity convention. Two Center B cases were excluded by the clean-mass filter; </w:t>
      </w:r>
      <w:r>
        <w:rPr>
          <w:rFonts w:ascii="Times New Roman" w:hAnsi="Times New Roman" w:eastAsia="宋体"/>
          <w:b/>
          <w:sz w:val="22"/>
        </w:rPr>
        <w:t>all Center C (GE) cases were excluded from training</w:t>
      </w:r>
      <w:r>
        <w:rPr>
          <w:rFonts w:ascii="Times New Roman" w:hAnsi="Times New Roman" w:eastAsia="宋体"/>
          <w:sz w:val="22"/>
        </w:rPr>
        <w:t xml:space="preserve"> (n=39 non-mass masks) and retained only as an external cross-vendor probe. The effective training set thus comprised </w:t>
      </w:r>
      <w:r>
        <w:rPr>
          <w:rFonts w:ascii="Times New Roman" w:hAnsi="Times New Roman" w:eastAsia="宋体"/>
          <w:b/>
          <w:sz w:val="22"/>
        </w:rPr>
        <w:t>78 mass ROIs</w:t>
      </w:r>
      <w:r>
        <w:rPr>
          <w:rFonts w:ascii="Times New Roman" w:hAnsi="Times New Roman" w:eastAsia="宋体"/>
          <w:sz w:val="22"/>
        </w:rPr>
        <w:t xml:space="preserve"> (Centers A+B).</w:t>
      </w:r>
    </w:p>
    <w:p w14:paraId="7103939E">
      <w:pPr>
        <w:spacing w:after="60" w:line="360" w:lineRule="auto"/>
        <w:ind w:firstLine="420"/>
      </w:pPr>
      <w:r>
        <w:rPr>
          <w:rFonts w:ascii="Times New Roman" w:hAnsi="Times New Roman" w:eastAsia="宋体"/>
          <w:b/>
          <w:sz w:val="22"/>
        </w:rPr>
        <w:t>Preprocessing for segmentation.</w:t>
      </w:r>
      <w:r>
        <w:rPr>
          <w:rFonts w:ascii="Times New Roman" w:hAnsi="Times New Roman" w:eastAsia="宋体"/>
          <w:sz w:val="22"/>
        </w:rPr>
        <w:t xml:space="preserve"> Each image was cropped to the mass bounding box plus a 64 px (or 0.5× the larger box dimension, whichever greater) margin and bilinearly resized to 256×256; masks were resampled with nearest-neighbor.</w:t>
      </w:r>
    </w:p>
    <w:p w14:paraId="7890A2E0">
      <w:pPr>
        <w:spacing w:after="60" w:line="360" w:lineRule="auto"/>
        <w:ind w:firstLine="420"/>
      </w:pPr>
      <w:r>
        <w:rPr>
          <w:rFonts w:ascii="Times New Roman" w:hAnsi="Times New Roman" w:eastAsia="宋体"/>
          <w:b/>
          <w:sz w:val="22"/>
        </w:rPr>
        <w:t>Architecture and training.</w:t>
      </w:r>
      <w:r>
        <w:rPr>
          <w:rFonts w:ascii="Times New Roman" w:hAnsi="Times New Roman" w:eastAsia="宋体"/>
          <w:sz w:val="22"/>
        </w:rPr>
        <w:t xml:space="preserve"> A 2D U-Net (four encoding/decoding levels, 32 base channels) with a combined Dice + binary cross-entropy loss was trained with the Adam optimizer (lr 1×10⁻³). We used 5-fold cross-validation on the 78-case pool and an additional center-stratified 62/16 hold-out split for final reporting.</w:t>
      </w:r>
    </w:p>
    <w:p w14:paraId="4A53C14D">
      <w:pPr>
        <w:spacing w:after="60" w:line="360" w:lineRule="auto"/>
        <w:ind w:firstLine="420"/>
      </w:pPr>
      <w:r>
        <w:rPr>
          <w:rFonts w:ascii="Times New Roman" w:hAnsi="Times New Roman" w:eastAsia="宋体"/>
          <w:b/>
          <w:sz w:val="22"/>
        </w:rPr>
        <w:t>Evaluation.</w:t>
      </w:r>
      <w:r>
        <w:rPr>
          <w:rFonts w:ascii="Times New Roman" w:hAnsi="Times New Roman" w:eastAsia="宋体"/>
          <w:sz w:val="22"/>
        </w:rPr>
        <w:t xml:space="preserve"> Accuracy was quantified by Dice similarity coefficient, intersection-over-union (IoU), and 95th-percentile Hausdorff distance (HD95). Cross-vendor generalizability was probed by applying the Center A+B model to the clean mass subset of Center C.</w:t>
      </w:r>
    </w:p>
    <w:p w14:paraId="7CB3E889">
      <w:pPr>
        <w:spacing w:before="240" w:after="120"/>
      </w:pPr>
      <w:r>
        <w:rPr>
          <w:rFonts w:ascii="Times New Roman" w:hAnsi="Times New Roman" w:eastAsia="黑体"/>
          <w:b/>
          <w:sz w:val="26"/>
        </w:rPr>
        <w:t>Supplementary Table S1. Tumor segmentation performance (direction B)</w:t>
      </w:r>
    </w:p>
    <w:tbl>
      <w:tblPr>
        <w:tblStyle w:val="49"/>
        <w:tblW w:w="0" w:type="auto"/>
        <w:jc w:val="center"/>
        <w:tbl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single" w:color="4F81BD" w:themeColor="accent1" w:sz="8" w:space="0"/>
          <w:insideV w:val="single" w:color="4F81BD" w:themeColor="accent1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1"/>
        <w:gridCol w:w="1881"/>
        <w:gridCol w:w="1881"/>
        <w:gridCol w:w="1881"/>
        <w:gridCol w:w="1881"/>
      </w:tblGrid>
      <w:tr w14:paraId="53B8C6C5">
        <w:trPr>
          <w:jc w:val="center"/>
        </w:trPr>
        <w:tc>
          <w:tcPr>
            <w:tcW w:w="1881" w:type="dxa"/>
          </w:tcPr>
          <w:p w14:paraId="1EED6A13">
            <w:pPr>
              <w:spacing w:after="0" w:line="240" w:lineRule="auto"/>
              <w:jc w:val="left"/>
            </w:pPr>
            <w:r>
              <w:rPr>
                <w:rFonts w:ascii="Times New Roman" w:hAnsi="Times New Roman" w:eastAsia="宋体"/>
                <w:b/>
                <w:sz w:val="20"/>
              </w:rPr>
              <w:t>Evaluation</w:t>
            </w:r>
          </w:p>
        </w:tc>
        <w:tc>
          <w:tcPr>
            <w:tcW w:w="1881" w:type="dxa"/>
          </w:tcPr>
          <w:p w14:paraId="766B4FB1">
            <w:pPr>
              <w:spacing w:after="0" w:line="240" w:lineRule="auto"/>
              <w:jc w:val="left"/>
            </w:pPr>
            <w:r>
              <w:rPr>
                <w:rFonts w:ascii="Times New Roman" w:hAnsi="Times New Roman" w:eastAsia="宋体"/>
                <w:b/>
                <w:sz w:val="20"/>
              </w:rPr>
              <w:t>n</w:t>
            </w:r>
          </w:p>
        </w:tc>
        <w:tc>
          <w:tcPr>
            <w:tcW w:w="1881" w:type="dxa"/>
          </w:tcPr>
          <w:p w14:paraId="2F50EC86">
            <w:pPr>
              <w:spacing w:after="0" w:line="240" w:lineRule="auto"/>
              <w:jc w:val="left"/>
            </w:pPr>
            <w:r>
              <w:rPr>
                <w:rFonts w:ascii="Times New Roman" w:hAnsi="Times New Roman" w:eastAsia="宋体"/>
                <w:b/>
                <w:sz w:val="20"/>
              </w:rPr>
              <w:t>Dice</w:t>
            </w:r>
          </w:p>
        </w:tc>
        <w:tc>
          <w:tcPr>
            <w:tcW w:w="1881" w:type="dxa"/>
          </w:tcPr>
          <w:p w14:paraId="79B88088">
            <w:pPr>
              <w:spacing w:after="0" w:line="240" w:lineRule="auto"/>
              <w:jc w:val="left"/>
            </w:pPr>
            <w:r>
              <w:rPr>
                <w:rFonts w:ascii="Times New Roman" w:hAnsi="Times New Roman" w:eastAsia="宋体"/>
                <w:b/>
                <w:sz w:val="20"/>
              </w:rPr>
              <w:t>IoU</w:t>
            </w:r>
          </w:p>
        </w:tc>
        <w:tc>
          <w:tcPr>
            <w:tcW w:w="1881" w:type="dxa"/>
          </w:tcPr>
          <w:p w14:paraId="127C9B83">
            <w:pPr>
              <w:spacing w:after="0" w:line="240" w:lineRule="auto"/>
              <w:jc w:val="left"/>
            </w:pPr>
            <w:r>
              <w:rPr>
                <w:rFonts w:ascii="Times New Roman" w:hAnsi="Times New Roman" w:eastAsia="宋体"/>
                <w:b/>
                <w:sz w:val="20"/>
              </w:rPr>
              <w:t>HD95 (px)</w:t>
            </w:r>
          </w:p>
        </w:tc>
      </w:tr>
      <w:tr w14:paraId="4B975D45">
        <w:trPr>
          <w:jc w:val="center"/>
        </w:trPr>
        <w:tc>
          <w:tcPr>
            <w:tcW w:w="1881" w:type="dxa"/>
          </w:tcPr>
          <w:p w14:paraId="55878D17">
            <w:pPr>
              <w:spacing w:after="0" w:line="240" w:lineRule="auto"/>
              <w:jc w:val="left"/>
            </w:pPr>
            <w:r>
              <w:rPr>
                <w:rFonts w:ascii="Times New Roman" w:hAnsi="Times New Roman" w:eastAsia="宋体"/>
                <w:sz w:val="20"/>
              </w:rPr>
              <w:t>5-fold CV (mean)</w:t>
            </w:r>
          </w:p>
        </w:tc>
        <w:tc>
          <w:tcPr>
            <w:tcW w:w="1881" w:type="dxa"/>
          </w:tcPr>
          <w:p w14:paraId="126CEB3E">
            <w:pPr>
              <w:spacing w:after="0" w:line="240" w:lineRule="auto"/>
              <w:jc w:val="left"/>
            </w:pPr>
            <w:r>
              <w:rPr>
                <w:rFonts w:ascii="Times New Roman" w:hAnsi="Times New Roman" w:eastAsia="宋体"/>
                <w:sz w:val="20"/>
              </w:rPr>
              <w:t>78</w:t>
            </w:r>
          </w:p>
        </w:tc>
        <w:tc>
          <w:tcPr>
            <w:tcW w:w="1881" w:type="dxa"/>
          </w:tcPr>
          <w:p w14:paraId="1FD1A721">
            <w:pPr>
              <w:spacing w:after="0" w:line="240" w:lineRule="auto"/>
              <w:jc w:val="left"/>
            </w:pPr>
            <w:r>
              <w:rPr>
                <w:rFonts w:ascii="Times New Roman" w:hAnsi="Times New Roman" w:eastAsia="宋体"/>
                <w:sz w:val="20"/>
              </w:rPr>
              <w:t>0.678</w:t>
            </w:r>
          </w:p>
        </w:tc>
        <w:tc>
          <w:tcPr>
            <w:tcW w:w="1881" w:type="dxa"/>
          </w:tcPr>
          <w:p w14:paraId="139E5DB1">
            <w:pPr>
              <w:spacing w:after="0" w:line="240" w:lineRule="auto"/>
              <w:jc w:val="left"/>
            </w:pPr>
            <w:r>
              <w:rPr>
                <w:rFonts w:ascii="Times New Roman" w:hAnsi="Times New Roman" w:eastAsia="宋体"/>
                <w:sz w:val="20"/>
              </w:rPr>
              <w:t>0.557</w:t>
            </w:r>
          </w:p>
        </w:tc>
        <w:tc>
          <w:tcPr>
            <w:tcW w:w="1881" w:type="dxa"/>
          </w:tcPr>
          <w:p w14:paraId="27B3FCBF">
            <w:pPr>
              <w:spacing w:after="0" w:line="240" w:lineRule="auto"/>
              <w:jc w:val="left"/>
            </w:pPr>
            <w:r>
              <w:rPr>
                <w:rFonts w:ascii="Times New Roman" w:hAnsi="Times New Roman" w:eastAsia="宋体"/>
                <w:sz w:val="20"/>
              </w:rPr>
              <w:t>25.6</w:t>
            </w:r>
          </w:p>
        </w:tc>
      </w:tr>
      <w:tr w14:paraId="1F852F5F">
        <w:trPr>
          <w:jc w:val="center"/>
        </w:trPr>
        <w:tc>
          <w:tcPr>
            <w:tcW w:w="1881" w:type="dxa"/>
          </w:tcPr>
          <w:p w14:paraId="6A31F869">
            <w:pPr>
              <w:spacing w:after="0" w:line="240" w:lineRule="auto"/>
              <w:jc w:val="left"/>
            </w:pPr>
            <w:r>
              <w:rPr>
                <w:rFonts w:ascii="Times New Roman" w:hAnsi="Times New Roman" w:eastAsia="宋体"/>
                <w:sz w:val="20"/>
              </w:rPr>
              <w:t>Hold-out (primary report)</w:t>
            </w:r>
          </w:p>
        </w:tc>
        <w:tc>
          <w:tcPr>
            <w:tcW w:w="1881" w:type="dxa"/>
          </w:tcPr>
          <w:p w14:paraId="08B793D4">
            <w:pPr>
              <w:spacing w:after="0" w:line="240" w:lineRule="auto"/>
              <w:jc w:val="left"/>
            </w:pPr>
            <w:r>
              <w:rPr>
                <w:rFonts w:ascii="Times New Roman" w:hAnsi="Times New Roman" w:eastAsia="宋体"/>
                <w:sz w:val="20"/>
              </w:rPr>
              <w:t>16</w:t>
            </w:r>
          </w:p>
        </w:tc>
        <w:tc>
          <w:tcPr>
            <w:tcW w:w="1881" w:type="dxa"/>
          </w:tcPr>
          <w:p w14:paraId="05877ABC">
            <w:pPr>
              <w:spacing w:after="0" w:line="240" w:lineRule="auto"/>
              <w:jc w:val="left"/>
            </w:pPr>
            <w:r>
              <w:rPr>
                <w:rFonts w:ascii="Times New Roman" w:hAnsi="Times New Roman" w:eastAsia="宋体"/>
                <w:sz w:val="20"/>
              </w:rPr>
              <w:t>0.704</w:t>
            </w:r>
          </w:p>
        </w:tc>
        <w:tc>
          <w:tcPr>
            <w:tcW w:w="1881" w:type="dxa"/>
          </w:tcPr>
          <w:p w14:paraId="42083218">
            <w:pPr>
              <w:spacing w:after="0" w:line="240" w:lineRule="auto"/>
              <w:jc w:val="left"/>
            </w:pPr>
            <w:r>
              <w:rPr>
                <w:rFonts w:ascii="Times New Roman" w:hAnsi="Times New Roman" w:eastAsia="宋体"/>
                <w:sz w:val="20"/>
              </w:rPr>
              <w:t>0.591</w:t>
            </w:r>
          </w:p>
        </w:tc>
        <w:tc>
          <w:tcPr>
            <w:tcW w:w="1881" w:type="dxa"/>
          </w:tcPr>
          <w:p w14:paraId="6CF6C1D9">
            <w:pPr>
              <w:spacing w:after="0" w:line="240" w:lineRule="auto"/>
              <w:jc w:val="left"/>
            </w:pPr>
            <w:r>
              <w:rPr>
                <w:rFonts w:ascii="Times New Roman" w:hAnsi="Times New Roman" w:eastAsia="宋体"/>
                <w:sz w:val="20"/>
              </w:rPr>
              <w:t>20.4</w:t>
            </w:r>
          </w:p>
        </w:tc>
      </w:tr>
      <w:tr w14:paraId="303D8807">
        <w:trPr>
          <w:jc w:val="center"/>
        </w:trPr>
        <w:tc>
          <w:tcPr>
            <w:tcW w:w="1881" w:type="dxa"/>
          </w:tcPr>
          <w:p w14:paraId="281741CC">
            <w:pPr>
              <w:spacing w:after="0" w:line="240" w:lineRule="auto"/>
              <w:jc w:val="left"/>
            </w:pPr>
            <w:r>
              <w:rPr>
                <w:rFonts w:ascii="Times New Roman" w:hAnsi="Times New Roman" w:eastAsia="宋体"/>
                <w:sz w:val="20"/>
              </w:rPr>
              <w:t>Cross-vendor probe (GE)</w:t>
            </w:r>
          </w:p>
        </w:tc>
        <w:tc>
          <w:tcPr>
            <w:tcW w:w="1881" w:type="dxa"/>
          </w:tcPr>
          <w:p w14:paraId="4550D758">
            <w:pPr>
              <w:spacing w:after="0" w:line="240" w:lineRule="auto"/>
              <w:jc w:val="left"/>
            </w:pPr>
            <w:r>
              <w:rPr>
                <w:rFonts w:ascii="Times New Roman" w:hAnsi="Times New Roman" w:eastAsia="宋体"/>
                <w:sz w:val="20"/>
              </w:rPr>
              <w:t>1</w:t>
            </w:r>
          </w:p>
        </w:tc>
        <w:tc>
          <w:tcPr>
            <w:tcW w:w="1881" w:type="dxa"/>
          </w:tcPr>
          <w:p w14:paraId="19648813">
            <w:pPr>
              <w:spacing w:after="0" w:line="240" w:lineRule="auto"/>
              <w:jc w:val="left"/>
            </w:pPr>
            <w:r>
              <w:rPr>
                <w:rFonts w:ascii="Times New Roman" w:hAnsi="Times New Roman" w:eastAsia="宋体"/>
                <w:sz w:val="20"/>
              </w:rPr>
              <w:t>0.649</w:t>
            </w:r>
          </w:p>
        </w:tc>
        <w:tc>
          <w:tcPr>
            <w:tcW w:w="1881" w:type="dxa"/>
          </w:tcPr>
          <w:p w14:paraId="4BB25F89">
            <w:pPr>
              <w:spacing w:after="0" w:line="240" w:lineRule="auto"/>
              <w:jc w:val="left"/>
            </w:pPr>
            <w:r>
              <w:rPr>
                <w:rFonts w:ascii="Times New Roman" w:hAnsi="Times New Roman" w:eastAsia="宋体"/>
                <w:sz w:val="20"/>
              </w:rPr>
              <w:t>0.480</w:t>
            </w:r>
          </w:p>
        </w:tc>
        <w:tc>
          <w:tcPr>
            <w:tcW w:w="1881" w:type="dxa"/>
          </w:tcPr>
          <w:p w14:paraId="1924C4D4">
            <w:pPr>
              <w:spacing w:after="0" w:line="240" w:lineRule="auto"/>
              <w:jc w:val="left"/>
            </w:pPr>
            <w:r>
              <w:rPr>
                <w:rFonts w:ascii="Times New Roman" w:hAnsi="Times New Roman" w:eastAsia="宋体"/>
                <w:sz w:val="20"/>
              </w:rPr>
              <w:t>23.4</w:t>
            </w:r>
          </w:p>
        </w:tc>
      </w:tr>
    </w:tbl>
    <w:p w14:paraId="03120FAF">
      <w:pPr>
        <w:spacing w:after="60" w:line="360" w:lineRule="auto"/>
        <w:ind w:firstLine="420"/>
      </w:pPr>
      <w:r>
        <w:rPr>
          <w:rFonts w:ascii="Times New Roman" w:hAnsi="Times New Roman" w:eastAsia="宋体"/>
          <w:i/>
          <w:sz w:val="22"/>
        </w:rPr>
        <w:t>Notes:</w:t>
      </w:r>
      <w:r>
        <w:rPr>
          <w:rFonts w:ascii="Times New Roman" w:hAnsi="Times New Roman" w:eastAsia="宋体"/>
          <w:sz w:val="22"/>
        </w:rPr>
        <w:t xml:space="preserve"> 5-fold CV Dice ranged 0.54-0.77 (mean 0.678, SD 0.094) in the 256×256 resampled space. The cross-vendor probe reflects a single clean-mass GE case (n=1). These metrics establish a working automated mass-delineation module and, together with direction D, indicate that both radiomics features and pixel-level segmentation are vendor-sensitive yet partially transferable once vendor-inconsistent annotations are removed.</w:t>
      </w:r>
    </w:p>
    <w:sectPr>
      <w:pgSz w:w="12240" w:h="15840"/>
      <w:pgMar w:top="1417" w:right="1417" w:bottom="1417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700000000000000"/>
    <w:charset w:val="80"/>
    <w:family w:val="auto"/>
    <w:pitch w:val="default"/>
    <w:sig w:usb0="800002CF" w:usb1="6AC7FCFC" w:usb2="00000012" w:usb3="00000000" w:csb0="0002000D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EF68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Office_12.1.28492.28492_F1E327BC-269C-435d-A152-05C5408002CA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李运江</cp:lastModifiedBy>
  <dcterms:modified xsi:type="dcterms:W3CDTF">2026-09-12T23:18:24Z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2052-12.1.28492.28492</vt:lpwstr>
  </property>
  <property fmtid="{D5CDD505-2E9C-101B-9397-08002B2CF9AE}" pid="3" name="ICV">
    <vt:lpwstr>093A752D2C2C024D406DA56A2AF64641_42</vt:lpwstr>
  </property>
</Properties>
</file>