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71AED">
      <w:pPr>
        <w:rPr>
          <w:rFonts w:ascii="Arial" w:hAnsi="Arial" w:cs="Arial"/>
        </w:rPr>
      </w:pPr>
    </w:p>
    <w:p w14:paraId="4A1C4CDC">
      <w:pPr>
        <w:rPr>
          <w:rFonts w:ascii="Arial" w:hAnsi="Arial" w:cs="Arial"/>
        </w:rPr>
      </w:pPr>
      <w:r>
        <w:rPr>
          <w:rFonts w:ascii="Arial" w:hAnsi="Arial" w:cs="Arial"/>
        </w:rPr>
        <w:drawing>
          <wp:inline distT="0" distB="0" distL="0" distR="0">
            <wp:extent cx="5274310" cy="5711825"/>
            <wp:effectExtent l="0" t="0" r="2540" b="3175"/>
            <wp:docPr id="2" name="图片 1"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Figure2"/>
                    <pic:cNvPicPr>
                      <a:picLocks noChangeAspect="1"/>
                    </pic:cNvPicPr>
                  </pic:nvPicPr>
                  <pic:blipFill>
                    <a:blip r:embed="rId4"/>
                    <a:stretch>
                      <a:fillRect/>
                    </a:stretch>
                  </pic:blipFill>
                  <pic:spPr>
                    <a:xfrm>
                      <a:off x="0" y="0"/>
                      <a:ext cx="5274310" cy="5711825"/>
                    </a:xfrm>
                    <a:prstGeom prst="rect">
                      <a:avLst/>
                    </a:prstGeom>
                  </pic:spPr>
                </pic:pic>
              </a:graphicData>
            </a:graphic>
          </wp:inline>
        </w:drawing>
      </w:r>
    </w:p>
    <w:p w14:paraId="680CED5E">
      <w:pPr>
        <w:rPr>
          <w:rFonts w:ascii="Arial" w:hAnsi="Arial" w:cs="Arial"/>
          <w:b/>
          <w:bCs/>
        </w:rPr>
      </w:pPr>
      <w:r>
        <w:rPr>
          <w:rFonts w:ascii="Arial" w:hAnsi="Arial" w:cs="Arial"/>
          <w:b/>
          <w:bCs/>
        </w:rPr>
        <w:t xml:space="preserve">Figure </w:t>
      </w:r>
      <w:r>
        <w:rPr>
          <w:rFonts w:hint="eastAsia" w:ascii="Arial" w:hAnsi="Arial" w:cs="Arial"/>
          <w:b/>
          <w:bCs/>
          <w:lang w:val="en-US" w:eastAsia="zh-CN"/>
        </w:rPr>
        <w:t>S1</w:t>
      </w:r>
      <w:r>
        <w:rPr>
          <w:rFonts w:ascii="Arial" w:hAnsi="Arial" w:cs="Arial"/>
          <w:b/>
          <w:bCs/>
        </w:rPr>
        <w:t>.</w:t>
      </w:r>
      <w:r>
        <w:rPr>
          <w:rFonts w:hint="eastAsia" w:ascii="Arial" w:hAnsi="Arial" w:cs="Arial"/>
          <w:b/>
          <w:bCs/>
        </w:rPr>
        <w:t xml:space="preserve"> </w:t>
      </w:r>
      <w:r>
        <w:rPr>
          <w:rFonts w:ascii="Arial" w:hAnsi="Arial" w:cs="Arial"/>
          <w:b/>
          <w:bCs/>
        </w:rPr>
        <w:t>GOBP Enrichment of Different Gene Modules</w:t>
      </w:r>
    </w:p>
    <w:p w14:paraId="346C5078">
      <w:pPr>
        <w:rPr>
          <w:rFonts w:ascii="Arial" w:hAnsi="Arial" w:cs="Arial"/>
        </w:rPr>
      </w:pPr>
      <w:r>
        <w:rPr>
          <w:rFonts w:ascii="Arial" w:hAnsi="Arial" w:cs="Arial"/>
        </w:rPr>
        <w:t>The bar chart displays the results of Gene Ontology Biological Progress enrichment analysis conducted using nine different list of genes that constitute the MP1 to MP9. The 18 genes that constitute MP4 are enriched in biological processes associated with immune responses.</w:t>
      </w:r>
    </w:p>
    <w:p w14:paraId="71F59804">
      <w:pPr>
        <w:rPr>
          <w:rFonts w:ascii="Arial" w:hAnsi="Arial" w:cs="Arial"/>
        </w:rPr>
      </w:pPr>
    </w:p>
    <w:p w14:paraId="73D1521A"/>
    <w:p w14:paraId="36A0BBB7"/>
    <w:p w14:paraId="3101B8A4"/>
    <w:p w14:paraId="7B553002"/>
    <w:p w14:paraId="05EFECCE"/>
    <w:p w14:paraId="2D37B51C"/>
    <w:p w14:paraId="6F96FE9C"/>
    <w:p w14:paraId="517FA9EB"/>
    <w:p w14:paraId="059BA77E"/>
    <w:p w14:paraId="043F650E">
      <w:pPr>
        <w:rPr>
          <w:rFonts w:ascii="Arial" w:hAnsi="Arial" w:cs="Arial"/>
        </w:rPr>
      </w:pPr>
    </w:p>
    <w:p w14:paraId="1E33653B">
      <w:pPr>
        <w:rPr>
          <w:rFonts w:ascii="Arial" w:hAnsi="Arial" w:cs="Arial"/>
        </w:rPr>
      </w:pPr>
      <w:r>
        <w:drawing>
          <wp:inline distT="0" distB="0" distL="0" distR="0">
            <wp:extent cx="5274310" cy="6743065"/>
            <wp:effectExtent l="0" t="0" r="2540" b="635"/>
            <wp:docPr id="13129918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991818"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6743065"/>
                    </a:xfrm>
                    <a:prstGeom prst="rect">
                      <a:avLst/>
                    </a:prstGeom>
                    <a:noFill/>
                    <a:ln>
                      <a:noFill/>
                    </a:ln>
                  </pic:spPr>
                </pic:pic>
              </a:graphicData>
            </a:graphic>
          </wp:inline>
        </w:drawing>
      </w:r>
    </w:p>
    <w:p w14:paraId="2CA398E4">
      <w:pPr>
        <w:rPr>
          <w:rFonts w:hint="eastAsia" w:ascii="Arial" w:hAnsi="Arial" w:cs="Arial"/>
          <w:b/>
          <w:bCs/>
        </w:rPr>
      </w:pPr>
      <w:r>
        <w:rPr>
          <w:rFonts w:hint="eastAsia" w:ascii="Arial" w:hAnsi="Arial" w:cs="Arial"/>
          <w:b/>
          <w:bCs/>
        </w:rPr>
        <w:t xml:space="preserve">Figure </w:t>
      </w:r>
      <w:r>
        <w:rPr>
          <w:rFonts w:hint="eastAsia" w:ascii="Arial" w:hAnsi="Arial" w:cs="Arial"/>
          <w:b/>
          <w:bCs/>
          <w:lang w:val="en-US" w:eastAsia="zh-CN"/>
        </w:rPr>
        <w:t>S2</w:t>
      </w:r>
      <w:r>
        <w:rPr>
          <w:rFonts w:hint="eastAsia" w:ascii="Arial" w:hAnsi="Arial" w:cs="Arial"/>
          <w:b/>
          <w:bCs/>
        </w:rPr>
        <w:t>. Correlations in the spatial distribution of diverse cell types within the TME of ER tumors.</w:t>
      </w:r>
    </w:p>
    <w:p w14:paraId="3B5BDA99">
      <w:pPr>
        <w:rPr>
          <w:rFonts w:ascii="Arial" w:hAnsi="Arial" w:cs="Arial"/>
        </w:rPr>
      </w:pPr>
      <w:r>
        <w:rPr>
          <w:rFonts w:ascii="Arial" w:hAnsi="Arial" w:cs="Arial"/>
        </w:rPr>
        <w:t xml:space="preserve">Heatmap showing Pearson’s correlation coefficients among cell type proportion in each spatial spot within </w:t>
      </w:r>
      <w:r>
        <w:rPr>
          <w:rFonts w:hint="eastAsia" w:ascii="Arial" w:hAnsi="Arial" w:cs="Arial"/>
        </w:rPr>
        <w:t xml:space="preserve">pre-treatment tumor of ER patients. </w:t>
      </w:r>
      <w:r>
        <w:rPr>
          <w:rFonts w:ascii="Arial" w:hAnsi="Arial" w:cs="Arial"/>
        </w:rPr>
        <w:t>Black boxes indicate cell types with positive spatial correlation to MP4-high-CAF.</w:t>
      </w:r>
    </w:p>
    <w:p w14:paraId="10114280">
      <w:pPr>
        <w:rPr>
          <w:rFonts w:ascii="Arial" w:hAnsi="Arial" w:cs="Arial"/>
        </w:rPr>
      </w:pPr>
    </w:p>
    <w:p w14:paraId="4A42F9B1">
      <w:pPr>
        <w:rPr>
          <w:rFonts w:ascii="Arial" w:hAnsi="Arial" w:cs="Arial"/>
        </w:rPr>
      </w:pPr>
      <w:r>
        <w:drawing>
          <wp:inline distT="0" distB="0" distL="0" distR="0">
            <wp:extent cx="5274310" cy="6483985"/>
            <wp:effectExtent l="0" t="0" r="2540" b="2540"/>
            <wp:docPr id="16773974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97477"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6483985"/>
                    </a:xfrm>
                    <a:prstGeom prst="rect">
                      <a:avLst/>
                    </a:prstGeom>
                    <a:noFill/>
                    <a:ln>
                      <a:noFill/>
                    </a:ln>
                  </pic:spPr>
                </pic:pic>
              </a:graphicData>
            </a:graphic>
          </wp:inline>
        </w:drawing>
      </w:r>
    </w:p>
    <w:p w14:paraId="28B3EF75">
      <w:pPr>
        <w:rPr>
          <w:rFonts w:hint="eastAsia" w:ascii="Arial" w:hAnsi="Arial" w:cs="Arial"/>
          <w:b/>
          <w:bCs/>
        </w:rPr>
      </w:pPr>
      <w:r>
        <w:rPr>
          <w:rFonts w:hint="eastAsia" w:ascii="Arial" w:hAnsi="Arial" w:cs="Arial"/>
          <w:b/>
          <w:bCs/>
        </w:rPr>
        <w:t xml:space="preserve">Figure </w:t>
      </w:r>
      <w:r>
        <w:rPr>
          <w:rFonts w:hint="eastAsia" w:ascii="Arial" w:hAnsi="Arial" w:cs="Arial"/>
          <w:b/>
          <w:bCs/>
          <w:lang w:val="en-US" w:eastAsia="zh-CN"/>
        </w:rPr>
        <w:t>S3</w:t>
      </w:r>
      <w:r>
        <w:rPr>
          <w:rFonts w:hint="eastAsia" w:ascii="Arial" w:hAnsi="Arial" w:cs="Arial"/>
          <w:b/>
          <w:bCs/>
        </w:rPr>
        <w:t>. Correlations in the spatial distribution of diverse cell types within the TME of PR tumors.</w:t>
      </w:r>
    </w:p>
    <w:p w14:paraId="19F62649">
      <w:pPr>
        <w:rPr>
          <w:rFonts w:ascii="Arial" w:hAnsi="Arial" w:cs="Arial"/>
        </w:rPr>
      </w:pPr>
      <w:r>
        <w:rPr>
          <w:rFonts w:ascii="Arial" w:hAnsi="Arial" w:cs="Arial"/>
        </w:rPr>
        <w:t xml:space="preserve">Heatmap showing Pearson’s correlation coefficients among cell type proportion in each spatial spot within </w:t>
      </w:r>
      <w:r>
        <w:rPr>
          <w:rFonts w:hint="eastAsia" w:ascii="Arial" w:hAnsi="Arial" w:cs="Arial"/>
        </w:rPr>
        <w:t xml:space="preserve">pre-treatment tumor of PR patients. </w:t>
      </w:r>
    </w:p>
    <w:p w14:paraId="6CB1C119">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DD4882"/>
    <w:rsid w:val="03DD4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2026-09-12T07:43:00Z</dcterms:created>
  <dc:creator>SYX</dc:creator>
  <cp:lastModifiedBy>SYX</cp:lastModifiedBy>
  <dcterms:modified xsi:type="dcterms:W3CDTF">2026-09-12T07:49:31Z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3A338BAEBD1A43609A28B8FBCDFEFF5D_11</vt:lpwstr>
  </property>
  <property fmtid="{D5CDD505-2E9C-101B-9397-08002B2CF9AE}" pid="4" name="KSOTemplateDocerSaveRecord">
    <vt:lpwstr>eyJoZGlkIjoiNWVkYzBmNDZmN2U1OGU1ZWFjMzdhMDE5ZGU5ZThiYjUiLCJ1c2VySWQiOiIxMDgxODc5MTQ4In0=</vt:lpwstr>
  </property>
</Properties>
</file>