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6B1B4">
      <w:pPr>
        <w:rPr>
          <w:rFonts w:hint="default" w:ascii="Times New Roman" w:hAnsi="Times New Roman" w:cs="Times New Roman"/>
          <w:b/>
          <w:bCs/>
        </w:rPr>
      </w:pPr>
      <w:r>
        <w:rPr>
          <w:rFonts w:hint="default" w:ascii="Times New Roman" w:hAnsi="Times New Roman" w:cs="Times New Roman"/>
          <w:b/>
          <w:bCs/>
        </w:rPr>
        <w:t xml:space="preserve">Supplementary Figure S1 </w:t>
      </w:r>
      <w:r>
        <w:rPr>
          <w:rFonts w:hint="default" w:ascii="Times New Roman" w:hAnsi="Times New Roman" w:cs="Times New Roman"/>
          <w:b/>
          <w:bCs/>
        </w:rPr>
        <w:t>Kaplan-Meier curves for the two non-significant external cohorts.</w:t>
      </w:r>
    </w:p>
    <w:p w14:paraId="2DAD92D0">
      <w:pPr>
        <w:rPr>
          <w:rFonts w:hint="default" w:ascii="Times New Roman" w:hAnsi="Times New Roman" w:cs="Times New Roman"/>
        </w:rPr>
      </w:pPr>
      <w:r>
        <w:rPr>
          <w:rFonts w:hint="default" w:ascii="Times New Roman" w:hAnsi="Times New Roman" w:cs="Times New Roman"/>
        </w:rPr>
        <w:t xml:space="preserve">Overall survival by pre-specified per-cohort median DSscore split. </w:t>
      </w:r>
      <w:r>
        <w:rPr>
          <w:rFonts w:hint="default" w:ascii="Times New Roman" w:hAnsi="Times New Roman" w:cs="Times New Roman"/>
          <w:b/>
          <w:bCs/>
        </w:rPr>
        <w:t>A</w:t>
      </w:r>
      <w:r>
        <w:rPr>
          <w:rFonts w:hint="default" w:ascii="Times New Roman" w:hAnsi="Times New Roman" w:cs="Times New Roman"/>
        </w:rPr>
        <w:t xml:space="preserve"> GSE4271 (n=77; log-rank P=0.18; Cox HR=1.41, 95% CI 0.85-2.34). </w:t>
      </w:r>
      <w:r>
        <w:rPr>
          <w:rFonts w:hint="default" w:ascii="Times New Roman" w:hAnsi="Times New Roman" w:cs="Times New Roman"/>
          <w:b/>
          <w:bCs/>
        </w:rPr>
        <w:t>B</w:t>
      </w:r>
      <w:r>
        <w:rPr>
          <w:rFonts w:hint="default" w:ascii="Times New Roman" w:hAnsi="Times New Roman" w:cs="Times New Roman"/>
        </w:rPr>
        <w:t xml:space="preserve"> GSE7696 (n=80; log-rank P=0.75; Cox HR=1.08, 95% CI 0.66-1.77). Number-at-risk tables are shown beneath each curve. Both cohorts are small and underpowered; their hazard ratios are also plotted in Figure 1C. P values are from the log-rank test. DSscore, disulfidptosis gene-set score; HR, hazard ratio; CI, confidence interval</w:t>
      </w:r>
    </w:p>
    <w:p w14:paraId="6A054ADD">
      <w:pPr>
        <w:rPr>
          <w:rFonts w:hint="default" w:ascii="Times New Roman" w:hAnsi="Times New Roman" w:cs="Times New Roman"/>
        </w:rPr>
      </w:pPr>
    </w:p>
    <w:p w14:paraId="2A3C7C2C">
      <w:pPr>
        <w:rPr>
          <w:rFonts w:hint="default" w:ascii="Times New Roman" w:hAnsi="Times New Roman" w:cs="Times New Roman"/>
          <w:b/>
          <w:bCs/>
        </w:rPr>
      </w:pPr>
      <w:r>
        <w:rPr>
          <w:rFonts w:hint="default" w:ascii="Times New Roman" w:hAnsi="Times New Roman" w:cs="Times New Roman"/>
          <w:b/>
          <w:bCs/>
        </w:rPr>
        <w:t>Supplementary Figure S2. Gene-selection sensitivity of the prognostic signal in CGGA.</w:t>
      </w:r>
    </w:p>
    <w:p w14:paraId="103824C4">
      <w:pPr>
        <w:rPr>
          <w:rFonts w:hint="default" w:ascii="Times New Roman" w:hAnsi="Times New Roman" w:cs="Times New Roman"/>
        </w:rPr>
      </w:pPr>
      <w:r>
        <w:rPr>
          <w:rFonts w:hint="default" w:ascii="Times New Roman" w:hAnsi="Times New Roman" w:cs="Times New Roman"/>
          <w:b/>
          <w:bCs/>
        </w:rPr>
        <w:t>A</w:t>
      </w:r>
      <w:r>
        <w:rPr>
          <w:rFonts w:hint="default" w:ascii="Times New Roman" w:hAnsi="Times New Roman" w:cs="Times New Roman"/>
        </w:rPr>
        <w:t xml:space="preserve"> Univariate Cox hazard ratios (median split, n=657) for four parallel scores: the unselected 38-gene pool (HR 3.22, 95% CI 2.61-3.97), the actin-cytoskeleton module (HR 3.73, 3.01-4.62), the non-actin module (HR 3.78, 3.05-4.69) and the non-actin module excluding ARC (HR 3.20, 2.59-3.95); all P&lt;0.001. </w:t>
      </w:r>
      <w:r>
        <w:rPr>
          <w:rFonts w:hint="default" w:ascii="Times New Roman" w:hAnsi="Times New Roman" w:cs="Times New Roman"/>
          <w:b/>
          <w:bCs/>
        </w:rPr>
        <w:t>B</w:t>
      </w:r>
      <w:r>
        <w:rPr>
          <w:rFonts w:hint="default" w:ascii="Times New Roman" w:hAnsi="Times New Roman" w:cs="Times New Roman"/>
        </w:rPr>
        <w:t xml:space="preserve"> Spearman correlation of each parallel score with the locked DSscore (rho 0.92-0.97; all P&lt;0.001), showing that the four scores are highly concordant with DSscore. This figure supports the conclusion that the survival association is not an artefact of the Cox-selection step. HR, hazard ratio; CI, confidence interval</w:t>
      </w:r>
    </w:p>
    <w:p w14:paraId="088CA82B">
      <w:pPr>
        <w:rPr>
          <w:rFonts w:hint="default" w:ascii="Times New Roman" w:hAnsi="Times New Roman" w:cs="Times New Roman"/>
        </w:rPr>
      </w:pPr>
    </w:p>
    <w:p w14:paraId="39CA5851">
      <w:pPr>
        <w:rPr>
          <w:rFonts w:hint="default" w:ascii="Times New Roman" w:hAnsi="Times New Roman" w:cs="Times New Roman"/>
          <w:b/>
          <w:bCs/>
        </w:rPr>
      </w:pPr>
      <w:r>
        <w:rPr>
          <w:rFonts w:hint="default" w:ascii="Times New Roman" w:hAnsi="Times New Roman" w:cs="Times New Roman"/>
          <w:b/>
          <w:bCs/>
        </w:rPr>
        <w:t>Supplementary Figure S3. Additional molecular-class comparisons in CGGA.</w:t>
      </w:r>
    </w:p>
    <w:p w14:paraId="75FD8682">
      <w:pPr>
        <w:rPr>
          <w:rFonts w:hint="default" w:ascii="Times New Roman" w:hAnsi="Times New Roman" w:cs="Times New Roman"/>
        </w:rPr>
      </w:pPr>
      <w:r>
        <w:rPr>
          <w:rFonts w:hint="default" w:ascii="Times New Roman" w:hAnsi="Times New Roman" w:cs="Times New Roman"/>
          <w:b/>
          <w:bCs/>
        </w:rPr>
        <w:t>A</w:t>
      </w:r>
      <w:r>
        <w:rPr>
          <w:rFonts w:hint="default" w:ascii="Times New Roman" w:hAnsi="Times New Roman" w:cs="Times New Roman"/>
        </w:rPr>
        <w:t xml:space="preserve"> DSscore by WHO grade (WHO II, III, IV; Kruskal-Wallis P&lt;0.001). </w:t>
      </w:r>
      <w:r>
        <w:rPr>
          <w:rFonts w:hint="default" w:ascii="Times New Roman" w:hAnsi="Times New Roman" w:cs="Times New Roman"/>
          <w:b/>
          <w:bCs/>
        </w:rPr>
        <w:t>B</w:t>
      </w:r>
      <w:r>
        <w:rPr>
          <w:rFonts w:hint="default" w:ascii="Times New Roman" w:hAnsi="Times New Roman" w:cs="Times New Roman"/>
        </w:rPr>
        <w:t xml:space="preserve"> DSscore by 1p19q codeletion status (non-codeled versus codeled; Mann-Whitney P&lt;0.001). </w:t>
      </w:r>
      <w:r>
        <w:rPr>
          <w:rFonts w:hint="default" w:ascii="Times New Roman" w:hAnsi="Times New Roman" w:cs="Times New Roman"/>
          <w:b/>
          <w:bCs/>
        </w:rPr>
        <w:t>C</w:t>
      </w:r>
      <w:r>
        <w:rPr>
          <w:rFonts w:hint="default" w:ascii="Times New Roman" w:hAnsi="Times New Roman" w:cs="Times New Roman"/>
        </w:rPr>
        <w:t xml:space="preserve"> DSscore by MGMT promoter methylation status (unmethylated versus methylated; Mann-Whitney P=0.064, not significant). </w:t>
      </w:r>
      <w:r>
        <w:rPr>
          <w:rFonts w:hint="default" w:ascii="Times New Roman" w:hAnsi="Times New Roman" w:cs="Times New Roman"/>
          <w:b/>
          <w:bCs/>
        </w:rPr>
        <w:t>D</w:t>
      </w:r>
      <w:r>
        <w:rPr>
          <w:rFonts w:hint="eastAsia" w:ascii="Times New Roman" w:hAnsi="Times New Roman" w:cs="Times New Roman"/>
          <w:b/>
          <w:bCs/>
          <w:lang w:val="en-US" w:eastAsia="zh-CN"/>
        </w:rPr>
        <w:t xml:space="preserve"> </w:t>
      </w:r>
      <w:r>
        <w:rPr>
          <w:rFonts w:hint="default" w:ascii="Times New Roman" w:hAnsi="Times New Roman" w:cs="Times New Roman"/>
        </w:rPr>
        <w:t>DSscore by primary versus recurrent status (Mann-Whitney P&lt;0.001). Box-and-whisker plots show the median, interquartile range and 1.5xIQR. DSscore, disulfidptosis gene-set score</w:t>
      </w:r>
    </w:p>
    <w:p w14:paraId="71B3F9F0">
      <w:pPr>
        <w:rPr>
          <w:rFonts w:hint="default" w:ascii="Times New Roman" w:hAnsi="Times New Roman" w:cs="Times New Roman"/>
        </w:rPr>
      </w:pPr>
    </w:p>
    <w:p w14:paraId="454A180B">
      <w:pPr>
        <w:rPr>
          <w:rFonts w:hint="default" w:ascii="Times New Roman" w:hAnsi="Times New Roman" w:cs="Times New Roman"/>
        </w:rPr>
      </w:pPr>
      <w:r>
        <w:rPr>
          <w:rFonts w:hint="default" w:ascii="Times New Roman" w:hAnsi="Times New Roman" w:cs="Times New Roman"/>
          <w:b/>
          <w:bCs/>
        </w:rPr>
        <w:t>Supplementary Figure S4. Immune-association detail.</w:t>
      </w:r>
    </w:p>
    <w:p w14:paraId="161B055D">
      <w:pPr>
        <w:rPr>
          <w:rFonts w:hint="default" w:ascii="Times New Roman" w:hAnsi="Times New Roman" w:cs="Times New Roman"/>
        </w:rPr>
      </w:pPr>
      <w:r>
        <w:rPr>
          <w:rFonts w:hint="default" w:ascii="Times New Roman" w:hAnsi="Times New Roman" w:cs="Times New Roman"/>
          <w:b/>
          <w:bCs/>
        </w:rPr>
        <w:t>A</w:t>
      </w:r>
      <w:r>
        <w:rPr>
          <w:rFonts w:hint="default" w:ascii="Times New Roman" w:hAnsi="Times New Roman" w:cs="Times New Roman"/>
        </w:rPr>
        <w:t xml:space="preserve"> MCPcounter immune and stromal abundances versus DSscore for nine cell populations (Spearman rho annotated per cell type; all positive). </w:t>
      </w:r>
      <w:r>
        <w:rPr>
          <w:rFonts w:hint="default" w:ascii="Times New Roman" w:hAnsi="Times New Roman" w:cs="Times New Roman"/>
          <w:b/>
          <w:bCs/>
        </w:rPr>
        <w:t>B</w:t>
      </w:r>
      <w:r>
        <w:rPr>
          <w:rFonts w:hint="default" w:ascii="Times New Roman" w:hAnsi="Times New Roman" w:cs="Times New Roman"/>
        </w:rPr>
        <w:t xml:space="preserve"> Cytolytic activity (CYT, the geometric mean of GZMA and PRF1) by DSscore group (low versus high; Mann-Whitney P&lt;0.001).</w:t>
      </w:r>
      <w:r>
        <w:rPr>
          <w:rFonts w:hint="default" w:ascii="Times New Roman" w:hAnsi="Times New Roman" w:cs="Times New Roman"/>
          <w:b/>
          <w:bCs/>
        </w:rPr>
        <w:t xml:space="preserve"> C </w:t>
      </w:r>
      <w:r>
        <w:rPr>
          <w:rFonts w:hint="default" w:ascii="Times New Roman" w:hAnsi="Times New Roman" w:cs="Times New Roman"/>
        </w:rPr>
        <w:t>Weakly correlated immune-checkpoint genes (CD274, CTLA4, TIGIT and LAG3) versus DSscore, with Spearman rho and P values; LAG3 was not significant. Abundances are MCPcounter marker means per sample</w:t>
      </w:r>
    </w:p>
    <w:p w14:paraId="10D37376">
      <w:pPr>
        <w:rPr>
          <w:rFonts w:hint="default" w:ascii="Times New Roman" w:hAnsi="Times New Roman" w:cs="Times New Roman"/>
        </w:rPr>
      </w:pPr>
    </w:p>
    <w:p w14:paraId="14B12846">
      <w:pPr>
        <w:rPr>
          <w:rFonts w:hint="default" w:ascii="Times New Roman" w:hAnsi="Times New Roman" w:cs="Times New Roman"/>
          <w:b/>
          <w:bCs/>
        </w:rPr>
      </w:pPr>
      <w:r>
        <w:rPr>
          <w:rFonts w:hint="default" w:ascii="Times New Roman" w:hAnsi="Times New Roman" w:cs="Times New Roman"/>
          <w:b/>
          <w:bCs/>
        </w:rPr>
        <w:t>Supplementary Figure S5. Single-cell and spatial support for the cell-type origin of DSscore.</w:t>
      </w:r>
    </w:p>
    <w:p w14:paraId="2209C844">
      <w:pPr>
        <w:rPr>
          <w:rFonts w:hint="default" w:ascii="Times New Roman" w:hAnsi="Times New Roman" w:cs="Times New Roman"/>
        </w:rPr>
      </w:pPr>
      <w:r>
        <w:rPr>
          <w:rFonts w:hint="default" w:ascii="Times New Roman" w:hAnsi="Times New Roman" w:cs="Times New Roman"/>
          <w:b/>
          <w:bCs/>
        </w:rPr>
        <w:t>A</w:t>
      </w:r>
      <w:r>
        <w:rPr>
          <w:rFonts w:hint="default" w:ascii="Times New Roman" w:hAnsi="Times New Roman" w:cs="Times New Roman"/>
        </w:rPr>
        <w:t xml:space="preserve"> Cell-type composition of the single-cell cohort (3,589 cells, four donors, Smart-seq2), with cell counts per type. </w:t>
      </w:r>
      <w:r>
        <w:rPr>
          <w:rFonts w:hint="default" w:ascii="Times New Roman" w:hAnsi="Times New Roman" w:cs="Times New Roman"/>
          <w:b/>
          <w:bCs/>
        </w:rPr>
        <w:t>B</w:t>
      </w:r>
      <w:r>
        <w:rPr>
          <w:rFonts w:hint="default" w:ascii="Times New Roman" w:hAnsi="Times New Roman" w:cs="Times New Roman"/>
        </w:rPr>
        <w:t xml:space="preserve"> Disulfidptosis-gate expression by cell type: SLC7A11 and SLC3A2 median log-normalized expression and percentage of positive cells; astrocytes show the highest gate expression. </w:t>
      </w:r>
      <w:r>
        <w:rPr>
          <w:rFonts w:hint="default" w:ascii="Times New Roman" w:hAnsi="Times New Roman" w:cs="Times New Roman"/>
          <w:b/>
          <w:bCs/>
        </w:rPr>
        <w:t>C</w:t>
      </w:r>
      <w:r>
        <w:rPr>
          <w:rFonts w:hint="default" w:ascii="Times New Roman" w:hAnsi="Times New Roman" w:cs="Times New Roman"/>
        </w:rPr>
        <w:t xml:space="preserve"> Median DSscore in vascular lymphangioblasts (VL) per donor, showing VL as the highest-scoring cell type in 4/4 donors. </w:t>
      </w:r>
      <w:r>
        <w:rPr>
          <w:rFonts w:hint="default" w:ascii="Times New Roman" w:hAnsi="Times New Roman" w:cs="Times New Roman"/>
          <w:b/>
          <w:bCs/>
        </w:rPr>
        <w:t>D</w:t>
      </w:r>
      <w:r>
        <w:rPr>
          <w:rFonts w:hint="default" w:ascii="Times New Roman" w:hAnsi="Times New Roman" w:cs="Times New Roman"/>
        </w:rPr>
        <w:t xml:space="preserve"> Spatial module contribution to the vascular association: per-slice Spearman correlation of the actin module and the non-actin module with the VL niche, showing that neither module alone reproduces the full-score association. DSscore, disulfidptosis gene-set score; VL, vascular lymphangioblast; OPC, oligodendrocyte precursor cell</w:t>
      </w:r>
    </w:p>
    <w:p w14:paraId="510B1F23">
      <w:pPr>
        <w:rPr>
          <w:rFonts w:hint="default" w:ascii="Times New Roman" w:hAnsi="Times New Roman" w:cs="Times New Roman"/>
        </w:rPr>
      </w:pPr>
    </w:p>
    <w:p w14:paraId="6FBF63AC">
      <w:pPr>
        <w:rPr>
          <w:rFonts w:hint="default" w:ascii="Times New Roman" w:hAnsi="Times New Roman" w:cs="Times New Roman"/>
        </w:rPr>
      </w:pPr>
    </w:p>
    <w:p w14:paraId="432AA955">
      <w:pPr>
        <w:rPr>
          <w:rFonts w:hint="default" w:ascii="Times New Roman" w:hAnsi="Times New Roman" w:cs="Times New Roman"/>
        </w:rPr>
      </w:pPr>
    </w:p>
    <w:p w14:paraId="0D7086EB">
      <w:pPr>
        <w:rPr>
          <w:rFonts w:hint="default" w:ascii="Times New Roman" w:hAnsi="Times New Roman" w:cs="Times New Roman"/>
          <w:b/>
          <w:bCs/>
        </w:rPr>
      </w:pPr>
      <w:r>
        <w:rPr>
          <w:rFonts w:hint="default" w:ascii="Times New Roman" w:hAnsi="Times New Roman" w:cs="Times New Roman"/>
          <w:b/>
          <w:bCs/>
        </w:rPr>
        <w:t>Supplementary Figure S6. Spatial-ecotype support.</w:t>
      </w:r>
    </w:p>
    <w:p w14:paraId="4AC0B6DB">
      <w:pPr>
        <w:rPr>
          <w:rFonts w:hint="default" w:ascii="Times New Roman" w:hAnsi="Times New Roman" w:cs="Times New Roman"/>
        </w:rPr>
      </w:pPr>
      <w:r>
        <w:rPr>
          <w:rFonts w:hint="default" w:ascii="Times New Roman" w:hAnsi="Times New Roman" w:cs="Times New Roman"/>
          <w:b/>
          <w:bCs/>
        </w:rPr>
        <w:t>A</w:t>
      </w:r>
      <w:r>
        <w:rPr>
          <w:rFonts w:hint="default" w:ascii="Times New Roman" w:hAnsi="Times New Roman" w:cs="Times New Roman"/>
        </w:rPr>
        <w:t xml:space="preserve"> Top eight marker genes per ecotype by mean log2 fold change versus all other spots (EC0 white-matter, EC1 hypoxic core, EC2 immune-vascular, EC3 vascular-mesenchymal). </w:t>
      </w:r>
      <w:r>
        <w:rPr>
          <w:rFonts w:hint="default" w:ascii="Times New Roman" w:hAnsi="Times New Roman" w:cs="Times New Roman"/>
          <w:b/>
          <w:bCs/>
        </w:rPr>
        <w:t>B</w:t>
      </w:r>
      <w:r>
        <w:rPr>
          <w:rFonts w:hint="default" w:ascii="Times New Roman" w:hAnsi="Times New Roman" w:cs="Times New Roman"/>
        </w:rPr>
        <w:t xml:space="preserve"> Ecotype abundance per Visium slice, showing that each of the four ecotypes recurs in all four slices. </w:t>
      </w:r>
      <w:r>
        <w:rPr>
          <w:rFonts w:hint="default" w:ascii="Times New Roman" w:hAnsi="Times New Roman" w:cs="Times New Roman"/>
          <w:b/>
          <w:bCs/>
        </w:rPr>
        <w:t xml:space="preserve">C </w:t>
      </w:r>
      <w:r>
        <w:rPr>
          <w:rFonts w:hint="default" w:ascii="Times New Roman" w:hAnsi="Times New Roman" w:cs="Times New Roman"/>
        </w:rPr>
        <w:t xml:space="preserve">Clustering stability: mean silhouette score for k=3-6, with k=4 among the highest values. </w:t>
      </w:r>
      <w:r>
        <w:rPr>
          <w:rFonts w:hint="default" w:ascii="Times New Roman" w:hAnsi="Times New Roman" w:cs="Times New Roman"/>
          <w:b/>
          <w:bCs/>
        </w:rPr>
        <w:t>D</w:t>
      </w:r>
      <w:r>
        <w:rPr>
          <w:rFonts w:hint="default" w:ascii="Times New Roman" w:hAnsi="Times New Roman" w:cs="Times New Roman"/>
        </w:rPr>
        <w:t xml:space="preserve"> Dominant-ecotype proportions after projecting ecotype signatures onto bulk CGGA and TCGA cohorts. EC, ecotype.</w:t>
      </w:r>
    </w:p>
    <w:p w14:paraId="16CB11A8">
      <w:pPr>
        <w:rPr>
          <w:rFonts w:hint="default" w:ascii="Times New Roman" w:hAnsi="Times New Roman" w:cs="Times New Roman"/>
        </w:rPr>
      </w:pPr>
    </w:p>
    <w:p w14:paraId="059CC653">
      <w:pPr>
        <w:rPr>
          <w:rFonts w:hint="default" w:ascii="Times New Roman" w:hAnsi="Times New Roman" w:cs="Times New Roman"/>
          <w:b/>
          <w:bCs/>
        </w:rPr>
      </w:pPr>
      <w:r>
        <w:rPr>
          <w:rFonts w:hint="default" w:ascii="Times New Roman" w:hAnsi="Times New Roman" w:cs="Times New Roman"/>
          <w:b/>
          <w:bCs/>
        </w:rPr>
        <w:t>Supplementary Figure S7. Ligand-receptor panel data.</w:t>
      </w:r>
    </w:p>
    <w:p w14:paraId="0C74F5BF">
      <w:pPr>
        <w:rPr>
          <w:rFonts w:hint="default" w:ascii="Times New Roman" w:hAnsi="Times New Roman" w:cs="Times New Roman"/>
        </w:rPr>
      </w:pPr>
      <w:r>
        <w:rPr>
          <w:rFonts w:hint="default" w:ascii="Times New Roman" w:hAnsi="Times New Roman" w:cs="Times New Roman"/>
          <w:b/>
          <w:bCs/>
        </w:rPr>
        <w:t xml:space="preserve">A </w:t>
      </w:r>
      <w:r>
        <w:rPr>
          <w:rFonts w:hint="default" w:ascii="Times New Roman" w:hAnsi="Times New Roman" w:cs="Times New Roman"/>
        </w:rPr>
        <w:t xml:space="preserve">All 18 curated ligand-receptor pairs, plotting the maximum source-to-target interaction score for each pair (interaction score = mean log-normalized ligand expression in the source cell type multiplied by mean receptor expression in the target cell type). </w:t>
      </w:r>
      <w:r>
        <w:rPr>
          <w:rFonts w:hint="default" w:ascii="Times New Roman" w:hAnsi="Times New Roman" w:cs="Times New Roman"/>
          <w:b/>
          <w:bCs/>
        </w:rPr>
        <w:t>B</w:t>
      </w:r>
      <w:r>
        <w:rPr>
          <w:rFonts w:hint="default" w:ascii="Times New Roman" w:hAnsi="Times New Roman" w:cs="Times New Roman"/>
        </w:rPr>
        <w:t xml:space="preserve"> Target-centred interaction matrix showing the maximum score per pair and target cell type. The panel is descriptive and no statistical inference is claimed. Labels are formatted as ligand-receptor </w:t>
      </w:r>
      <w:r>
        <w:rPr>
          <w:rFonts w:hint="eastAsia" w:ascii="Times New Roman" w:hAnsi="Times New Roman" w:cs="Times New Roman"/>
          <w:lang w:val="en-US" w:eastAsia="zh-CN"/>
        </w:rPr>
        <w:t>→</w:t>
      </w:r>
      <w:r>
        <w:rPr>
          <w:rFonts w:hint="default" w:ascii="Times New Roman" w:hAnsi="Times New Roman" w:cs="Times New Roman"/>
        </w:rPr>
        <w:t xml:space="preserve"> target cell type.</w:t>
      </w:r>
    </w:p>
    <w:p w14:paraId="2C3A5B9E">
      <w:pPr>
        <w:rPr>
          <w:rFonts w:hint="default" w:ascii="Times New Roman" w:hAnsi="Times New Roman" w:cs="Times New Roman"/>
        </w:rPr>
      </w:pPr>
    </w:p>
    <w:p w14:paraId="06AADE7E">
      <w:pPr>
        <w:rPr>
          <w:rFonts w:hint="default" w:ascii="Times New Roman" w:hAnsi="Times New Roman" w:cs="Times New Roman"/>
          <w:b/>
          <w:bCs/>
        </w:rPr>
      </w:pPr>
      <w:r>
        <w:rPr>
          <w:rFonts w:hint="default" w:ascii="Times New Roman" w:hAnsi="Times New Roman" w:cs="Times New Roman"/>
          <w:b/>
          <w:bCs/>
        </w:rPr>
        <w:t>Supplementary Figure S8. Drug-sensitivity support.</w:t>
      </w:r>
    </w:p>
    <w:p w14:paraId="3503A097">
      <w:pPr>
        <w:rPr>
          <w:rFonts w:hint="default" w:ascii="Times New Roman" w:hAnsi="Times New Roman" w:cs="Times New Roman"/>
        </w:rPr>
      </w:pPr>
      <w:r>
        <w:rPr>
          <w:rFonts w:hint="default" w:ascii="Times New Roman" w:hAnsi="Times New Roman" w:cs="Times New Roman"/>
          <w:b/>
          <w:bCs/>
        </w:rPr>
        <w:t>A</w:t>
      </w:r>
      <w:r>
        <w:rPr>
          <w:rFonts w:hint="default" w:ascii="Times New Roman" w:hAnsi="Times New Roman" w:cs="Times New Roman"/>
        </w:rPr>
        <w:t xml:space="preserve"> SLC7A11 gene effect (CERES) by lineage: glioma (n=71), other CNS lines (n=20) and all DepMap lines (n=1,208); Kruskal-Wallis P=0.046. Lower CERES indicates stronger dependency. </w:t>
      </w:r>
      <w:r>
        <w:rPr>
          <w:rFonts w:hint="default" w:ascii="Times New Roman" w:hAnsi="Times New Roman" w:cs="Times New Roman"/>
          <w:b/>
          <w:bCs/>
        </w:rPr>
        <w:t>B</w:t>
      </w:r>
      <w:r>
        <w:rPr>
          <w:rFonts w:hint="default" w:ascii="Times New Roman" w:hAnsi="Times New Roman" w:cs="Times New Roman"/>
        </w:rPr>
        <w:t xml:space="preserve"> GDSC pathway enrichment of the drug-screen hits (hypergeometric test over annotated compound pathways), showing that the resistant side is enriched for apoptosis-regulation, chromatin, genome-integrity and PI3K/MTOR classes whereas the sensitive side shows no pathway-level enrichment. Full ranked compound lists are in Table S3 (drug-sensitivity block). CERES, CRISPR effect score; CNS, central nervous system.</w:t>
      </w:r>
    </w:p>
    <w:p w14:paraId="0E6A29C9">
      <w:pPr>
        <w:rPr>
          <w:rFonts w:hint="default" w:ascii="Times New Roman" w:hAnsi="Times New Roman" w:cs="Times New Roman"/>
        </w:rPr>
      </w:pPr>
    </w:p>
    <w:p w14:paraId="0C97FB0E">
      <w:pPr>
        <w:rPr>
          <w:rFonts w:hint="default" w:ascii="Times New Roman" w:hAnsi="Times New Roman" w:cs="Times New Roman"/>
          <w:b/>
          <w:bCs/>
        </w:rPr>
      </w:pPr>
      <w:r>
        <w:rPr>
          <w:rFonts w:hint="default" w:ascii="Times New Roman" w:hAnsi="Times New Roman" w:cs="Times New Roman"/>
          <w:b/>
          <w:bCs/>
        </w:rPr>
        <w:t>Supplementary Figure S9. Discriminant validity and mediation of the DSscore survival signal.</w:t>
      </w:r>
    </w:p>
    <w:p w14:paraId="34E4FF4F">
      <w:pPr>
        <w:rPr>
          <w:rFonts w:hint="default" w:ascii="Times New Roman" w:hAnsi="Times New Roman" w:cs="Times New Roman"/>
        </w:rPr>
      </w:pPr>
      <w:r>
        <w:rPr>
          <w:rFonts w:hint="default" w:ascii="Times New Roman" w:hAnsi="Times New Roman" w:cs="Times New Roman"/>
          <w:b/>
          <w:bCs/>
        </w:rPr>
        <w:t>A</w:t>
      </w:r>
      <w:r>
        <w:rPr>
          <w:rFonts w:hint="default" w:ascii="Times New Roman" w:hAnsi="Times New Roman" w:cs="Times New Roman"/>
        </w:rPr>
        <w:t xml:space="preserve"> Bulk survival independence in CGGA (n=657): hazard ratio per 1-SD increase in DSscore unadjusted (2.01, 1.83-2.22), adjusted for generic endothelial, stromal and EMT scores (2.12, 1.85-2.44), and adjusted for a single composite of the three (2.02, 1.79-2.27); the 11-gene non-cytoskeletal, non-ECM core score was prognostic unadjusted (1.65, 1.46-1.87) but not clearly independent after adjustment (1.19, 0.96-1.48; P=0.115). Variance-inflation factors were &lt;5. </w:t>
      </w:r>
      <w:r>
        <w:rPr>
          <w:rFonts w:hint="default" w:ascii="Times New Roman" w:hAnsi="Times New Roman" w:cs="Times New Roman"/>
          <w:b/>
          <w:bCs/>
        </w:rPr>
        <w:t>B</w:t>
      </w:r>
      <w:r>
        <w:rPr>
          <w:rFonts w:hint="default" w:ascii="Times New Roman" w:hAnsi="Times New Roman" w:cs="Times New Roman"/>
        </w:rPr>
        <w:t xml:space="preserve"> Spatial vascular association: per-slice Spearman correlation of DSscore with centred-log-ratio-transformed VL fraction (raw 0.292/0.176/0.235/0.303), after partial correction for a minimal endothelial-marker baseline (PECAM1, VWF, KDR; 0.171/0.110/0.172/0.023), and after correction for a non-endothelial glial control (0.409/0.249/0.334/0.484). Triangles show the non-cytoskeletal core score versus VL (0.023/0.157/-0.087/0.059), which does not localize to the vascular compartment.</w:t>
      </w:r>
      <w:r>
        <w:rPr>
          <w:rFonts w:hint="default" w:ascii="Times New Roman" w:hAnsi="Times New Roman" w:cs="Times New Roman"/>
          <w:b/>
          <w:bCs/>
        </w:rPr>
        <w:t xml:space="preserve"> C</w:t>
      </w:r>
      <w:r>
        <w:rPr>
          <w:rFonts w:hint="default" w:ascii="Times New Roman" w:hAnsi="Times New Roman" w:cs="Times New Roman"/>
        </w:rPr>
        <w:t xml:space="preserve"> Immune association: raw Spearman correlation of DSscore with cytolytic activity (CYT, 0.454) versus partial correlations controlling the three generic scores (0.074) and their composite first principal component (0.179), indicating that the immune association is largely a proxy for generic stromal and EMT content. </w:t>
      </w:r>
      <w:r>
        <w:rPr>
          <w:rFonts w:hint="default" w:ascii="Times New Roman" w:hAnsi="Times New Roman" w:cs="Times New Roman"/>
          <w:b/>
          <w:bCs/>
        </w:rPr>
        <w:t xml:space="preserve">D </w:t>
      </w:r>
      <w:r>
        <w:rPr>
          <w:rFonts w:hint="default" w:ascii="Times New Roman" w:hAnsi="Times New Roman" w:cs="Times New Roman"/>
        </w:rPr>
        <w:t>Mediation analysis: indirect effects of DSscore on survival through endothelial, stromal, EMT, fibroblast, endothelial (MCPcounter) and cytolytic-activity programmes, with 95% boots</w:t>
      </w:r>
      <w:bookmarkStart w:id="0" w:name="_GoBack"/>
      <w:bookmarkEnd w:id="0"/>
      <w:r>
        <w:rPr>
          <w:rFonts w:hint="default" w:ascii="Times New Roman" w:hAnsi="Times New Roman" w:cs="Times New Roman"/>
        </w:rPr>
        <w:t>trap confidence intervals; all indirect effects are near zero with intervals including zero, indicating a direct rather than programme-mediated survival effect. DSscore, disulfidptosis gene-set score; VL, vascular lymphangioblast; EMT, epithelial-mesenchymal transition; CYT, cytolytic activity; SD, standard deviation.</w:t>
      </w:r>
    </w:p>
    <w:p w14:paraId="3BA5B9FA">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B650E4"/>
    <w:rsid w:val="40A8108B"/>
    <w:rsid w:val="4E175336"/>
    <w:rsid w:val="6C0834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4</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2026-09-12T04:38:27Z</dcterms:created>
  <dc:creator>admin</dc:creator>
  <cp:lastModifiedBy>废物一个丶</cp:lastModifiedBy>
  <dcterms:modified xsi:type="dcterms:W3CDTF">2026-09-12T04:44:14Z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eyJoZGlkIjoiOTkzYWUyMjg5MzU1OWQzNjQxMzc2OTJjOWZmOWU4MzciLCJ1c2VySWQiOiI0MDM5MDQ1MzMifQ==</vt:lpwstr>
  </property>
  <property fmtid="{D5CDD505-2E9C-101B-9397-08002B2CF9AE}" pid="4" name="ICV">
    <vt:lpwstr>142847063F76475DB4FB1A6D14127AF0_12</vt:lpwstr>
  </property>
</Properties>
</file>