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spacing w:line="264" w:lineRule="auto"/>
      </w:pPr>
      <w:r>
        <w:rPr>
          <w:sz w:val="22"/>
        </w:rPr>
        <w:t>Spatial epithelial and stromal remodeling in isolated human pancreatic intraepithelial neoplasia before invasion</w:t>
      </w:r>
    </w:p>
    <w:p>
      <w:pPr>
        <w:pStyle w:val="Heading1"/>
        <w:pageBreakBefore w:val="0"/>
      </w:pPr>
      <w:r>
        <w:t>Extended Data figure legends</w:t>
      </w:r>
    </w:p>
    <w:p>
      <w:pPr>
        <w:pageBreakBefore w:val="0"/>
        <w:spacing w:line="264" w:lineRule="auto"/>
      </w:pPr>
      <w:r>
        <w:rPr>
          <w:sz w:val="22"/>
        </w:rPr>
        <w:t>Unless otherwise indicated in the panel, all scale bars represent 200 µm.</w:t>
      </w:r>
    </w:p>
    <w:p>
      <w:pPr>
        <w:pStyle w:val="Heading2"/>
        <w:pageBreakBefore w:val="0"/>
      </w:pPr>
      <w:r>
        <w:t>Extended Data Fig. 1</w:t>
      </w:r>
    </w:p>
    <w:p>
      <w:pPr>
        <w:pageBreakBefore w:val="0"/>
        <w:spacing w:line="264" w:lineRule="auto"/>
      </w:pPr>
      <w:r>
        <w:rPr>
          <w:sz w:val="22"/>
        </w:rPr>
        <w:t>Representative H&amp;E-stained images of the pancreatic tissue specimens used for spatial transcriptomic analysis. Representative sections of normal (a), LG-PanIN (b), and HG-PanIN (c) tissue samples. Sixteen specimens were analyzed using Visium and Visium HD spatial transcriptomics: normal (n = 2, Visium), LG-PanIN (n = 7; 5 Visium, 2 Visium HD), and HG-PanIN (n = 7; 5 Visium, 2 Visium HD). Scale bars, 200 µm.</w:t>
      </w:r>
    </w:p>
    <w:p>
      <w:pPr>
        <w:pStyle w:val="Heading2"/>
        <w:pageBreakBefore w:val="0"/>
      </w:pPr>
      <w:r>
        <w:t>Extended Data Fig. 2</w:t>
      </w:r>
    </w:p>
    <w:p>
      <w:pPr>
        <w:pageBreakBefore w:val="0"/>
        <w:spacing w:line="264" w:lineRule="auto"/>
      </w:pPr>
      <w:r>
        <w:rPr>
          <w:sz w:val="22"/>
        </w:rPr>
        <w:t>Spatial distribution of classical and basal-like subtype gene expression signatures in the epithelial compartments of normal pancreatic tissues. H&amp;E-stained images (top row) and corresponding Visium spatial transcriptomic maps of classical (middle row) and basal-like (bottom row) subtype module scores for all normal specimens (n = 2). Color scale represents log2 average expression (range: 0.0–5.0). Scale bars (H&amp;E-stained images), 200 µm.</w:t>
      </w:r>
    </w:p>
    <w:p>
      <w:pPr>
        <w:pStyle w:val="Heading2"/>
        <w:pageBreakBefore w:val="0"/>
      </w:pPr>
      <w:r>
        <w:t>Extended Data Fig. 3</w:t>
      </w:r>
    </w:p>
    <w:p>
      <w:pPr>
        <w:pageBreakBefore w:val="0"/>
        <w:spacing w:line="264" w:lineRule="auto"/>
      </w:pPr>
      <w:r>
        <w:rPr>
          <w:sz w:val="22"/>
        </w:rPr>
        <w:t>Spatial distribution of classical and basal-like subtype gene expression signatures in the epithelial compartments of LG-PanIN tissues. H&amp;E-stained images (top row) and corresponding Visium spatial transcriptomic maps of classical (middle row) and basal-like (bottom row) subtype module scores for all LG-PanIN specimens (n = 5). Color scale represents log2 average expression (range: 0.0–5.0). Scale bars (H&amp;E-stained images), 200 µm.</w:t>
      </w:r>
    </w:p>
    <w:p>
      <w:pPr>
        <w:pStyle w:val="Heading2"/>
        <w:pageBreakBefore w:val="0"/>
      </w:pPr>
      <w:r>
        <w:t>Extended Data Fig. 4</w:t>
      </w:r>
    </w:p>
    <w:p>
      <w:pPr>
        <w:pageBreakBefore w:val="0"/>
        <w:spacing w:line="264" w:lineRule="auto"/>
      </w:pPr>
      <w:r>
        <w:rPr>
          <w:sz w:val="22"/>
        </w:rPr>
        <w:t>Spatial distribution of classical and basal-like subtype gene expression signatures in the epithelial compartments of HG-PanIN tissues. H&amp;E-stained images (top row) and corresponding Visium spatial transcriptomic maps of classical (middle row) and basal-like (bottom row) subtype module scores for all HG-PanIN specimens (n = 5). Color scale represents log2 average expression (range: 0.0–5.0). Scale bars (H&amp;E-stained images), 200 µm.</w:t>
      </w:r>
    </w:p>
    <w:p>
      <w:pPr>
        <w:pStyle w:val="Heading2"/>
        <w:pageBreakBefore w:val="0"/>
      </w:pPr>
      <w:r>
        <w:t>Extended Data Fig. 5</w:t>
      </w:r>
    </w:p>
    <w:p>
      <w:pPr>
        <w:pageBreakBefore w:val="0"/>
        <w:spacing w:line="264" w:lineRule="auto"/>
      </w:pPr>
      <w:r>
        <w:rPr>
          <w:sz w:val="22"/>
        </w:rPr>
        <w:t>Spatial distribution of classical and basal-like subtype gene expression signatures in LG-PanIN tissues analyzed using Visium HD. H&amp;E-stained images (top row) and corresponding Visium HD spatial transcriptomic maps of classical (middle row) and basal-like (bottom row) subtype module scores for cases 1 (left) and 2 (right). Color scale represents log2 average expression (range: 0.0–1.0). Scale bars (H&amp;E-stained images), 200 µm.</w:t>
      </w:r>
    </w:p>
    <w:p>
      <w:pPr>
        <w:pStyle w:val="Heading2"/>
        <w:pageBreakBefore w:val="0"/>
      </w:pPr>
      <w:r>
        <w:t>Extended Data Fig. 6</w:t>
      </w:r>
    </w:p>
    <w:p>
      <w:pPr>
        <w:pageBreakBefore w:val="0"/>
        <w:spacing w:line="264" w:lineRule="auto"/>
      </w:pPr>
      <w:r>
        <w:rPr>
          <w:sz w:val="22"/>
        </w:rPr>
        <w:t>Spatial distribution of classical and basal-like subtype gene expression signatures in HG-PanIN tissues analyzed using Visium HD. H&amp;E-stained images (top row) and corresponding Visium HD spatial transcriptomic maps of classical (middle row) and basal-like (bottom row) subtype module scores for cases 3 (left) and 4 (right). Color scale represents log2 average expression (range: 0.0–1.0). Scale bars (H&amp;E-stained images), 200 µm.</w:t>
      </w:r>
    </w:p>
    <w:p>
      <w:pPr>
        <w:pStyle w:val="Heading2"/>
        <w:pageBreakBefore w:val="0"/>
      </w:pPr>
      <w:r>
        <w:t>Extended Data Fig. 7</w:t>
      </w:r>
    </w:p>
    <w:p>
      <w:pPr>
        <w:pageBreakBefore w:val="0"/>
        <w:spacing w:line="264" w:lineRule="auto"/>
      </w:pPr>
      <w:r>
        <w:rPr>
          <w:sz w:val="22"/>
        </w:rPr>
        <w:t>Organoid establishment in a patient with HG-PanIN (TisN0M0, cStage 0, Union for International Cancer Control 7th edition). (a) Contrast-enhanced computed tomography showing dilation of the pancreatic duct. (b) Magnetic resonance cholangiopancreatography (MRCP) image. (c) Endoscopic retrograde pancreatography (ERP) demonstrating a pancreatic duct stricture. (d) Phase-contrast microscopy images of the established organoids. (e) Macroscopic image of the resected specimen with mapped sectioning. (f) H&amp;E-stained histological sections confirmed HG-PanIN histology. Scale bars, 200 µm (d) and 50 µm (f).</w:t>
      </w:r>
    </w:p>
    <w:p>
      <w:pPr>
        <w:pStyle w:val="Heading2"/>
        <w:pageBreakBefore w:val="0"/>
      </w:pPr>
      <w:r>
        <w:t>Extended Data Fig. 8</w:t>
      </w:r>
    </w:p>
    <w:p>
      <w:pPr>
        <w:pageBreakBefore w:val="0"/>
        <w:spacing w:line="264" w:lineRule="auto"/>
      </w:pPr>
      <w:r>
        <w:rPr>
          <w:sz w:val="22"/>
        </w:rPr>
        <w:t>Serial passage of patient-derived organoids. (a) Phase-contrast microscopic images of organoids derived from normal pancreatic duct epithelium during serial passages, demonstrating organoid growth and morphological changes over time. (b) Phase-contrast microscopic images of organoids derived from HG-PanIN during serial passage. (c) Phase-contrast microscopy images of organoids derived from invasive PDAC during serial passaging. Scale bars, 200 µm.</w:t>
      </w:r>
    </w:p>
    <w:p>
      <w:pPr>
        <w:pStyle w:val="Heading2"/>
        <w:pageBreakBefore w:val="0"/>
      </w:pPr>
      <w:r>
        <w:t>Extended Data Fig. 9</w:t>
      </w:r>
    </w:p>
    <w:p>
      <w:pPr>
        <w:pageBreakBefore w:val="0"/>
        <w:spacing w:line="264" w:lineRule="auto"/>
      </w:pPr>
      <w:r>
        <w:rPr>
          <w:sz w:val="22"/>
        </w:rPr>
        <w:t>Functional characterization of patient-derived organoids by xenograft and genomic profiling. (a) Representative H&amp;E-stained images of organoids established from normal pancreatic ducts, HG-PanIN, and invasive PDAC, demonstrating stage-associated morphological complexity. (b) Xenograft tumor growth curves showing tumor diameters (mm) over 84 days for HG-PanIN-derived organoids (Case 1: KKp048, Case 2: KKp055) and invasive PDAC-derived organoids (case 3: KKp011, Case 4: KKp060). The HG-PanIN organoids showed no tumor formation, whereas the invasive PDAC organoids showed tumor growth over time (n = 5 mice per organoid line). (c) H&amp;E-stained sections of patient-derived xenograft (PDX) tumors from KKp011 (top) and KKp060 (bottom) cells, with insets showing higher magnification, confirming invasive adenocarcinoma histology. (d) Genomic profiling of organoid lines across invasive PDAC (KKp011, KKp060, KKp071, KKp063, and KKp074), HG-PanIN (KKp048, KKp055, KKp034, KKp045, and KKp078_B5_6P3) and normal pancreatic ducts (KKp084, KKp081, KKp082_D5_5, KKp080_2, and KKp086). The upper panel shows somatic mutations in a panel of established PDAC driver genes (color-coded by mutation type: missense, frameshift, in-frame indel, splice site, nonsense, and multi-hit). The lower panel shows copy number alterations (red = amplification, blue = deletion). KRAS mutations were detected in all invasive PDAC and HG-PanIN organoids, whereas normal duct organoids showed no KRAS mutations. CDKN2A and TP53 alterations were enriched in the invasive PDAC organoids, consistent with the expected progression of driver mutations. Scale bars (a and c): 200 µm.</w:t>
      </w:r>
    </w:p>
    <w:p>
      <w:pPr>
        <w:pStyle w:val="Heading2"/>
        <w:pageBreakBefore w:val="0"/>
      </w:pPr>
      <w:r>
        <w:t>Extended Data Fig. 10</w:t>
      </w:r>
    </w:p>
    <w:p>
      <w:pPr>
        <w:pageBreakBefore w:val="0"/>
        <w:spacing w:line="264" w:lineRule="auto"/>
      </w:pPr>
      <w:r>
        <w:rPr>
          <w:sz w:val="22"/>
        </w:rPr>
        <w:t>2D pancreatic cancer cell line-derived conditioned medium is associated with subtype-dependent iCAF-like polarization in pancreatic stellate cells. (a) Schematic of the experiment. Primary PSCs were treated for 24 h with conditioned medium from PANC-1 (p63</w:t>
      </w:r>
      <w:r>
        <w:rPr>
          <w:sz w:val="22"/>
          <w:vertAlign w:val="superscript"/>
        </w:rPr>
        <w:t>–</w:t>
      </w:r>
      <w:r>
        <w:rPr>
          <w:sz w:val="22"/>
        </w:rPr>
        <w:t>, classical-like) or BxPC-3 (p63⁺, basal-like) pancreatic cancer cell lines, followed by bulk RNA sequencing. (b) Phase-contrast microscopic images of PSCs under control conditions (left), after treatment with PANC-1 CM (middle), and after treatment with BxPC-3 CM (right). (c) PCA of the PSC transcriptomes after 2D CM treatment. PC1 (77% variance) separated all three groups, whereas PC2 (21% variance) further distinguished between PANC-1 and BxPC-3 CM-treated PSCs, indicating that each cell line was associated with a distinct transcriptional program. (d) The iCAF-like signature scores in PSCs under each CM condition. iCAF-like scores were significantly elevated in both PANC-1 CM-treated (P = 0.0012 vs control) and BxPC-3 CM-treated (P = 0.00011 vs control) PSCs, with BxPC-3 CM showing the highest iCAF-like scores (P = 7 × 10</w:t>
      </w:r>
      <w:r>
        <w:rPr>
          <w:sz w:val="22"/>
          <w:vertAlign w:val="superscript"/>
        </w:rPr>
        <w:t>–5</w:t>
      </w:r>
      <w:r>
        <w:rPr>
          <w:sz w:val="22"/>
        </w:rPr>
        <w:t xml:space="preserve"> vs PANC-1), consistent with preferential inflammatory CAF-like polarization by basal-like cell line CM. P-values were computed by two-sample Student's t-test on per-sample iCAF-like module scores (mean VST-normalized marker gene expression; n = 3 independent culture replicates per group) and, given the small replicate number, were interpreted as proof of principle (see Methods, Statistical Analysis). (e) Heatmap showing Z-score normalized expression of iCAF-like core marker genes (CFD, DPT, LIF, PDGFRA, CCL2, IL1A, CXCL12, HAS1, IL6, CXCL1, CXCL8, CXCL3, CXCL2) in PSCs following CM treatment. BxPC-3 CM was associated with a robust upregulation of inflammatory iCAF-like markers, including CXCL1, CXCL8, CXCL3, CXCL2, IL6, and HAS1, whereas PANC-1 CM showed a more moderate and selective pattern of iCAF-like marker expression. Scale bars (b), 500 µm.</w:t>
      </w:r>
    </w:p>
    <w:p>
      <w:pPr>
        <w:pStyle w:val="Heading1"/>
        <w:pageBreakBefore w:val="0"/>
      </w:pPr>
      <w:r>
        <w:t>Supplementary Information inventory</w:t>
      </w:r>
    </w:p>
    <w:p>
      <w:pPr>
        <w:pageBreakBefore w:val="0"/>
        <w:spacing w:line="264" w:lineRule="auto"/>
      </w:pPr>
      <w:r>
        <w:rPr>
          <w:sz w:val="22"/>
        </w:rPr>
        <w:t>Supplementary Tables 1–8 provide histomorphometric and immunohistochemical summaries, transcriptional signature genes, and the mapping between figure case labels and spatial sample identifiers.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line="240" w:lineRule="auto" w:after="0"/>
    </w:pPr>
    <w:r>
      <w:rPr>
        <w:color w:val="555555"/>
        <w:sz w:val="18"/>
      </w:rPr>
      <w:t>Nature Cancer | Supporting 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before="0" w:after="120"/>
    </w:pPr>
    <w:rPr>
      <w:rFonts w:ascii="Times New Roman" w:hAnsi="Times New Roman" w:eastAsia="Yu Gothic"/>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64" w:lineRule="auto"/>
      <w:outlineLvl w:val="0"/>
    </w:pPr>
    <w:rPr>
      <w:rFonts w:cstheme="majorBidi" w:ascii="Times New Roman" w:hAnsi="Times New Roman" w:eastAsia="Yu Gothic"/>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line="264" w:lineRule="auto"/>
      <w:outlineLvl w:val="1"/>
    </w:pPr>
    <w:rPr>
      <w:rFonts w:cstheme="majorBidi" w:ascii="Times New Roman" w:hAnsi="Times New Roman" w:eastAsia="Yu Gothi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line="264" w:lineRule="auto"/>
      <w:outlineLvl w:val="2"/>
    </w:pPr>
    <w:rPr>
      <w:rFonts w:cstheme="majorBidi" w:ascii="Times New Roman" w:hAnsi="Times New Roman" w:eastAsia="Yu Gothic"/>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64" w:lineRule="auto" w:before="0"/>
      <w:contextualSpacing/>
    </w:pPr>
    <w:rPr>
      <w:rFonts w:cstheme="majorBidi" w:ascii="Times New Roman" w:hAnsi="Times New Roman" w:eastAsia="Yu Gothic"/>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 Cancer | Supporting information</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