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Additional file 1 Supplementary material</w:t>
      </w:r>
    </w:p>
    <w:p>
      <w:pPr>
        <w:jc w:val="center"/>
      </w:pPr>
      <w:r>
        <w:rPr>
          <w:i/>
        </w:rPr>
        <w:t>Baseline menopausal hormone therapy history and subsequent recorded urticaria among UK Biobank women: a population-based prospective cohort study</w:t>
      </w:r>
    </w:p>
    <w:p>
      <w:pPr>
        <w:jc w:val="center"/>
      </w:pPr>
      <w:r>
        <w:t>Jinrong Zhang and colleagues</w:t>
      </w:r>
    </w:p>
    <w:p>
      <w:pPr>
        <w:pStyle w:val="Heading1"/>
      </w:pPr>
      <w:r>
        <w:t>Contents</w:t>
      </w:r>
    </w:p>
    <w:p>
      <w:pPr>
        <w:pStyle w:val="ListBullet"/>
      </w:pPr>
      <w:r>
        <w:t>Supplementary Methods S1. Exposure, outcome and covariate definitions</w:t>
      </w:r>
    </w:p>
    <w:p>
      <w:pPr>
        <w:pStyle w:val="ListBullet"/>
      </w:pPr>
      <w:r>
        <w:t>Supplementary Methods S2. Sensitivity and weighting analyses</w:t>
      </w:r>
    </w:p>
    <w:p>
      <w:pPr>
        <w:pStyle w:val="ListBullet"/>
      </w:pPr>
      <w:r>
        <w:t>Table S1. Covariate missingness</w:t>
      </w:r>
    </w:p>
    <w:p>
      <w:pPr>
        <w:pStyle w:val="ListBullet"/>
      </w:pPr>
      <w:r>
        <w:t>Table S2. Baseline hormone therapy recency contrasts</w:t>
      </w:r>
    </w:p>
    <w:p>
      <w:pPr>
        <w:pStyle w:val="ListBullet"/>
      </w:pPr>
      <w:r>
        <w:t>Table S3. Complete recorded urticaria sensitivity estimates</w:t>
      </w:r>
    </w:p>
    <w:p>
      <w:pPr>
        <w:pStyle w:val="ListBullet"/>
      </w:pPr>
      <w:r>
        <w:t>Table S4. Prespecified co-primary and comparison outcomes</w:t>
      </w:r>
    </w:p>
    <w:p>
      <w:pPr>
        <w:pStyle w:val="ListBullet"/>
      </w:pPr>
      <w:r>
        <w:t>Table S5. Outcome-source and subtype-boundary audit</w:t>
      </w:r>
    </w:p>
    <w:p>
      <w:pPr>
        <w:pStyle w:val="ListBullet"/>
      </w:pPr>
      <w:r>
        <w:t>Table S6. Reproducibility and quality-control checks</w:t>
      </w:r>
    </w:p>
    <w:p>
      <w:r>
        <w:br w:type="page"/>
      </w:r>
    </w:p>
    <w:p>
      <w:pPr>
        <w:pStyle w:val="Heading1"/>
      </w:pPr>
      <w:r>
        <w:t>Supplementary Methods S1. Exposure, outcome and covariate definitions</w:t>
      </w:r>
    </w:p>
    <w:p>
      <w:pPr>
        <w:spacing w:after="100"/>
      </w:pPr>
      <w:r>
        <w:rPr>
          <w:b/>
        </w:rPr>
        <w:t xml:space="preserve">Primary exposure: </w:t>
      </w:r>
      <w:r>
        <w:t>Self-reported ever versus never use of menopausal hormone therapy at baseline (UK Biobank Field 2814).</w:t>
      </w:r>
    </w:p>
    <w:p>
      <w:pPr>
        <w:spacing w:after="100"/>
      </w:pPr>
      <w:r>
        <w:rPr>
          <w:b/>
        </w:rPr>
        <w:t xml:space="preserve">Recency exposure: </w:t>
      </w:r>
      <w:r>
        <w:t>Field 3546 classified baseline current use, former use and unknown recency. These categories were fixed at baseline and did not update treatment during follow-up.</w:t>
      </w:r>
    </w:p>
    <w:p>
      <w:pPr>
        <w:spacing w:after="100"/>
      </w:pPr>
      <w:r>
        <w:rPr>
          <w:b/>
        </w:rPr>
        <w:t xml:space="preserve">Field-consistency restriction: </w:t>
      </w:r>
      <w:r>
        <w:t>Participants were retained if Field 3546 status was not contradicted by current hormone medication in Field 6153. This restriction was a measurement-consistency sensitivity analysis, not a redefinition of the primary exposure.</w:t>
      </w:r>
    </w:p>
    <w:p>
      <w:pPr>
        <w:spacing w:after="100"/>
      </w:pPr>
      <w:r>
        <w:rPr>
          <w:b/>
        </w:rPr>
        <w:t xml:space="preserve">Primary outcome: </w:t>
      </w:r>
      <w:r>
        <w:t>First post-baseline ICD-10 L50 record with a confirmed first-occurrence source (primary care, hospital, death registration or a source combination). Self-report-only first-occurrence records were excluded.</w:t>
      </w:r>
    </w:p>
    <w:p>
      <w:pPr>
        <w:spacing w:after="100"/>
      </w:pPr>
      <w:r>
        <w:rPr>
          <w:b/>
        </w:rPr>
        <w:t xml:space="preserve">Outcome boundary: </w:t>
      </w:r>
      <w:r>
        <w:t>The L50 category records urticaria but does not identify disease duration, inducibility, or the diagnostic work-up for chronic spontaneous urticaria. Observed hospital subcodes were used only to audit category boundaries.</w:t>
      </w:r>
    </w:p>
    <w:p>
      <w:pPr>
        <w:spacing w:after="100"/>
      </w:pPr>
      <w:r>
        <w:rPr>
          <w:b/>
        </w:rPr>
        <w:t xml:space="preserve">Covariates: </w:t>
      </w:r>
      <w:r>
        <w:t>Age, menopause status, age at menopause, body mass index, smoking, alcohol use, ethnicity, Townsend deprivation index, household income, education, oral contraceptive use, pre-baseline hospital-record burden, atopy, autoimmune disease, hormone-therapy contraindication proxies, menopausal-disorder records, and assessment center. Fertility-expanded adjustment additionally included live births; ages at first and last live birth; stillbirths; spontaneous abortions; and pregnancy terminations.</w:t>
      </w:r>
    </w:p>
    <w:p>
      <w:pPr>
        <w:spacing w:after="100"/>
      </w:pPr>
      <w:r>
        <w:rPr>
          <w:b/>
        </w:rPr>
        <w:t xml:space="preserve">Missing data: </w:t>
      </w:r>
      <w:r>
        <w:t>Continuous variables were median-imputed with a missingness indicator, and categorical variables used an unknown category where applicable. Complete-case analysis was conducted separately. The fertility-expanded model should be interpreted cautiously because several reproductive-history fields were sparsely completed.</w:t>
      </w:r>
    </w:p>
    <w:p>
      <w:r>
        <w:br w:type="page"/>
      </w:r>
    </w:p>
    <w:p>
      <w:pPr>
        <w:pStyle w:val="Heading1"/>
      </w:pPr>
      <w:r>
        <w:t>Supplementary Methods S2. Sensitivity and weighting analyses</w:t>
      </w:r>
    </w:p>
    <w:p>
      <w:r>
        <w:t>The primary Cox model used time since baseline, Efron handling of ties, and assessment-center strata. Two- and five-year landmark lags reset the time origin and excluded previous outcome records. Source analyses used general-practice-linked participants or hospital-only events. Fine–Gray regression treated death as a competing event. The complete-case and C-reactive-protein models addressed missingness and additional measured inflammatory burden.</w:t>
      </w:r>
    </w:p>
    <w:p>
      <w:r>
        <w:t>Conventional stabilized inverse-probability weighting targeted a whole-cohort average effect but failed measured-covariate balance (maximum weighted absolute SMD 0.404). The estimate is disclosed but not interpreted as a balanced causal analysis. A flexible propensity model was then used for overlap weighting, targeting women with overlapping probabilities of exposure. All continuous and factor-indicator balance terms were audited; the maximum absolute SMD after overlap weighting was 2.16×10−8.</w:t>
      </w:r>
    </w:p>
    <w:p>
      <w:r>
        <w:t>The E-value was computed from the primary HR and the confidence limit closest to the null. It quantifies the minimum association, conditional on measured variables, that an unmeasured confounder would need with both exposure and outcome to explain away the estimate. It does not measure bias directly and does not prove robustness or causality.</w:t>
      </w:r>
    </w:p>
    <w:p>
      <w:r>
        <w:br w:type="page"/>
      </w:r>
    </w:p>
    <w:p>
      <w:pPr>
        <w:spacing w:before="160" w:after="80"/>
        <w:keepNext/>
      </w:pPr>
      <w:r>
        <w:rPr>
          <w:b/>
        </w:rPr>
        <w:t>Table S1. Covariate missingness in the recorded urticaria risk set</w:t>
      </w:r>
    </w:p>
    <w:tbl>
      <w:tblPr>
        <w:tblW w:type="auto" w:w="0"/>
        <w:jc w:val="center"/>
        <w:tblLayout w:type="fixed"/>
        <w:tblLook w:firstColumn="1" w:firstRow="1" w:lastColumn="0" w:lastRow="0" w:noHBand="0" w:noVBand="1" w:val="04A0"/>
        <w:tblBorders>
          <w:top w:val="single" w:sz="4" w:space="0" w:color="B7C2CC"/>
          <w:left w:val="single" w:sz="4" w:space="0" w:color="B7C2CC"/>
          <w:bottom w:val="single" w:sz="4" w:space="0" w:color="B7C2CC"/>
          <w:right w:val="single" w:sz="4" w:space="0" w:color="B7C2CC"/>
          <w:insideH w:val="single" w:sz="4" w:space="0" w:color="B7C2CC"/>
          <w:insideV w:val="single" w:sz="4" w:space="0" w:color="B7C2CC"/>
        </w:tblBorders>
      </w:tblPr>
      <w:tblGrid>
        <w:gridCol w:w="3685"/>
        <w:gridCol w:w="1701"/>
        <w:gridCol w:w="1701"/>
        <w:gridCol w:w="1701"/>
      </w:tblGrid>
      <w:tr>
        <w:trPr>
          <w:tblHeader w:val="true"/>
          <w:cantSplit/>
        </w:trPr>
        <w:tc>
          <w:tcPr>
            <w:tcW w:type="dxa" w:w="3685"/>
            <w:vAlign w:val="center"/>
          </w:tcPr>
          <w:p>
            <w:pPr>
              <w:spacing w:after="0"/>
              <w:jc w:val="center"/>
            </w:pPr>
            <w:r>
              <w:rPr>
                <w:rFonts w:ascii="Arial" w:hAnsi="Arial"/>
                <w:b/>
                <w:sz w:val="15"/>
              </w:rPr>
              <w:t>Variable</w:t>
            </w:r>
          </w:p>
        </w:tc>
        <w:tc>
          <w:tcPr>
            <w:tcW w:type="dxa" w:w="1701"/>
            <w:vAlign w:val="center"/>
          </w:tcPr>
          <w:p>
            <w:pPr>
              <w:spacing w:after="0"/>
              <w:jc w:val="center"/>
            </w:pPr>
            <w:r>
              <w:rPr>
                <w:rFonts w:ascii="Arial" w:hAnsi="Arial"/>
                <w:b/>
                <w:sz w:val="15"/>
              </w:rPr>
              <w:t>Overall</w:t>
            </w:r>
          </w:p>
        </w:tc>
        <w:tc>
          <w:tcPr>
            <w:tcW w:type="dxa" w:w="1701"/>
            <w:vAlign w:val="center"/>
          </w:tcPr>
          <w:p>
            <w:pPr>
              <w:spacing w:after="0"/>
              <w:jc w:val="center"/>
            </w:pPr>
            <w:r>
              <w:rPr>
                <w:rFonts w:ascii="Arial" w:hAnsi="Arial"/>
                <w:b/>
                <w:sz w:val="15"/>
              </w:rPr>
              <w:t>Never use</w:t>
            </w:r>
          </w:p>
        </w:tc>
        <w:tc>
          <w:tcPr>
            <w:tcW w:type="dxa" w:w="1701"/>
            <w:vAlign w:val="center"/>
          </w:tcPr>
          <w:p>
            <w:pPr>
              <w:spacing w:after="0"/>
              <w:jc w:val="center"/>
            </w:pPr>
            <w:r>
              <w:rPr>
                <w:rFonts w:ascii="Arial" w:hAnsi="Arial"/>
                <w:b/>
                <w:sz w:val="15"/>
              </w:rPr>
              <w:t>Ever use</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Menopause status</w:t>
            </w:r>
          </w:p>
        </w:tc>
        <w:tc>
          <w:tcPr>
            <w:tcW w:type="dxa" w:w="1701"/>
            <w:vAlign w:val="center"/>
            <w:tcMar>
              <w:top w:w="60" w:type="dxa"/>
              <w:start w:w="80" w:type="dxa"/>
              <w:bottom w:w="60" w:type="dxa"/>
              <w:end w:w="80" w:type="dxa"/>
            </w:tcMar>
          </w:tcPr>
          <w:p>
            <w:pPr>
              <w:spacing w:after="0" w:line="240" w:lineRule="auto"/>
              <w:jc w:val="center"/>
            </w:pPr>
            <w:r>
              <w:t>42078 (15.8)</w:t>
            </w:r>
          </w:p>
        </w:tc>
        <w:tc>
          <w:tcPr>
            <w:tcW w:type="dxa" w:w="1701"/>
            <w:vAlign w:val="center"/>
            <w:tcMar>
              <w:top w:w="60" w:type="dxa"/>
              <w:start w:w="80" w:type="dxa"/>
              <w:bottom w:w="60" w:type="dxa"/>
              <w:end w:w="80" w:type="dxa"/>
            </w:tcMar>
          </w:tcPr>
          <w:p>
            <w:pPr>
              <w:spacing w:after="0" w:line="240" w:lineRule="auto"/>
              <w:jc w:val="center"/>
            </w:pPr>
            <w:r>
              <w:t>18627 (11.3)</w:t>
            </w:r>
          </w:p>
        </w:tc>
        <w:tc>
          <w:tcPr>
            <w:tcW w:type="dxa" w:w="1701"/>
            <w:vAlign w:val="center"/>
            <w:tcMar>
              <w:top w:w="60" w:type="dxa"/>
              <w:start w:w="80" w:type="dxa"/>
              <w:bottom w:w="60" w:type="dxa"/>
              <w:end w:w="80" w:type="dxa"/>
            </w:tcMar>
          </w:tcPr>
          <w:p>
            <w:pPr>
              <w:spacing w:after="0" w:line="240" w:lineRule="auto"/>
              <w:jc w:val="center"/>
            </w:pPr>
            <w:r>
              <w:t>23451 (23.1)</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Age at menopause</w:t>
            </w:r>
          </w:p>
        </w:tc>
        <w:tc>
          <w:tcPr>
            <w:tcW w:type="dxa" w:w="1701"/>
            <w:vAlign w:val="center"/>
            <w:tcMar>
              <w:top w:w="60" w:type="dxa"/>
              <w:start w:w="80" w:type="dxa"/>
              <w:bottom w:w="60" w:type="dxa"/>
              <w:end w:w="80" w:type="dxa"/>
            </w:tcMar>
          </w:tcPr>
          <w:p>
            <w:pPr>
              <w:spacing w:after="0" w:line="240" w:lineRule="auto"/>
              <w:jc w:val="center"/>
            </w:pPr>
            <w:r>
              <w:t>115180 (43.2)</w:t>
            </w:r>
          </w:p>
        </w:tc>
        <w:tc>
          <w:tcPr>
            <w:tcW w:type="dxa" w:w="1701"/>
            <w:vAlign w:val="center"/>
            <w:tcMar>
              <w:top w:w="60" w:type="dxa"/>
              <w:start w:w="80" w:type="dxa"/>
              <w:bottom w:w="60" w:type="dxa"/>
              <w:end w:w="80" w:type="dxa"/>
            </w:tcMar>
          </w:tcPr>
          <w:p>
            <w:pPr>
              <w:spacing w:after="0" w:line="240" w:lineRule="auto"/>
              <w:jc w:val="center"/>
            </w:pPr>
            <w:r>
              <w:t>82338 (50.0)</w:t>
            </w:r>
          </w:p>
        </w:tc>
        <w:tc>
          <w:tcPr>
            <w:tcW w:type="dxa" w:w="1701"/>
            <w:vAlign w:val="center"/>
            <w:tcMar>
              <w:top w:w="60" w:type="dxa"/>
              <w:start w:w="80" w:type="dxa"/>
              <w:bottom w:w="60" w:type="dxa"/>
              <w:end w:w="80" w:type="dxa"/>
            </w:tcMar>
          </w:tcPr>
          <w:p>
            <w:pPr>
              <w:spacing w:after="0" w:line="240" w:lineRule="auto"/>
              <w:jc w:val="center"/>
            </w:pPr>
            <w:r>
              <w:t>32842 (32.3)</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Body mass index</w:t>
            </w:r>
          </w:p>
        </w:tc>
        <w:tc>
          <w:tcPr>
            <w:tcW w:type="dxa" w:w="1701"/>
            <w:vAlign w:val="center"/>
            <w:tcMar>
              <w:top w:w="60" w:type="dxa"/>
              <w:start w:w="80" w:type="dxa"/>
              <w:bottom w:w="60" w:type="dxa"/>
              <w:end w:w="80" w:type="dxa"/>
            </w:tcMar>
          </w:tcPr>
          <w:p>
            <w:pPr>
              <w:spacing w:after="0" w:line="240" w:lineRule="auto"/>
              <w:jc w:val="center"/>
            </w:pPr>
            <w:r>
              <w:t>1214 (0.5)</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774 (0.5)</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440 (0.4)</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Townsend deprivation index</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375 (0.1)</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245 (0.1)</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130 (0.1)</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Education</w:t>
            </w:r>
          </w:p>
        </w:tc>
        <w:tc>
          <w:tcPr>
            <w:tcW w:type="dxa" w:w="1701"/>
            <w:vAlign w:val="center"/>
            <w:tcMar>
              <w:top w:w="60" w:type="dxa"/>
              <w:start w:w="80" w:type="dxa"/>
              <w:bottom w:w="60" w:type="dxa"/>
              <w:end w:w="80" w:type="dxa"/>
            </w:tcMar>
          </w:tcPr>
          <w:p>
            <w:pPr>
              <w:spacing w:after="0" w:line="240" w:lineRule="auto"/>
              <w:jc w:val="center"/>
            </w:pPr>
            <w:r>
              <w:t>88276 (33.1)</w:t>
            </w:r>
          </w:p>
        </w:tc>
        <w:tc>
          <w:tcPr>
            <w:tcW w:type="dxa" w:w="1701"/>
            <w:vAlign w:val="center"/>
            <w:tcMar>
              <w:top w:w="60" w:type="dxa"/>
              <w:start w:w="80" w:type="dxa"/>
              <w:bottom w:w="60" w:type="dxa"/>
              <w:end w:w="80" w:type="dxa"/>
            </w:tcMar>
          </w:tcPr>
          <w:p>
            <w:pPr>
              <w:spacing w:after="0" w:line="240" w:lineRule="auto"/>
              <w:jc w:val="center"/>
            </w:pPr>
            <w:r>
              <w:t>60743 (36.9)</w:t>
            </w:r>
          </w:p>
        </w:tc>
        <w:tc>
          <w:tcPr>
            <w:tcW w:type="dxa" w:w="1701"/>
            <w:vAlign w:val="center"/>
            <w:tcMar>
              <w:top w:w="60" w:type="dxa"/>
              <w:start w:w="80" w:type="dxa"/>
              <w:bottom w:w="60" w:type="dxa"/>
              <w:end w:w="80" w:type="dxa"/>
            </w:tcMar>
          </w:tcPr>
          <w:p>
            <w:pPr>
              <w:spacing w:after="0" w:line="240" w:lineRule="auto"/>
              <w:jc w:val="center"/>
            </w:pPr>
            <w:r>
              <w:t>27533 (27.1)</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Oral contraceptive use</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643 (0.2)</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424 (0.3)</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219 (0.2)</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Live births</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226 (0.1)</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136 (0.1)</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90 (0.1)</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Age at first live birth</w:t>
            </w:r>
          </w:p>
        </w:tc>
        <w:tc>
          <w:tcPr>
            <w:tcW w:type="dxa" w:w="1701"/>
            <w:vAlign w:val="center"/>
            <w:tcMar>
              <w:top w:w="60" w:type="dxa"/>
              <w:start w:w="80" w:type="dxa"/>
              <w:bottom w:w="60" w:type="dxa"/>
              <w:end w:w="80" w:type="dxa"/>
            </w:tcMar>
          </w:tcPr>
          <w:p>
            <w:pPr>
              <w:spacing w:after="0" w:line="240" w:lineRule="auto"/>
              <w:jc w:val="center"/>
            </w:pPr>
            <w:r>
              <w:t>86198 (32.3)</w:t>
            </w:r>
          </w:p>
        </w:tc>
        <w:tc>
          <w:tcPr>
            <w:tcW w:type="dxa" w:w="1701"/>
            <w:vAlign w:val="center"/>
            <w:tcMar>
              <w:top w:w="60" w:type="dxa"/>
              <w:start w:w="80" w:type="dxa"/>
              <w:bottom w:w="60" w:type="dxa"/>
              <w:end w:w="80" w:type="dxa"/>
            </w:tcMar>
          </w:tcPr>
          <w:p>
            <w:pPr>
              <w:spacing w:after="0" w:line="240" w:lineRule="auto"/>
              <w:jc w:val="center"/>
            </w:pPr>
            <w:r>
              <w:t>57612 (35.0)</w:t>
            </w:r>
          </w:p>
        </w:tc>
        <w:tc>
          <w:tcPr>
            <w:tcW w:type="dxa" w:w="1701"/>
            <w:vAlign w:val="center"/>
            <w:tcMar>
              <w:top w:w="60" w:type="dxa"/>
              <w:start w:w="80" w:type="dxa"/>
              <w:bottom w:w="60" w:type="dxa"/>
              <w:end w:w="80" w:type="dxa"/>
            </w:tcMar>
          </w:tcPr>
          <w:p>
            <w:pPr>
              <w:spacing w:after="0" w:line="240" w:lineRule="auto"/>
              <w:jc w:val="center"/>
            </w:pPr>
            <w:r>
              <w:t>28586 (28.1)</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Age at last live birth</w:t>
            </w:r>
          </w:p>
        </w:tc>
        <w:tc>
          <w:tcPr>
            <w:tcW w:type="dxa" w:w="1701"/>
            <w:vAlign w:val="center"/>
            <w:tcMar>
              <w:top w:w="60" w:type="dxa"/>
              <w:start w:w="80" w:type="dxa"/>
              <w:bottom w:w="60" w:type="dxa"/>
              <w:end w:w="80" w:type="dxa"/>
            </w:tcMar>
          </w:tcPr>
          <w:p>
            <w:pPr>
              <w:spacing w:after="0" w:line="240" w:lineRule="auto"/>
              <w:jc w:val="center"/>
            </w:pPr>
            <w:r>
              <w:t>86561 (32.5)</w:t>
            </w:r>
          </w:p>
        </w:tc>
        <w:tc>
          <w:tcPr>
            <w:tcW w:type="dxa" w:w="1701"/>
            <w:vAlign w:val="center"/>
            <w:tcMar>
              <w:top w:w="60" w:type="dxa"/>
              <w:start w:w="80" w:type="dxa"/>
              <w:bottom w:w="60" w:type="dxa"/>
              <w:end w:w="80" w:type="dxa"/>
            </w:tcMar>
          </w:tcPr>
          <w:p>
            <w:pPr>
              <w:spacing w:after="0" w:line="240" w:lineRule="auto"/>
              <w:jc w:val="center"/>
            </w:pPr>
            <w:r>
              <w:t>57836 (35.1)</w:t>
            </w:r>
          </w:p>
        </w:tc>
        <w:tc>
          <w:tcPr>
            <w:tcW w:type="dxa" w:w="1701"/>
            <w:vAlign w:val="center"/>
            <w:tcMar>
              <w:top w:w="60" w:type="dxa"/>
              <w:start w:w="80" w:type="dxa"/>
              <w:bottom w:w="60" w:type="dxa"/>
              <w:end w:w="80" w:type="dxa"/>
            </w:tcMar>
          </w:tcPr>
          <w:p>
            <w:pPr>
              <w:spacing w:after="0" w:line="240" w:lineRule="auto"/>
              <w:jc w:val="center"/>
            </w:pPr>
            <w:r>
              <w:t>28725 (28.2)</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Stillbirths</w:t>
            </w:r>
          </w:p>
        </w:tc>
        <w:tc>
          <w:tcPr>
            <w:tcW w:type="dxa" w:w="1701"/>
            <w:vAlign w:val="center"/>
            <w:tcMar>
              <w:top w:w="60" w:type="dxa"/>
              <w:start w:w="80" w:type="dxa"/>
              <w:bottom w:w="60" w:type="dxa"/>
              <w:end w:w="80" w:type="dxa"/>
            </w:tcMar>
          </w:tcPr>
          <w:p>
            <w:pPr>
              <w:spacing w:after="0" w:line="240" w:lineRule="auto"/>
              <w:jc w:val="center"/>
            </w:pPr>
            <w:r>
              <w:t>4259 (1.6)</w:t>
            </w:r>
          </w:p>
        </w:tc>
        <w:tc>
          <w:tcPr>
            <w:tcW w:type="dxa" w:w="1701"/>
            <w:vAlign w:val="center"/>
            <w:tcMar>
              <w:top w:w="60" w:type="dxa"/>
              <w:start w:w="80" w:type="dxa"/>
              <w:bottom w:w="60" w:type="dxa"/>
              <w:end w:w="80" w:type="dxa"/>
            </w:tcMar>
          </w:tcPr>
          <w:p>
            <w:pPr>
              <w:spacing w:after="0" w:line="240" w:lineRule="auto"/>
              <w:jc w:val="center"/>
            </w:pPr>
            <w:r>
              <w:t>2756 (1.7)</w:t>
            </w:r>
          </w:p>
        </w:tc>
        <w:tc>
          <w:tcPr>
            <w:tcW w:type="dxa" w:w="1701"/>
            <w:vAlign w:val="center"/>
            <w:tcMar>
              <w:top w:w="60" w:type="dxa"/>
              <w:start w:w="80" w:type="dxa"/>
              <w:bottom w:w="60" w:type="dxa"/>
              <w:end w:w="80" w:type="dxa"/>
            </w:tcMar>
          </w:tcPr>
          <w:p>
            <w:pPr>
              <w:spacing w:after="0" w:line="240" w:lineRule="auto"/>
              <w:jc w:val="center"/>
            </w:pPr>
            <w:r>
              <w:t>1503 (1.5)</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Spontaneous abortions</w:t>
            </w:r>
          </w:p>
        </w:tc>
        <w:tc>
          <w:tcPr>
            <w:tcW w:type="dxa" w:w="1701"/>
            <w:vAlign w:val="center"/>
            <w:tcMar>
              <w:top w:w="60" w:type="dxa"/>
              <w:start w:w="80" w:type="dxa"/>
              <w:bottom w:w="60" w:type="dxa"/>
              <w:end w:w="80" w:type="dxa"/>
            </w:tcMar>
          </w:tcPr>
          <w:p>
            <w:pPr>
              <w:spacing w:after="0" w:line="240" w:lineRule="auto"/>
              <w:jc w:val="center"/>
            </w:pPr>
            <w:r>
              <w:t>165047 (61.9)</w:t>
            </w:r>
          </w:p>
        </w:tc>
        <w:tc>
          <w:tcPr>
            <w:tcW w:type="dxa" w:w="1701"/>
            <w:vAlign w:val="center"/>
            <w:tcMar>
              <w:top w:w="60" w:type="dxa"/>
              <w:start w:w="80" w:type="dxa"/>
              <w:bottom w:w="60" w:type="dxa"/>
              <w:end w:w="80" w:type="dxa"/>
            </w:tcMar>
          </w:tcPr>
          <w:p>
            <w:pPr>
              <w:spacing w:after="0" w:line="240" w:lineRule="auto"/>
              <w:jc w:val="center"/>
            </w:pPr>
            <w:r>
              <w:t>91224 (55.3)</w:t>
            </w:r>
          </w:p>
        </w:tc>
        <w:tc>
          <w:tcPr>
            <w:tcW w:type="dxa" w:w="1701"/>
            <w:vAlign w:val="center"/>
            <w:tcMar>
              <w:top w:w="60" w:type="dxa"/>
              <w:start w:w="80" w:type="dxa"/>
              <w:bottom w:w="60" w:type="dxa"/>
              <w:end w:w="80" w:type="dxa"/>
            </w:tcMar>
          </w:tcPr>
          <w:p>
            <w:pPr>
              <w:spacing w:after="0" w:line="240" w:lineRule="auto"/>
              <w:jc w:val="center"/>
            </w:pPr>
            <w:r>
              <w:t>73823 (72.6)</w:t>
            </w:r>
          </w:p>
        </w:tc>
      </w:tr>
      <w:tr>
        <w:trPr>
          <w:cantSplit/>
        </w:trPr>
        <w:tc>
          <w:tcPr>
            <w:tcW w:type="dxa" w:w="3685"/>
            <w:vAlign w:val="center"/>
            <w:tcMar>
              <w:top w:w="60" w:type="dxa"/>
              <w:start w:w="80" w:type="dxa"/>
              <w:bottom w:w="60" w:type="dxa"/>
              <w:end w:w="80" w:type="dxa"/>
            </w:tcMar>
          </w:tcPr>
          <w:p>
            <w:pPr>
              <w:spacing w:after="0" w:line="240" w:lineRule="auto"/>
              <w:jc w:val="left"/>
            </w:pPr>
            <w:r>
              <w:rPr>
                <w:rFonts w:ascii="Arial" w:hAnsi="Arial"/>
                <w:sz w:val="15"/>
              </w:rPr>
              <w:t>Pregnancy terminations</w:t>
            </w:r>
          </w:p>
        </w:tc>
        <w:tc>
          <w:tcPr>
            <w:tcW w:type="dxa" w:w="1701"/>
            <w:vAlign w:val="center"/>
            <w:tcMar>
              <w:top w:w="60" w:type="dxa"/>
              <w:start w:w="80" w:type="dxa"/>
              <w:bottom w:w="60" w:type="dxa"/>
              <w:end w:w="80" w:type="dxa"/>
            </w:tcMar>
          </w:tcPr>
          <w:p>
            <w:pPr>
              <w:spacing w:after="0" w:line="240" w:lineRule="auto"/>
              <w:jc w:val="center"/>
            </w:pPr>
            <w:r>
              <w:t>259995 (97.5)</w:t>
            </w:r>
          </w:p>
        </w:tc>
        <w:tc>
          <w:tcPr>
            <w:tcW w:type="dxa" w:w="1701"/>
            <w:vAlign w:val="center"/>
            <w:tcMar>
              <w:top w:w="60" w:type="dxa"/>
              <w:start w:w="80" w:type="dxa"/>
              <w:bottom w:w="60" w:type="dxa"/>
              <w:end w:w="80" w:type="dxa"/>
            </w:tcMar>
          </w:tcPr>
          <w:p>
            <w:pPr>
              <w:spacing w:after="0" w:line="240" w:lineRule="auto"/>
              <w:jc w:val="center"/>
            </w:pPr>
            <w:r>
              <w:t>159849 (97.0)</w:t>
            </w:r>
          </w:p>
        </w:tc>
        <w:tc>
          <w:tcPr>
            <w:tcW w:type="dxa" w:w="1701"/>
            <w:vAlign w:val="center"/>
            <w:tcMar>
              <w:top w:w="60" w:type="dxa"/>
              <w:start w:w="80" w:type="dxa"/>
              <w:bottom w:w="60" w:type="dxa"/>
              <w:end w:w="80" w:type="dxa"/>
            </w:tcMar>
          </w:tcPr>
          <w:p>
            <w:pPr>
              <w:spacing w:after="0" w:line="240" w:lineRule="auto"/>
              <w:jc w:val="center"/>
            </w:pPr>
            <w:r>
              <w:t>100146 (98.4)</w:t>
            </w:r>
          </w:p>
        </w:tc>
      </w:tr>
    </w:tbl>
    <w:p>
      <w:pPr>
        <w:spacing w:before="40" w:after="140" w:line="240" w:lineRule="auto"/>
      </w:pPr>
      <w:r>
        <w:rPr>
          <w:rFonts w:ascii="Arial" w:hAnsi="Arial"/>
          <w:sz w:val="17"/>
        </w:rPr>
        <w:t>Values are missing n (%). Pregnancy termination data were 97.5% missing and were included only in a sensitivity model with imputation and a missingness indicator.</w:t>
      </w:r>
    </w:p>
    <w:p>
      <w:r>
        <w:br w:type="page"/>
      </w:r>
    </w:p>
    <w:p>
      <w:pPr>
        <w:spacing w:before="160" w:after="80"/>
        <w:keepNext/>
      </w:pPr>
      <w:r>
        <w:rPr>
          <w:b/>
        </w:rPr>
        <w:t>Table S2. Baseline hormone therapy recency contrasts for recorded urticaria</w:t>
      </w:r>
    </w:p>
    <w:tbl>
      <w:tblPr>
        <w:tblW w:type="auto" w:w="0"/>
        <w:jc w:val="center"/>
        <w:tblLayout w:type="fixed"/>
        <w:tblLook w:firstColumn="1" w:firstRow="1" w:lastColumn="0" w:lastRow="0" w:noHBand="0" w:noVBand="1" w:val="04A0"/>
        <w:tblBorders>
          <w:top w:val="single" w:sz="4" w:space="0" w:color="B7C2CC"/>
          <w:left w:val="single" w:sz="4" w:space="0" w:color="B7C2CC"/>
          <w:bottom w:val="single" w:sz="4" w:space="0" w:color="B7C2CC"/>
          <w:right w:val="single" w:sz="4" w:space="0" w:color="B7C2CC"/>
          <w:insideH w:val="single" w:sz="4" w:space="0" w:color="B7C2CC"/>
          <w:insideV w:val="single" w:sz="4" w:space="0" w:color="B7C2CC"/>
        </w:tblBorders>
      </w:tblPr>
      <w:tblGrid>
        <w:gridCol w:w="2551"/>
        <w:gridCol w:w="1134"/>
        <w:gridCol w:w="850"/>
        <w:gridCol w:w="2551"/>
        <w:gridCol w:w="1701"/>
      </w:tblGrid>
      <w:tr>
        <w:trPr>
          <w:tblHeader w:val="true"/>
          <w:cantSplit/>
        </w:trPr>
        <w:tc>
          <w:tcPr>
            <w:tcW w:type="dxa" w:w="2551"/>
            <w:vAlign w:val="center"/>
          </w:tcPr>
          <w:p>
            <w:pPr>
              <w:spacing w:after="0"/>
              <w:jc w:val="center"/>
            </w:pPr>
            <w:r>
              <w:rPr>
                <w:rFonts w:ascii="Arial" w:hAnsi="Arial"/>
                <w:b/>
                <w:sz w:val="15"/>
              </w:rPr>
              <w:t>Contrast</w:t>
            </w:r>
          </w:p>
        </w:tc>
        <w:tc>
          <w:tcPr>
            <w:tcW w:type="dxa" w:w="1134"/>
            <w:vAlign w:val="center"/>
          </w:tcPr>
          <w:p>
            <w:pPr>
              <w:spacing w:after="0"/>
              <w:jc w:val="center"/>
            </w:pPr>
            <w:r>
              <w:rPr>
                <w:rFonts w:ascii="Arial" w:hAnsi="Arial"/>
                <w:b/>
                <w:sz w:val="15"/>
              </w:rPr>
              <w:t>N</w:t>
            </w:r>
          </w:p>
        </w:tc>
        <w:tc>
          <w:tcPr>
            <w:tcW w:type="dxa" w:w="850"/>
            <w:vAlign w:val="center"/>
          </w:tcPr>
          <w:p>
            <w:pPr>
              <w:spacing w:after="0"/>
              <w:jc w:val="center"/>
            </w:pPr>
            <w:r>
              <w:rPr>
                <w:rFonts w:ascii="Arial" w:hAnsi="Arial"/>
                <w:b/>
                <w:sz w:val="15"/>
              </w:rPr>
              <w:t>Events</w:t>
            </w:r>
          </w:p>
        </w:tc>
        <w:tc>
          <w:tcPr>
            <w:tcW w:type="dxa" w:w="2551"/>
            <w:vAlign w:val="center"/>
          </w:tcPr>
          <w:p>
            <w:pPr>
              <w:spacing w:after="0"/>
              <w:jc w:val="center"/>
            </w:pPr>
            <w:r>
              <w:rPr>
                <w:rFonts w:ascii="Arial" w:hAnsi="Arial"/>
                <w:b/>
                <w:sz w:val="15"/>
              </w:rPr>
              <w:t>HR (95% CI)</w:t>
            </w:r>
          </w:p>
        </w:tc>
        <w:tc>
          <w:tcPr>
            <w:tcW w:type="dxa" w:w="1701"/>
            <w:vAlign w:val="center"/>
          </w:tcPr>
          <w:p>
            <w:pPr>
              <w:spacing w:after="0"/>
              <w:jc w:val="center"/>
            </w:pPr>
            <w:r>
              <w:rPr>
                <w:rFonts w:ascii="Arial" w:hAnsi="Arial"/>
                <w:b/>
                <w:sz w:val="15"/>
              </w:rPr>
              <w:t>P value</w:t>
            </w:r>
          </w:p>
        </w:tc>
      </w:tr>
      <w:tr>
        <w:trPr>
          <w:cantSplit/>
        </w:trPr>
        <w:tc>
          <w:tcPr>
            <w:tcW w:type="dxa" w:w="2551"/>
            <w:vAlign w:val="center"/>
            <w:tcMar>
              <w:top w:w="60" w:type="dxa"/>
              <w:start w:w="80" w:type="dxa"/>
              <w:bottom w:w="60" w:type="dxa"/>
              <w:end w:w="80" w:type="dxa"/>
            </w:tcMar>
          </w:tcPr>
          <w:p>
            <w:pPr>
              <w:spacing w:after="0" w:line="240" w:lineRule="auto"/>
              <w:jc w:val="left"/>
            </w:pPr>
            <w:r>
              <w:rPr>
                <w:rFonts w:ascii="Arial" w:hAnsi="Arial"/>
                <w:sz w:val="15"/>
              </w:rPr>
              <w:t>Former vs never</w:t>
            </w:r>
          </w:p>
        </w:tc>
        <w:tc>
          <w:tcPr>
            <w:tcW w:type="dxa" w:w="1134"/>
            <w:vAlign w:val="center"/>
            <w:tcMar>
              <w:top w:w="60" w:type="dxa"/>
              <w:start w:w="80" w:type="dxa"/>
              <w:bottom w:w="60" w:type="dxa"/>
              <w:end w:w="80" w:type="dxa"/>
            </w:tcMar>
          </w:tcPr>
          <w:p>
            <w:pPr>
              <w:spacing w:after="0" w:line="240" w:lineRule="auto"/>
              <w:jc w:val="center"/>
            </w:pPr>
            <w:r>
              <w:t>266560</w:t>
            </w:r>
          </w:p>
        </w:tc>
        <w:tc>
          <w:tcPr>
            <w:tcW w:type="dxa" w:w="850"/>
            <w:vAlign w:val="center"/>
            <w:tcMar>
              <w:top w:w="60" w:type="dxa"/>
              <w:start w:w="80" w:type="dxa"/>
              <w:bottom w:w="60" w:type="dxa"/>
              <w:end w:w="80" w:type="dxa"/>
            </w:tcMar>
          </w:tcPr>
          <w:p>
            <w:pPr>
              <w:spacing w:after="0" w:line="240" w:lineRule="auto"/>
              <w:jc w:val="center"/>
            </w:pPr>
            <w:r>
              <w:t>2404</w:t>
            </w:r>
          </w:p>
        </w:tc>
        <w:tc>
          <w:tcPr>
            <w:tcW w:type="dxa" w:w="2551"/>
            <w:vAlign w:val="center"/>
            <w:tcMar>
              <w:top w:w="60" w:type="dxa"/>
              <w:start w:w="80" w:type="dxa"/>
              <w:bottom w:w="60" w:type="dxa"/>
              <w:end w:w="80" w:type="dxa"/>
            </w:tcMar>
          </w:tcPr>
          <w:p>
            <w:pPr>
              <w:spacing w:after="0" w:line="240" w:lineRule="auto"/>
              <w:jc w:val="center"/>
            </w:pPr>
            <w:r>
              <w:rPr>
                <w:rFonts w:ascii="Arial" w:hAnsi="Arial"/>
                <w:sz w:val="15"/>
              </w:rPr>
              <w:t>1.123 (1.014 to 1.244)</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0.02566</w:t>
            </w:r>
          </w:p>
        </w:tc>
      </w:tr>
      <w:tr>
        <w:trPr>
          <w:cantSplit/>
        </w:trPr>
        <w:tc>
          <w:tcPr>
            <w:tcW w:type="dxa" w:w="2551"/>
            <w:vAlign w:val="center"/>
            <w:tcMar>
              <w:top w:w="60" w:type="dxa"/>
              <w:start w:w="80" w:type="dxa"/>
              <w:bottom w:w="60" w:type="dxa"/>
              <w:end w:w="80" w:type="dxa"/>
            </w:tcMar>
          </w:tcPr>
          <w:p>
            <w:pPr>
              <w:spacing w:after="0" w:line="240" w:lineRule="auto"/>
              <w:jc w:val="left"/>
            </w:pPr>
            <w:r>
              <w:rPr>
                <w:rFonts w:ascii="Arial" w:hAnsi="Arial"/>
                <w:sz w:val="15"/>
              </w:rPr>
              <w:t>Current vs never</w:t>
            </w:r>
          </w:p>
        </w:tc>
        <w:tc>
          <w:tcPr>
            <w:tcW w:type="dxa" w:w="1134"/>
            <w:vAlign w:val="center"/>
            <w:tcMar>
              <w:top w:w="60" w:type="dxa"/>
              <w:start w:w="80" w:type="dxa"/>
              <w:bottom w:w="60" w:type="dxa"/>
              <w:end w:w="80" w:type="dxa"/>
            </w:tcMar>
          </w:tcPr>
          <w:p>
            <w:pPr>
              <w:spacing w:after="0" w:line="240" w:lineRule="auto"/>
              <w:jc w:val="center"/>
            </w:pPr>
            <w:r>
              <w:t>266560</w:t>
            </w:r>
          </w:p>
        </w:tc>
        <w:tc>
          <w:tcPr>
            <w:tcW w:type="dxa" w:w="850"/>
            <w:vAlign w:val="center"/>
            <w:tcMar>
              <w:top w:w="60" w:type="dxa"/>
              <w:start w:w="80" w:type="dxa"/>
              <w:bottom w:w="60" w:type="dxa"/>
              <w:end w:w="80" w:type="dxa"/>
            </w:tcMar>
          </w:tcPr>
          <w:p>
            <w:pPr>
              <w:spacing w:after="0" w:line="240" w:lineRule="auto"/>
              <w:jc w:val="center"/>
            </w:pPr>
            <w:r>
              <w:t>2404</w:t>
            </w:r>
          </w:p>
        </w:tc>
        <w:tc>
          <w:tcPr>
            <w:tcW w:type="dxa" w:w="2551"/>
            <w:vAlign w:val="center"/>
            <w:tcMar>
              <w:top w:w="60" w:type="dxa"/>
              <w:start w:w="80" w:type="dxa"/>
              <w:bottom w:w="60" w:type="dxa"/>
              <w:end w:w="80" w:type="dxa"/>
            </w:tcMar>
          </w:tcPr>
          <w:p>
            <w:pPr>
              <w:spacing w:after="0" w:line="240" w:lineRule="auto"/>
              <w:jc w:val="center"/>
            </w:pPr>
            <w:r>
              <w:rPr>
                <w:rFonts w:ascii="Arial" w:hAnsi="Arial"/>
                <w:sz w:val="15"/>
              </w:rPr>
              <w:t>1.341 (1.135 to 1.583)</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0.0005504</w:t>
            </w:r>
          </w:p>
        </w:tc>
      </w:tr>
      <w:tr>
        <w:trPr>
          <w:cantSplit/>
        </w:trPr>
        <w:tc>
          <w:tcPr>
            <w:tcW w:type="dxa" w:w="2551"/>
            <w:vAlign w:val="center"/>
            <w:tcMar>
              <w:top w:w="60" w:type="dxa"/>
              <w:start w:w="80" w:type="dxa"/>
              <w:bottom w:w="60" w:type="dxa"/>
              <w:end w:w="80" w:type="dxa"/>
            </w:tcMar>
          </w:tcPr>
          <w:p>
            <w:pPr>
              <w:spacing w:after="0" w:line="240" w:lineRule="auto"/>
              <w:jc w:val="left"/>
            </w:pPr>
            <w:r>
              <w:rPr>
                <w:rFonts w:ascii="Arial" w:hAnsi="Arial"/>
                <w:sz w:val="15"/>
              </w:rPr>
              <w:t>Unknown recency vs never</w:t>
            </w:r>
          </w:p>
        </w:tc>
        <w:tc>
          <w:tcPr>
            <w:tcW w:type="dxa" w:w="1134"/>
            <w:vAlign w:val="center"/>
            <w:tcMar>
              <w:top w:w="60" w:type="dxa"/>
              <w:start w:w="80" w:type="dxa"/>
              <w:bottom w:w="60" w:type="dxa"/>
              <w:end w:w="80" w:type="dxa"/>
            </w:tcMar>
          </w:tcPr>
          <w:p>
            <w:pPr>
              <w:spacing w:after="0" w:line="240" w:lineRule="auto"/>
              <w:jc w:val="center"/>
            </w:pPr>
            <w:r>
              <w:t>266560</w:t>
            </w:r>
          </w:p>
        </w:tc>
        <w:tc>
          <w:tcPr>
            <w:tcW w:type="dxa" w:w="850"/>
            <w:vAlign w:val="center"/>
            <w:tcMar>
              <w:top w:w="60" w:type="dxa"/>
              <w:start w:w="80" w:type="dxa"/>
              <w:bottom w:w="60" w:type="dxa"/>
              <w:end w:w="80" w:type="dxa"/>
            </w:tcMar>
          </w:tcPr>
          <w:p>
            <w:pPr>
              <w:spacing w:after="0" w:line="240" w:lineRule="auto"/>
              <w:jc w:val="center"/>
            </w:pPr>
            <w:r>
              <w:t>2404</w:t>
            </w:r>
          </w:p>
        </w:tc>
        <w:tc>
          <w:tcPr>
            <w:tcW w:type="dxa" w:w="2551"/>
            <w:vAlign w:val="center"/>
            <w:tcMar>
              <w:top w:w="60" w:type="dxa"/>
              <w:start w:w="80" w:type="dxa"/>
              <w:bottom w:w="60" w:type="dxa"/>
              <w:end w:w="80" w:type="dxa"/>
            </w:tcMar>
          </w:tcPr>
          <w:p>
            <w:pPr>
              <w:spacing w:after="0" w:line="240" w:lineRule="auto"/>
              <w:jc w:val="center"/>
            </w:pPr>
            <w:r>
              <w:rPr>
                <w:rFonts w:ascii="Arial" w:hAnsi="Arial"/>
                <w:sz w:val="15"/>
              </w:rPr>
              <w:t>1.087 (0.876 to 1.348)</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0.4505</w:t>
            </w:r>
          </w:p>
        </w:tc>
      </w:tr>
    </w:tbl>
    <w:p>
      <w:pPr>
        <w:spacing w:before="40" w:after="140" w:line="240" w:lineRule="auto"/>
      </w:pPr>
      <w:r>
        <w:rPr>
          <w:rFonts w:ascii="Arial" w:hAnsi="Arial"/>
          <w:sz w:val="17"/>
        </w:rPr>
        <w:t>Never use was the reference. Categories were defined at baseline and were not time-updated. HR, hazard ratio; CI, confidence interval.</w:t>
      </w:r>
    </w:p>
    <w:p>
      <w:r>
        <w:br w:type="page"/>
      </w:r>
    </w:p>
    <w:p>
      <w:pPr>
        <w:spacing w:before="160" w:after="80"/>
        <w:keepNext/>
      </w:pPr>
      <w:r>
        <w:rPr>
          <w:b/>
        </w:rPr>
        <w:t>Table S3. Complete sensitivity estimates for recorded urticaria</w:t>
      </w:r>
    </w:p>
    <w:tbl>
      <w:tblPr>
        <w:tblW w:type="auto" w:w="0"/>
        <w:jc w:val="center"/>
        <w:tblLayout w:type="fixed"/>
        <w:tblLook w:firstColumn="1" w:firstRow="1" w:lastColumn="0" w:lastRow="0" w:noHBand="0" w:noVBand="1" w:val="04A0"/>
        <w:tblBorders>
          <w:top w:val="single" w:sz="4" w:space="0" w:color="B7C2CC"/>
          <w:left w:val="single" w:sz="4" w:space="0" w:color="B7C2CC"/>
          <w:bottom w:val="single" w:sz="4" w:space="0" w:color="B7C2CC"/>
          <w:right w:val="single" w:sz="4" w:space="0" w:color="B7C2CC"/>
          <w:insideH w:val="single" w:sz="4" w:space="0" w:color="B7C2CC"/>
          <w:insideV w:val="single" w:sz="4" w:space="0" w:color="B7C2CC"/>
        </w:tblBorders>
      </w:tblPr>
      <w:tblGrid>
        <w:gridCol w:w="2835"/>
        <w:gridCol w:w="1020"/>
        <w:gridCol w:w="793"/>
        <w:gridCol w:w="2438"/>
        <w:gridCol w:w="1701"/>
      </w:tblGrid>
      <w:tr>
        <w:trPr>
          <w:tblHeader w:val="true"/>
          <w:cantSplit/>
        </w:trPr>
        <w:tc>
          <w:tcPr>
            <w:tcW w:type="dxa" w:w="2835"/>
            <w:vAlign w:val="center"/>
          </w:tcPr>
          <w:p>
            <w:pPr>
              <w:spacing w:after="0"/>
              <w:jc w:val="center"/>
            </w:pPr>
            <w:r>
              <w:rPr>
                <w:rFonts w:ascii="Arial" w:hAnsi="Arial"/>
                <w:b/>
                <w:sz w:val="14"/>
              </w:rPr>
              <w:t>Analysis</w:t>
            </w:r>
          </w:p>
        </w:tc>
        <w:tc>
          <w:tcPr>
            <w:tcW w:type="dxa" w:w="1020"/>
            <w:vAlign w:val="center"/>
          </w:tcPr>
          <w:p>
            <w:pPr>
              <w:spacing w:after="0"/>
              <w:jc w:val="center"/>
            </w:pPr>
            <w:r>
              <w:rPr>
                <w:rFonts w:ascii="Arial" w:hAnsi="Arial"/>
                <w:b/>
                <w:sz w:val="14"/>
              </w:rPr>
              <w:t>N</w:t>
            </w:r>
          </w:p>
        </w:tc>
        <w:tc>
          <w:tcPr>
            <w:tcW w:type="dxa" w:w="793"/>
            <w:vAlign w:val="center"/>
          </w:tcPr>
          <w:p>
            <w:pPr>
              <w:spacing w:after="0"/>
              <w:jc w:val="center"/>
            </w:pPr>
            <w:r>
              <w:rPr>
                <w:rFonts w:ascii="Arial" w:hAnsi="Arial"/>
                <w:b/>
                <w:sz w:val="14"/>
              </w:rPr>
              <w:t>Events</w:t>
            </w:r>
          </w:p>
        </w:tc>
        <w:tc>
          <w:tcPr>
            <w:tcW w:type="dxa" w:w="2438"/>
            <w:vAlign w:val="center"/>
          </w:tcPr>
          <w:p>
            <w:pPr>
              <w:spacing w:after="0"/>
              <w:jc w:val="center"/>
            </w:pPr>
            <w:r>
              <w:rPr>
                <w:rFonts w:ascii="Arial" w:hAnsi="Arial"/>
                <w:b/>
                <w:sz w:val="14"/>
              </w:rPr>
              <w:t>HR (95% CI)</w:t>
            </w:r>
          </w:p>
        </w:tc>
        <w:tc>
          <w:tcPr>
            <w:tcW w:type="dxa" w:w="1701"/>
            <w:vAlign w:val="center"/>
          </w:tcPr>
          <w:p>
            <w:pPr>
              <w:spacing w:after="0"/>
              <w:jc w:val="center"/>
            </w:pPr>
            <w:r>
              <w:rPr>
                <w:rFonts w:ascii="Arial" w:hAnsi="Arial"/>
                <w:b/>
                <w:sz w:val="14"/>
              </w:rPr>
              <w:t>P value</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Primary adjusted Cox model</w:t>
            </w:r>
          </w:p>
        </w:tc>
        <w:tc>
          <w:tcPr>
            <w:tcW w:type="dxa" w:w="1020"/>
            <w:vAlign w:val="center"/>
            <w:tcMar>
              <w:top w:w="60" w:type="dxa"/>
              <w:start w:w="80" w:type="dxa"/>
              <w:bottom w:w="60" w:type="dxa"/>
              <w:end w:w="80" w:type="dxa"/>
            </w:tcMar>
          </w:tcPr>
          <w:p>
            <w:pPr>
              <w:spacing w:after="0" w:line="240" w:lineRule="auto"/>
              <w:jc w:val="center"/>
            </w:pPr>
            <w:r>
              <w:t>266560</w:t>
            </w:r>
          </w:p>
        </w:tc>
        <w:tc>
          <w:tcPr>
            <w:tcW w:type="dxa" w:w="793"/>
            <w:vAlign w:val="center"/>
            <w:tcMar>
              <w:top w:w="60" w:type="dxa"/>
              <w:start w:w="80" w:type="dxa"/>
              <w:bottom w:w="60" w:type="dxa"/>
              <w:end w:w="80" w:type="dxa"/>
            </w:tcMar>
          </w:tcPr>
          <w:p>
            <w:pPr>
              <w:spacing w:after="0" w:line="240" w:lineRule="auto"/>
              <w:jc w:val="center"/>
            </w:pPr>
            <w:r>
              <w:t>2404</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1.156 (1.051 to 1.270)</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0.002703</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Two-year lag</w:t>
            </w:r>
          </w:p>
        </w:tc>
        <w:tc>
          <w:tcPr>
            <w:tcW w:type="dxa" w:w="1020"/>
            <w:vAlign w:val="center"/>
            <w:tcMar>
              <w:top w:w="60" w:type="dxa"/>
              <w:start w:w="80" w:type="dxa"/>
              <w:bottom w:w="60" w:type="dxa"/>
              <w:end w:w="80" w:type="dxa"/>
            </w:tcMar>
          </w:tcPr>
          <w:p>
            <w:pPr>
              <w:spacing w:after="0" w:line="240" w:lineRule="auto"/>
              <w:jc w:val="center"/>
            </w:pPr>
            <w:r>
              <w:t>265066</w:t>
            </w:r>
          </w:p>
        </w:tc>
        <w:tc>
          <w:tcPr>
            <w:tcW w:type="dxa" w:w="793"/>
            <w:vAlign w:val="center"/>
            <w:tcMar>
              <w:top w:w="60" w:type="dxa"/>
              <w:start w:w="80" w:type="dxa"/>
              <w:bottom w:w="60" w:type="dxa"/>
              <w:end w:w="80" w:type="dxa"/>
            </w:tcMar>
          </w:tcPr>
          <w:p>
            <w:pPr>
              <w:spacing w:after="0" w:line="240" w:lineRule="auto"/>
              <w:jc w:val="center"/>
            </w:pPr>
            <w:r>
              <w:t>1790</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1.133 (1.015 to 1.264)</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0.02551</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Five-year lag</w:t>
            </w:r>
          </w:p>
        </w:tc>
        <w:tc>
          <w:tcPr>
            <w:tcW w:type="dxa" w:w="1020"/>
            <w:vAlign w:val="center"/>
            <w:tcMar>
              <w:top w:w="60" w:type="dxa"/>
              <w:start w:w="80" w:type="dxa"/>
              <w:bottom w:w="60" w:type="dxa"/>
              <w:end w:w="80" w:type="dxa"/>
            </w:tcMar>
          </w:tcPr>
          <w:p>
            <w:pPr>
              <w:spacing w:after="0" w:line="240" w:lineRule="auto"/>
              <w:jc w:val="center"/>
            </w:pPr>
            <w:r>
              <w:t>261680</w:t>
            </w:r>
          </w:p>
        </w:tc>
        <w:tc>
          <w:tcPr>
            <w:tcW w:type="dxa" w:w="793"/>
            <w:vAlign w:val="center"/>
            <w:tcMar>
              <w:top w:w="60" w:type="dxa"/>
              <w:start w:w="80" w:type="dxa"/>
              <w:bottom w:w="60" w:type="dxa"/>
              <w:end w:w="80" w:type="dxa"/>
            </w:tcMar>
          </w:tcPr>
          <w:p>
            <w:pPr>
              <w:spacing w:after="0" w:line="240" w:lineRule="auto"/>
              <w:jc w:val="center"/>
            </w:pPr>
            <w:r>
              <w:rPr>
                <w:rFonts w:ascii="Arial" w:hAnsi="Arial"/>
                <w:sz w:val="14"/>
              </w:rPr>
              <w:t>870</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1.171 (1.002 to 1.368)</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0.04783</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General-practice-linked subset</w:t>
            </w:r>
          </w:p>
        </w:tc>
        <w:tc>
          <w:tcPr>
            <w:tcW w:type="dxa" w:w="1020"/>
            <w:vAlign w:val="center"/>
            <w:tcMar>
              <w:top w:w="60" w:type="dxa"/>
              <w:start w:w="80" w:type="dxa"/>
              <w:bottom w:w="60" w:type="dxa"/>
              <w:end w:w="80" w:type="dxa"/>
            </w:tcMar>
          </w:tcPr>
          <w:p>
            <w:pPr>
              <w:spacing w:after="0" w:line="240" w:lineRule="auto"/>
              <w:jc w:val="center"/>
            </w:pPr>
            <w:r>
              <w:t>119675</w:t>
            </w:r>
          </w:p>
        </w:tc>
        <w:tc>
          <w:tcPr>
            <w:tcW w:type="dxa" w:w="793"/>
            <w:vAlign w:val="center"/>
            <w:tcMar>
              <w:top w:w="60" w:type="dxa"/>
              <w:start w:w="80" w:type="dxa"/>
              <w:bottom w:w="60" w:type="dxa"/>
              <w:end w:w="80" w:type="dxa"/>
            </w:tcMar>
          </w:tcPr>
          <w:p>
            <w:pPr>
              <w:spacing w:after="0" w:line="240" w:lineRule="auto"/>
              <w:jc w:val="center"/>
            </w:pPr>
            <w:r>
              <w:t>2167</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1.156 (1.046 to 1.277)</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0.004383</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Hospital-only outcome</w:t>
            </w:r>
          </w:p>
        </w:tc>
        <w:tc>
          <w:tcPr>
            <w:tcW w:type="dxa" w:w="1020"/>
            <w:vAlign w:val="center"/>
            <w:tcMar>
              <w:top w:w="60" w:type="dxa"/>
              <w:start w:w="80" w:type="dxa"/>
              <w:bottom w:w="60" w:type="dxa"/>
              <w:end w:w="80" w:type="dxa"/>
            </w:tcMar>
          </w:tcPr>
          <w:p>
            <w:pPr>
              <w:spacing w:after="0" w:line="240" w:lineRule="auto"/>
              <w:jc w:val="center"/>
            </w:pPr>
            <w:r>
              <w:t>271506</w:t>
            </w:r>
          </w:p>
        </w:tc>
        <w:tc>
          <w:tcPr>
            <w:tcW w:type="dxa" w:w="793"/>
            <w:vAlign w:val="center"/>
            <w:tcMar>
              <w:top w:w="60" w:type="dxa"/>
              <w:start w:w="80" w:type="dxa"/>
              <w:bottom w:w="60" w:type="dxa"/>
              <w:end w:w="80" w:type="dxa"/>
            </w:tcMar>
          </w:tcPr>
          <w:p>
            <w:pPr>
              <w:spacing w:after="0" w:line="240" w:lineRule="auto"/>
              <w:jc w:val="center"/>
            </w:pPr>
            <w:r>
              <w:rPr>
                <w:rFonts w:ascii="Arial" w:hAnsi="Arial"/>
                <w:sz w:val="14"/>
              </w:rPr>
              <w:t>422</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1.219 (0.973 to 1.527)</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0.08441</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Additional C-reactive protein adjustment</w:t>
            </w:r>
          </w:p>
        </w:tc>
        <w:tc>
          <w:tcPr>
            <w:tcW w:type="dxa" w:w="1020"/>
            <w:vAlign w:val="center"/>
            <w:tcMar>
              <w:top w:w="60" w:type="dxa"/>
              <w:start w:w="80" w:type="dxa"/>
              <w:bottom w:w="60" w:type="dxa"/>
              <w:end w:w="80" w:type="dxa"/>
            </w:tcMar>
          </w:tcPr>
          <w:p>
            <w:pPr>
              <w:spacing w:after="0" w:line="240" w:lineRule="auto"/>
              <w:jc w:val="center"/>
            </w:pPr>
            <w:r>
              <w:t>266560</w:t>
            </w:r>
          </w:p>
        </w:tc>
        <w:tc>
          <w:tcPr>
            <w:tcW w:type="dxa" w:w="793"/>
            <w:vAlign w:val="center"/>
            <w:tcMar>
              <w:top w:w="60" w:type="dxa"/>
              <w:start w:w="80" w:type="dxa"/>
              <w:bottom w:w="60" w:type="dxa"/>
              <w:end w:w="80" w:type="dxa"/>
            </w:tcMar>
          </w:tcPr>
          <w:p>
            <w:pPr>
              <w:spacing w:after="0" w:line="240" w:lineRule="auto"/>
              <w:jc w:val="center"/>
            </w:pPr>
            <w:r>
              <w:t>2404</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1.150 (1.046 to 1.264)</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0.003711</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Complete cases</w:t>
            </w:r>
          </w:p>
        </w:tc>
        <w:tc>
          <w:tcPr>
            <w:tcW w:type="dxa" w:w="1020"/>
            <w:vAlign w:val="center"/>
            <w:tcMar>
              <w:top w:w="60" w:type="dxa"/>
              <w:start w:w="80" w:type="dxa"/>
              <w:bottom w:w="60" w:type="dxa"/>
              <w:end w:w="80" w:type="dxa"/>
            </w:tcMar>
          </w:tcPr>
          <w:p>
            <w:pPr>
              <w:spacing w:after="0" w:line="240" w:lineRule="auto"/>
              <w:jc w:val="center"/>
            </w:pPr>
            <w:r>
              <w:t>104154</w:t>
            </w:r>
          </w:p>
        </w:tc>
        <w:tc>
          <w:tcPr>
            <w:tcW w:type="dxa" w:w="793"/>
            <w:vAlign w:val="center"/>
            <w:tcMar>
              <w:top w:w="60" w:type="dxa"/>
              <w:start w:w="80" w:type="dxa"/>
              <w:bottom w:w="60" w:type="dxa"/>
              <w:end w:w="80" w:type="dxa"/>
            </w:tcMar>
          </w:tcPr>
          <w:p>
            <w:pPr>
              <w:spacing w:after="0" w:line="240" w:lineRule="auto"/>
              <w:jc w:val="center"/>
            </w:pPr>
            <w:r>
              <w:rPr>
                <w:rFonts w:ascii="Arial" w:hAnsi="Arial"/>
                <w:sz w:val="14"/>
              </w:rPr>
              <w:t>944</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1.260 (1.102 to 1.440)</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0.0006999</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Stabilized inverse-probability weighting†</w:t>
            </w:r>
          </w:p>
        </w:tc>
        <w:tc>
          <w:tcPr>
            <w:tcW w:type="dxa" w:w="1020"/>
            <w:vAlign w:val="center"/>
            <w:tcMar>
              <w:top w:w="60" w:type="dxa"/>
              <w:start w:w="80" w:type="dxa"/>
              <w:bottom w:w="60" w:type="dxa"/>
              <w:end w:w="80" w:type="dxa"/>
            </w:tcMar>
          </w:tcPr>
          <w:p>
            <w:pPr>
              <w:spacing w:after="0" w:line="240" w:lineRule="auto"/>
              <w:jc w:val="center"/>
            </w:pPr>
            <w:r>
              <w:t>266560</w:t>
            </w:r>
          </w:p>
        </w:tc>
        <w:tc>
          <w:tcPr>
            <w:tcW w:type="dxa" w:w="793"/>
            <w:vAlign w:val="center"/>
            <w:tcMar>
              <w:top w:w="60" w:type="dxa"/>
              <w:start w:w="80" w:type="dxa"/>
              <w:bottom w:w="60" w:type="dxa"/>
              <w:end w:w="80" w:type="dxa"/>
            </w:tcMar>
          </w:tcPr>
          <w:p>
            <w:pPr>
              <w:spacing w:after="0" w:line="240" w:lineRule="auto"/>
              <w:jc w:val="center"/>
            </w:pPr>
            <w:r>
              <w:t>2404</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1.156 (1.050 to 1.272)</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0.002989</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Overlap weighting</w:t>
            </w:r>
          </w:p>
        </w:tc>
        <w:tc>
          <w:tcPr>
            <w:tcW w:type="dxa" w:w="1020"/>
            <w:vAlign w:val="center"/>
            <w:tcMar>
              <w:top w:w="60" w:type="dxa"/>
              <w:start w:w="80" w:type="dxa"/>
              <w:bottom w:w="60" w:type="dxa"/>
              <w:end w:w="80" w:type="dxa"/>
            </w:tcMar>
          </w:tcPr>
          <w:p>
            <w:pPr>
              <w:spacing w:after="0" w:line="240" w:lineRule="auto"/>
              <w:jc w:val="center"/>
            </w:pPr>
            <w:r>
              <w:t>266560</w:t>
            </w:r>
          </w:p>
        </w:tc>
        <w:tc>
          <w:tcPr>
            <w:tcW w:type="dxa" w:w="793"/>
            <w:vAlign w:val="center"/>
            <w:tcMar>
              <w:top w:w="60" w:type="dxa"/>
              <w:start w:w="80" w:type="dxa"/>
              <w:bottom w:w="60" w:type="dxa"/>
              <w:end w:w="80" w:type="dxa"/>
            </w:tcMar>
          </w:tcPr>
          <w:p>
            <w:pPr>
              <w:spacing w:after="0" w:line="240" w:lineRule="auto"/>
              <w:jc w:val="center"/>
            </w:pPr>
            <w:r>
              <w:t>2404</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1.150 (1.045 to 1.267)</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0.004402</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Death as competing event</w:t>
            </w:r>
          </w:p>
        </w:tc>
        <w:tc>
          <w:tcPr>
            <w:tcW w:type="dxa" w:w="1020"/>
            <w:vAlign w:val="center"/>
            <w:tcMar>
              <w:top w:w="60" w:type="dxa"/>
              <w:start w:w="80" w:type="dxa"/>
              <w:bottom w:w="60" w:type="dxa"/>
              <w:end w:w="80" w:type="dxa"/>
            </w:tcMar>
          </w:tcPr>
          <w:p>
            <w:pPr>
              <w:spacing w:after="0" w:line="240" w:lineRule="auto"/>
              <w:jc w:val="center"/>
            </w:pPr>
            <w:r>
              <w:t>266560</w:t>
            </w:r>
          </w:p>
        </w:tc>
        <w:tc>
          <w:tcPr>
            <w:tcW w:type="dxa" w:w="793"/>
            <w:vAlign w:val="center"/>
            <w:tcMar>
              <w:top w:w="60" w:type="dxa"/>
              <w:start w:w="80" w:type="dxa"/>
              <w:bottom w:w="60" w:type="dxa"/>
              <w:end w:w="80" w:type="dxa"/>
            </w:tcMar>
          </w:tcPr>
          <w:p>
            <w:pPr>
              <w:spacing w:after="0" w:line="240" w:lineRule="auto"/>
              <w:jc w:val="center"/>
            </w:pPr>
            <w:r>
              <w:t>2404</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1.140 (1.041 to 1.248)</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0.004756</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Postmenopausal women</w:t>
            </w:r>
          </w:p>
        </w:tc>
        <w:tc>
          <w:tcPr>
            <w:tcW w:type="dxa" w:w="1020"/>
            <w:vAlign w:val="center"/>
            <w:tcMar>
              <w:top w:w="60" w:type="dxa"/>
              <w:start w:w="80" w:type="dxa"/>
              <w:bottom w:w="60" w:type="dxa"/>
              <w:end w:w="80" w:type="dxa"/>
            </w:tcMar>
          </w:tcPr>
          <w:p>
            <w:pPr>
              <w:spacing w:after="0" w:line="240" w:lineRule="auto"/>
              <w:jc w:val="center"/>
            </w:pPr>
            <w:r>
              <w:t>161860</w:t>
            </w:r>
          </w:p>
        </w:tc>
        <w:tc>
          <w:tcPr>
            <w:tcW w:type="dxa" w:w="793"/>
            <w:vAlign w:val="center"/>
            <w:tcMar>
              <w:top w:w="60" w:type="dxa"/>
              <w:start w:w="80" w:type="dxa"/>
              <w:bottom w:w="60" w:type="dxa"/>
              <w:end w:w="80" w:type="dxa"/>
            </w:tcMar>
          </w:tcPr>
          <w:p>
            <w:pPr>
              <w:spacing w:after="0" w:line="240" w:lineRule="auto"/>
              <w:jc w:val="center"/>
            </w:pPr>
            <w:r>
              <w:t>1428</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1.141 (1.023 to 1.273)</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0.01761</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Expanded reproductive adjustment</w:t>
            </w:r>
          </w:p>
        </w:tc>
        <w:tc>
          <w:tcPr>
            <w:tcW w:type="dxa" w:w="1020"/>
            <w:vAlign w:val="center"/>
            <w:tcMar>
              <w:top w:w="60" w:type="dxa"/>
              <w:start w:w="80" w:type="dxa"/>
              <w:bottom w:w="60" w:type="dxa"/>
              <w:end w:w="80" w:type="dxa"/>
            </w:tcMar>
          </w:tcPr>
          <w:p>
            <w:pPr>
              <w:spacing w:after="0" w:line="240" w:lineRule="auto"/>
              <w:jc w:val="center"/>
            </w:pPr>
            <w:r>
              <w:t>266560</w:t>
            </w:r>
          </w:p>
        </w:tc>
        <w:tc>
          <w:tcPr>
            <w:tcW w:type="dxa" w:w="793"/>
            <w:vAlign w:val="center"/>
            <w:tcMar>
              <w:top w:w="60" w:type="dxa"/>
              <w:start w:w="80" w:type="dxa"/>
              <w:bottom w:w="60" w:type="dxa"/>
              <w:end w:w="80" w:type="dxa"/>
            </w:tcMar>
          </w:tcPr>
          <w:p>
            <w:pPr>
              <w:spacing w:after="0" w:line="240" w:lineRule="auto"/>
              <w:jc w:val="center"/>
            </w:pPr>
            <w:r>
              <w:t>2404</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1.146 (1.043 to 1.260)</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0.004714</w:t>
            </w:r>
          </w:p>
        </w:tc>
      </w:tr>
      <w:tr>
        <w:trPr>
          <w:cantSplit/>
        </w:trPr>
        <w:tc>
          <w:tcPr>
            <w:tcW w:type="dxa" w:w="2835"/>
            <w:vAlign w:val="center"/>
            <w:tcMar>
              <w:top w:w="60" w:type="dxa"/>
              <w:start w:w="80" w:type="dxa"/>
              <w:bottom w:w="60" w:type="dxa"/>
              <w:end w:w="80" w:type="dxa"/>
            </w:tcMar>
          </w:tcPr>
          <w:p>
            <w:pPr>
              <w:spacing w:after="0" w:line="240" w:lineRule="auto"/>
              <w:jc w:val="left"/>
            </w:pPr>
            <w:r>
              <w:rPr>
                <w:rFonts w:ascii="Arial" w:hAnsi="Arial"/>
                <w:sz w:val="14"/>
              </w:rPr>
              <w:t>Field 3546/6153 consistency</w:t>
            </w:r>
          </w:p>
        </w:tc>
        <w:tc>
          <w:tcPr>
            <w:tcW w:type="dxa" w:w="1020"/>
            <w:vAlign w:val="center"/>
            <w:tcMar>
              <w:top w:w="60" w:type="dxa"/>
              <w:start w:w="80" w:type="dxa"/>
              <w:bottom w:w="60" w:type="dxa"/>
              <w:end w:w="80" w:type="dxa"/>
            </w:tcMar>
          </w:tcPr>
          <w:p>
            <w:pPr>
              <w:spacing w:after="0" w:line="240" w:lineRule="auto"/>
              <w:jc w:val="center"/>
            </w:pPr>
            <w:r>
              <w:t>260187</w:t>
            </w:r>
          </w:p>
        </w:tc>
        <w:tc>
          <w:tcPr>
            <w:tcW w:type="dxa" w:w="793"/>
            <w:vAlign w:val="center"/>
            <w:tcMar>
              <w:top w:w="60" w:type="dxa"/>
              <w:start w:w="80" w:type="dxa"/>
              <w:bottom w:w="60" w:type="dxa"/>
              <w:end w:w="80" w:type="dxa"/>
            </w:tcMar>
          </w:tcPr>
          <w:p>
            <w:pPr>
              <w:spacing w:after="0" w:line="240" w:lineRule="auto"/>
              <w:jc w:val="center"/>
            </w:pPr>
            <w:r>
              <w:t>2359</w:t>
            </w:r>
          </w:p>
        </w:tc>
        <w:tc>
          <w:tcPr>
            <w:tcW w:type="dxa" w:w="2438"/>
            <w:vAlign w:val="center"/>
            <w:tcMar>
              <w:top w:w="60" w:type="dxa"/>
              <w:start w:w="80" w:type="dxa"/>
              <w:bottom w:w="60" w:type="dxa"/>
              <w:end w:w="80" w:type="dxa"/>
            </w:tcMar>
          </w:tcPr>
          <w:p>
            <w:pPr>
              <w:spacing w:after="0" w:line="240" w:lineRule="auto"/>
              <w:jc w:val="center"/>
            </w:pPr>
            <w:r>
              <w:rPr>
                <w:rFonts w:ascii="Arial" w:hAnsi="Arial"/>
                <w:sz w:val="14"/>
              </w:rPr>
              <w:t>1.156 (1.050 to 1.272)</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4"/>
              </w:rPr>
              <w:t>0.003091</w:t>
            </w:r>
          </w:p>
        </w:tc>
      </w:tr>
    </w:tbl>
    <w:p>
      <w:pPr>
        <w:spacing w:before="40" w:after="140" w:line="240" w:lineRule="auto"/>
      </w:pPr>
      <w:r>
        <w:rPr>
          <w:rFonts w:ascii="Arial" w:hAnsi="Arial"/>
          <w:sz w:val="17"/>
        </w:rPr>
        <w:t>†The stabilized weighting model failed balance (maximum weighted absolute SMD 0.404); its numerical estimate is disclosed but not counted as balanced causal support. The Fine–Gray estimate is a subdistribution HR.</w:t>
      </w:r>
    </w:p>
    <w:p>
      <w:r>
        <w:br w:type="page"/>
      </w:r>
    </w:p>
    <w:p>
      <w:pPr>
        <w:spacing w:before="160" w:after="80"/>
        <w:keepNext/>
      </w:pPr>
      <w:r>
        <w:rPr>
          <w:b/>
        </w:rPr>
        <w:t>Table S4. Prespecified co-primary and comparison outcomes</w:t>
      </w:r>
    </w:p>
    <w:tbl>
      <w:tblPr>
        <w:tblW w:type="auto" w:w="0"/>
        <w:jc w:val="center"/>
        <w:tblLayout w:type="fixed"/>
        <w:tblLook w:firstColumn="1" w:firstRow="1" w:lastColumn="0" w:lastRow="0" w:noHBand="0" w:noVBand="1" w:val="04A0"/>
        <w:tblBorders>
          <w:top w:val="single" w:sz="4" w:space="0" w:color="B7C2CC"/>
          <w:left w:val="single" w:sz="4" w:space="0" w:color="B7C2CC"/>
          <w:bottom w:val="single" w:sz="4" w:space="0" w:color="B7C2CC"/>
          <w:right w:val="single" w:sz="4" w:space="0" w:color="B7C2CC"/>
          <w:insideH w:val="single" w:sz="4" w:space="0" w:color="B7C2CC"/>
          <w:insideV w:val="single" w:sz="4" w:space="0" w:color="B7C2CC"/>
        </w:tblBorders>
      </w:tblPr>
      <w:tblGrid>
        <w:gridCol w:w="1304"/>
        <w:gridCol w:w="567"/>
        <w:gridCol w:w="850"/>
        <w:gridCol w:w="680"/>
        <w:gridCol w:w="1984"/>
        <w:gridCol w:w="567"/>
        <w:gridCol w:w="567"/>
        <w:gridCol w:w="2268"/>
      </w:tblGrid>
      <w:tr>
        <w:trPr>
          <w:tblHeader w:val="true"/>
          <w:cantSplit/>
        </w:trPr>
        <w:tc>
          <w:tcPr>
            <w:tcW w:type="dxa" w:w="1304"/>
            <w:vAlign w:val="center"/>
          </w:tcPr>
          <w:p>
            <w:pPr>
              <w:spacing w:after="0"/>
              <w:jc w:val="center"/>
            </w:pPr>
            <w:r>
              <w:rPr>
                <w:rFonts w:ascii="Arial" w:hAnsi="Arial"/>
                <w:b/>
                <w:sz w:val="13"/>
              </w:rPr>
              <w:t>Outcome</w:t>
            </w:r>
          </w:p>
        </w:tc>
        <w:tc>
          <w:tcPr>
            <w:tcW w:type="dxa" w:w="567"/>
            <w:vAlign w:val="center"/>
          </w:tcPr>
          <w:p>
            <w:pPr>
              <w:spacing w:after="0"/>
              <w:jc w:val="center"/>
            </w:pPr>
            <w:r>
              <w:rPr>
                <w:rFonts w:ascii="Arial" w:hAnsi="Arial"/>
                <w:b/>
                <w:sz w:val="13"/>
              </w:rPr>
              <w:t>ICD-10</w:t>
            </w:r>
          </w:p>
        </w:tc>
        <w:tc>
          <w:tcPr>
            <w:tcW w:type="dxa" w:w="850"/>
            <w:vAlign w:val="center"/>
          </w:tcPr>
          <w:p>
            <w:pPr>
              <w:spacing w:after="0"/>
              <w:jc w:val="center"/>
            </w:pPr>
            <w:r>
              <w:rPr>
                <w:rFonts w:ascii="Arial" w:hAnsi="Arial"/>
                <w:b/>
                <w:sz w:val="13"/>
              </w:rPr>
              <w:t>N</w:t>
            </w:r>
          </w:p>
        </w:tc>
        <w:tc>
          <w:tcPr>
            <w:tcW w:type="dxa" w:w="680"/>
            <w:vAlign w:val="center"/>
          </w:tcPr>
          <w:p>
            <w:pPr>
              <w:spacing w:after="0"/>
              <w:jc w:val="center"/>
            </w:pPr>
            <w:r>
              <w:rPr>
                <w:rFonts w:ascii="Arial" w:hAnsi="Arial"/>
                <w:b/>
                <w:sz w:val="13"/>
              </w:rPr>
              <w:t>Events</w:t>
            </w:r>
          </w:p>
        </w:tc>
        <w:tc>
          <w:tcPr>
            <w:tcW w:type="dxa" w:w="1984"/>
            <w:vAlign w:val="center"/>
          </w:tcPr>
          <w:p>
            <w:pPr>
              <w:spacing w:after="0"/>
              <w:jc w:val="center"/>
            </w:pPr>
            <w:r>
              <w:rPr>
                <w:rFonts w:ascii="Arial" w:hAnsi="Arial"/>
                <w:b/>
                <w:sz w:val="13"/>
              </w:rPr>
              <w:t>Adjusted HR (95% CI)</w:t>
            </w:r>
          </w:p>
        </w:tc>
        <w:tc>
          <w:tcPr>
            <w:tcW w:type="dxa" w:w="567"/>
            <w:vAlign w:val="center"/>
          </w:tcPr>
          <w:p>
            <w:pPr>
              <w:spacing w:after="0"/>
              <w:jc w:val="center"/>
            </w:pPr>
            <w:r>
              <w:rPr>
                <w:rFonts w:ascii="Arial" w:hAnsi="Arial"/>
                <w:b/>
                <w:sz w:val="13"/>
              </w:rPr>
              <w:t>P</w:t>
            </w:r>
          </w:p>
        </w:tc>
        <w:tc>
          <w:tcPr>
            <w:tcW w:type="dxa" w:w="567"/>
            <w:vAlign w:val="center"/>
          </w:tcPr>
          <w:p>
            <w:pPr>
              <w:spacing w:after="0"/>
              <w:jc w:val="center"/>
            </w:pPr>
            <w:r>
              <w:rPr>
                <w:rFonts w:ascii="Arial" w:hAnsi="Arial"/>
                <w:b/>
                <w:sz w:val="13"/>
              </w:rPr>
              <w:t>q</w:t>
            </w:r>
          </w:p>
        </w:tc>
        <w:tc>
          <w:tcPr>
            <w:tcW w:type="dxa" w:w="2268"/>
            <w:vAlign w:val="center"/>
          </w:tcPr>
          <w:p>
            <w:pPr>
              <w:spacing w:after="0"/>
              <w:jc w:val="center"/>
            </w:pPr>
            <w:r>
              <w:rPr>
                <w:rFonts w:ascii="Arial" w:hAnsi="Arial"/>
                <w:b/>
                <w:sz w:val="13"/>
              </w:rPr>
              <w:t>Role</w:t>
            </w:r>
          </w:p>
        </w:tc>
      </w:tr>
      <w:tr>
        <w:trPr>
          <w:cantSplit/>
        </w:trPr>
        <w:tc>
          <w:tcPr>
            <w:tcW w:type="dxa" w:w="1304"/>
            <w:vAlign w:val="center"/>
            <w:tcMar>
              <w:top w:w="60" w:type="dxa"/>
              <w:start w:w="80" w:type="dxa"/>
              <w:bottom w:w="60" w:type="dxa"/>
              <w:end w:w="80" w:type="dxa"/>
            </w:tcMar>
          </w:tcPr>
          <w:p>
            <w:pPr>
              <w:spacing w:after="0" w:line="240" w:lineRule="auto"/>
              <w:jc w:val="left"/>
            </w:pPr>
            <w:r>
              <w:rPr>
                <w:rFonts w:ascii="Arial" w:hAnsi="Arial"/>
                <w:sz w:val="13"/>
              </w:rPr>
              <w:t>Recorded urticaria</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L50</w:t>
            </w:r>
          </w:p>
        </w:tc>
        <w:tc>
          <w:tcPr>
            <w:tcW w:type="dxa" w:w="850"/>
            <w:vAlign w:val="center"/>
            <w:tcMar>
              <w:top w:w="60" w:type="dxa"/>
              <w:start w:w="80" w:type="dxa"/>
              <w:bottom w:w="60" w:type="dxa"/>
              <w:end w:w="80" w:type="dxa"/>
            </w:tcMar>
          </w:tcPr>
          <w:p>
            <w:pPr>
              <w:spacing w:after="0" w:line="240" w:lineRule="auto"/>
              <w:jc w:val="center"/>
            </w:pPr>
            <w:r>
              <w:t>266560</w:t>
            </w:r>
          </w:p>
        </w:tc>
        <w:tc>
          <w:tcPr>
            <w:tcW w:type="dxa" w:w="680"/>
            <w:vAlign w:val="center"/>
            <w:tcMar>
              <w:top w:w="60" w:type="dxa"/>
              <w:start w:w="80" w:type="dxa"/>
              <w:bottom w:w="60" w:type="dxa"/>
              <w:end w:w="80" w:type="dxa"/>
            </w:tcMar>
          </w:tcPr>
          <w:p>
            <w:pPr>
              <w:spacing w:after="0" w:line="240" w:lineRule="auto"/>
              <w:jc w:val="center"/>
            </w:pPr>
            <w:r>
              <w:t>2404</w:t>
            </w:r>
          </w:p>
        </w:tc>
        <w:tc>
          <w:tcPr>
            <w:tcW w:type="dxa" w:w="1984"/>
            <w:vAlign w:val="center"/>
            <w:tcMar>
              <w:top w:w="60" w:type="dxa"/>
              <w:start w:w="80" w:type="dxa"/>
              <w:bottom w:w="60" w:type="dxa"/>
              <w:end w:w="80" w:type="dxa"/>
            </w:tcMar>
          </w:tcPr>
          <w:p>
            <w:pPr>
              <w:spacing w:after="0" w:line="240" w:lineRule="auto"/>
              <w:jc w:val="center"/>
            </w:pPr>
            <w:r>
              <w:rPr>
                <w:rFonts w:ascii="Arial" w:hAnsi="Arial"/>
                <w:sz w:val="13"/>
              </w:rPr>
              <w:t>1.156 (1.051–1.270)</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0.00270</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0.00541</w:t>
            </w:r>
          </w:p>
        </w:tc>
        <w:tc>
          <w:tcPr>
            <w:tcW w:type="dxa" w:w="2268"/>
            <w:vAlign w:val="center"/>
            <w:tcMar>
              <w:top w:w="60" w:type="dxa"/>
              <w:start w:w="80" w:type="dxa"/>
              <w:bottom w:w="60" w:type="dxa"/>
              <w:end w:w="80" w:type="dxa"/>
            </w:tcMar>
          </w:tcPr>
          <w:p>
            <w:pPr>
              <w:spacing w:after="0" w:line="240" w:lineRule="auto"/>
              <w:jc w:val="center"/>
            </w:pPr>
            <w:r>
              <w:rPr>
                <w:rFonts w:ascii="Arial" w:hAnsi="Arial"/>
                <w:sz w:val="13"/>
              </w:rPr>
              <w:t>Focused outcome</w:t>
            </w:r>
          </w:p>
        </w:tc>
      </w:tr>
      <w:tr>
        <w:trPr>
          <w:cantSplit/>
        </w:trPr>
        <w:tc>
          <w:tcPr>
            <w:tcW w:type="dxa" w:w="1304"/>
            <w:vAlign w:val="center"/>
            <w:tcMar>
              <w:top w:w="60" w:type="dxa"/>
              <w:start w:w="80" w:type="dxa"/>
              <w:bottom w:w="60" w:type="dxa"/>
              <w:end w:w="80" w:type="dxa"/>
            </w:tcMar>
          </w:tcPr>
          <w:p>
            <w:pPr>
              <w:spacing w:after="0" w:line="240" w:lineRule="auto"/>
              <w:jc w:val="left"/>
            </w:pPr>
            <w:r>
              <w:rPr>
                <w:rFonts w:ascii="Arial" w:hAnsi="Arial"/>
                <w:sz w:val="13"/>
              </w:rPr>
              <w:t>Alopecia areata</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L63</w:t>
            </w:r>
          </w:p>
        </w:tc>
        <w:tc>
          <w:tcPr>
            <w:tcW w:type="dxa" w:w="850"/>
            <w:vAlign w:val="center"/>
            <w:tcMar>
              <w:top w:w="60" w:type="dxa"/>
              <w:start w:w="80" w:type="dxa"/>
              <w:bottom w:w="60" w:type="dxa"/>
              <w:end w:w="80" w:type="dxa"/>
            </w:tcMar>
          </w:tcPr>
          <w:p>
            <w:pPr>
              <w:spacing w:after="0" w:line="240" w:lineRule="auto"/>
              <w:jc w:val="center"/>
            </w:pPr>
            <w:r>
              <w:t>271231</w:t>
            </w:r>
          </w:p>
        </w:tc>
        <w:tc>
          <w:tcPr>
            <w:tcW w:type="dxa" w:w="680"/>
            <w:vAlign w:val="center"/>
            <w:tcMar>
              <w:top w:w="60" w:type="dxa"/>
              <w:start w:w="80" w:type="dxa"/>
              <w:bottom w:w="60" w:type="dxa"/>
              <w:end w:w="80" w:type="dxa"/>
            </w:tcMar>
          </w:tcPr>
          <w:p>
            <w:pPr>
              <w:spacing w:after="0" w:line="240" w:lineRule="auto"/>
              <w:jc w:val="center"/>
            </w:pPr>
            <w:r>
              <w:rPr>
                <w:rFonts w:ascii="Arial" w:hAnsi="Arial"/>
                <w:sz w:val="13"/>
              </w:rPr>
              <w:t>190</w:t>
            </w:r>
          </w:p>
        </w:tc>
        <w:tc>
          <w:tcPr>
            <w:tcW w:type="dxa" w:w="1984"/>
            <w:vAlign w:val="center"/>
            <w:tcMar>
              <w:top w:w="60" w:type="dxa"/>
              <w:start w:w="80" w:type="dxa"/>
              <w:bottom w:w="60" w:type="dxa"/>
              <w:end w:w="80" w:type="dxa"/>
            </w:tcMar>
          </w:tcPr>
          <w:p>
            <w:pPr>
              <w:spacing w:after="0" w:line="240" w:lineRule="auto"/>
              <w:jc w:val="center"/>
            </w:pPr>
            <w:r>
              <w:rPr>
                <w:rFonts w:ascii="Arial" w:hAnsi="Arial"/>
                <w:sz w:val="13"/>
              </w:rPr>
              <w:t>1.170 (0.832–1.647)</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0.367</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0.367</w:t>
            </w:r>
          </w:p>
        </w:tc>
        <w:tc>
          <w:tcPr>
            <w:tcW w:type="dxa" w:w="2268"/>
            <w:vAlign w:val="center"/>
            <w:tcMar>
              <w:top w:w="60" w:type="dxa"/>
              <w:start w:w="80" w:type="dxa"/>
              <w:bottom w:w="60" w:type="dxa"/>
              <w:end w:w="80" w:type="dxa"/>
            </w:tcMar>
          </w:tcPr>
          <w:p>
            <w:pPr>
              <w:spacing w:after="0" w:line="240" w:lineRule="auto"/>
              <w:jc w:val="center"/>
            </w:pPr>
            <w:r>
              <w:rPr>
                <w:rFonts w:ascii="Arial" w:hAnsi="Arial"/>
                <w:sz w:val="13"/>
              </w:rPr>
              <w:t>Prespecified co-primary; imprecise</w:t>
            </w:r>
          </w:p>
        </w:tc>
      </w:tr>
      <w:tr>
        <w:trPr>
          <w:cantSplit/>
        </w:trPr>
        <w:tc>
          <w:tcPr>
            <w:tcW w:type="dxa" w:w="1304"/>
            <w:vAlign w:val="center"/>
            <w:tcMar>
              <w:top w:w="60" w:type="dxa"/>
              <w:start w:w="80" w:type="dxa"/>
              <w:bottom w:w="60" w:type="dxa"/>
              <w:end w:w="80" w:type="dxa"/>
            </w:tcMar>
          </w:tcPr>
          <w:p>
            <w:pPr>
              <w:spacing w:after="0" w:line="240" w:lineRule="auto"/>
              <w:jc w:val="left"/>
            </w:pPr>
            <w:r>
              <w:rPr>
                <w:rFonts w:ascii="Arial" w:hAnsi="Arial"/>
                <w:sz w:val="13"/>
              </w:rPr>
              <w:t>Acne</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L70</w:t>
            </w:r>
          </w:p>
        </w:tc>
        <w:tc>
          <w:tcPr>
            <w:tcW w:type="dxa" w:w="850"/>
            <w:vAlign w:val="center"/>
            <w:tcMar>
              <w:top w:w="60" w:type="dxa"/>
              <w:start w:w="80" w:type="dxa"/>
              <w:bottom w:w="60" w:type="dxa"/>
              <w:end w:w="80" w:type="dxa"/>
            </w:tcMar>
          </w:tcPr>
          <w:p>
            <w:pPr>
              <w:spacing w:after="0" w:line="240" w:lineRule="auto"/>
              <w:jc w:val="center"/>
            </w:pPr>
            <w:r>
              <w:t>267823</w:t>
            </w:r>
          </w:p>
        </w:tc>
        <w:tc>
          <w:tcPr>
            <w:tcW w:type="dxa" w:w="680"/>
            <w:vAlign w:val="center"/>
            <w:tcMar>
              <w:top w:w="60" w:type="dxa"/>
              <w:start w:w="80" w:type="dxa"/>
              <w:bottom w:w="60" w:type="dxa"/>
              <w:end w:w="80" w:type="dxa"/>
            </w:tcMar>
          </w:tcPr>
          <w:p>
            <w:pPr>
              <w:spacing w:after="0" w:line="240" w:lineRule="auto"/>
              <w:jc w:val="center"/>
            </w:pPr>
            <w:r>
              <w:rPr>
                <w:rFonts w:ascii="Arial" w:hAnsi="Arial"/>
                <w:sz w:val="13"/>
              </w:rPr>
              <w:t>399</w:t>
            </w:r>
          </w:p>
        </w:tc>
        <w:tc>
          <w:tcPr>
            <w:tcW w:type="dxa" w:w="1984"/>
            <w:vAlign w:val="center"/>
            <w:tcMar>
              <w:top w:w="60" w:type="dxa"/>
              <w:start w:w="80" w:type="dxa"/>
              <w:bottom w:w="60" w:type="dxa"/>
              <w:end w:w="80" w:type="dxa"/>
            </w:tcMar>
          </w:tcPr>
          <w:p>
            <w:pPr>
              <w:spacing w:after="0" w:line="240" w:lineRule="auto"/>
              <w:jc w:val="center"/>
            </w:pPr>
            <w:r>
              <w:rPr>
                <w:rFonts w:ascii="Arial" w:hAnsi="Arial"/>
                <w:sz w:val="13"/>
              </w:rPr>
              <w:t>1.239 (0.955–1.607)</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0.107</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0.142*</w:t>
            </w:r>
          </w:p>
        </w:tc>
        <w:tc>
          <w:tcPr>
            <w:tcW w:type="dxa" w:w="2268"/>
            <w:vAlign w:val="center"/>
            <w:tcMar>
              <w:top w:w="60" w:type="dxa"/>
              <w:start w:w="80" w:type="dxa"/>
              <w:bottom w:w="60" w:type="dxa"/>
              <w:end w:w="80" w:type="dxa"/>
            </w:tcMar>
          </w:tcPr>
          <w:p>
            <w:pPr>
              <w:spacing w:after="0" w:line="240" w:lineRule="auto"/>
              <w:jc w:val="center"/>
            </w:pPr>
            <w:r>
              <w:rPr>
                <w:rFonts w:ascii="Arial" w:hAnsi="Arial"/>
                <w:sz w:val="13"/>
              </w:rPr>
              <w:t>Comparison only</w:t>
            </w:r>
          </w:p>
        </w:tc>
      </w:tr>
      <w:tr>
        <w:trPr>
          <w:cantSplit/>
        </w:trPr>
        <w:tc>
          <w:tcPr>
            <w:tcW w:type="dxa" w:w="1304"/>
            <w:vAlign w:val="center"/>
            <w:tcMar>
              <w:top w:w="60" w:type="dxa"/>
              <w:start w:w="80" w:type="dxa"/>
              <w:bottom w:w="60" w:type="dxa"/>
              <w:end w:w="80" w:type="dxa"/>
            </w:tcMar>
          </w:tcPr>
          <w:p>
            <w:pPr>
              <w:spacing w:after="0" w:line="240" w:lineRule="auto"/>
              <w:jc w:val="left"/>
            </w:pPr>
            <w:r>
              <w:rPr>
                <w:rFonts w:ascii="Arial" w:hAnsi="Arial"/>
                <w:sz w:val="13"/>
              </w:rPr>
              <w:t>Rosacea</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L71</w:t>
            </w:r>
          </w:p>
        </w:tc>
        <w:tc>
          <w:tcPr>
            <w:tcW w:type="dxa" w:w="850"/>
            <w:vAlign w:val="center"/>
            <w:tcMar>
              <w:top w:w="60" w:type="dxa"/>
              <w:start w:w="80" w:type="dxa"/>
              <w:bottom w:w="60" w:type="dxa"/>
              <w:end w:w="80" w:type="dxa"/>
            </w:tcMar>
          </w:tcPr>
          <w:p>
            <w:pPr>
              <w:spacing w:after="0" w:line="240" w:lineRule="auto"/>
              <w:jc w:val="center"/>
            </w:pPr>
            <w:r>
              <w:t>269216</w:t>
            </w:r>
          </w:p>
        </w:tc>
        <w:tc>
          <w:tcPr>
            <w:tcW w:type="dxa" w:w="680"/>
            <w:vAlign w:val="center"/>
            <w:tcMar>
              <w:top w:w="60" w:type="dxa"/>
              <w:start w:w="80" w:type="dxa"/>
              <w:bottom w:w="60" w:type="dxa"/>
              <w:end w:w="80" w:type="dxa"/>
            </w:tcMar>
          </w:tcPr>
          <w:p>
            <w:pPr>
              <w:spacing w:after="0" w:line="240" w:lineRule="auto"/>
              <w:jc w:val="center"/>
            </w:pPr>
            <w:r>
              <w:t>1458</w:t>
            </w:r>
          </w:p>
        </w:tc>
        <w:tc>
          <w:tcPr>
            <w:tcW w:type="dxa" w:w="1984"/>
            <w:vAlign w:val="center"/>
            <w:tcMar>
              <w:top w:w="60" w:type="dxa"/>
              <w:start w:w="80" w:type="dxa"/>
              <w:bottom w:w="60" w:type="dxa"/>
              <w:end w:w="80" w:type="dxa"/>
            </w:tcMar>
          </w:tcPr>
          <w:p>
            <w:pPr>
              <w:spacing w:after="0" w:line="240" w:lineRule="auto"/>
              <w:jc w:val="center"/>
            </w:pPr>
            <w:r>
              <w:rPr>
                <w:rFonts w:ascii="Arial" w:hAnsi="Arial"/>
                <w:sz w:val="13"/>
              </w:rPr>
              <w:t>1.186 (1.047–1.344)</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0.00718</w:t>
            </w:r>
          </w:p>
        </w:tc>
        <w:tc>
          <w:tcPr>
            <w:tcW w:type="dxa" w:w="567"/>
            <w:vAlign w:val="center"/>
            <w:tcMar>
              <w:top w:w="60" w:type="dxa"/>
              <w:start w:w="80" w:type="dxa"/>
              <w:bottom w:w="60" w:type="dxa"/>
              <w:end w:w="80" w:type="dxa"/>
            </w:tcMar>
          </w:tcPr>
          <w:p>
            <w:pPr>
              <w:spacing w:after="0" w:line="240" w:lineRule="auto"/>
              <w:jc w:val="center"/>
            </w:pPr>
            <w:r>
              <w:rPr>
                <w:rFonts w:ascii="Arial" w:hAnsi="Arial"/>
                <w:sz w:val="13"/>
              </w:rPr>
              <w:t>0.0144*</w:t>
            </w:r>
          </w:p>
        </w:tc>
        <w:tc>
          <w:tcPr>
            <w:tcW w:type="dxa" w:w="2268"/>
            <w:vAlign w:val="center"/>
            <w:tcMar>
              <w:top w:w="60" w:type="dxa"/>
              <w:start w:w="80" w:type="dxa"/>
              <w:bottom w:w="60" w:type="dxa"/>
              <w:end w:w="80" w:type="dxa"/>
            </w:tcMar>
          </w:tcPr>
          <w:p>
            <w:pPr>
              <w:spacing w:after="0" w:line="240" w:lineRule="auto"/>
              <w:jc w:val="center"/>
            </w:pPr>
            <w:r>
              <w:rPr>
                <w:rFonts w:ascii="Arial" w:hAnsi="Arial"/>
                <w:sz w:val="13"/>
              </w:rPr>
              <w:t>Comparison only; previously studied in UKB</w:t>
            </w:r>
          </w:p>
        </w:tc>
      </w:tr>
    </w:tbl>
    <w:p>
      <w:pPr>
        <w:spacing w:before="40" w:after="140" w:line="240" w:lineRule="auto"/>
      </w:pPr>
      <w:r>
        <w:rPr>
          <w:rFonts w:ascii="Arial" w:hAnsi="Arial"/>
          <w:sz w:val="17"/>
        </w:rPr>
        <w:t>L50 and L63 were the two co-primary outcomes; q values for them use the two-outcome Benjamini–Hochberg family. *L70/L71 q values use the four-outcome family and are shown only for transparency. L63 lagged results and the positive L71 comparison were not used to rewrite the main question.</w:t>
      </w:r>
    </w:p>
    <w:p>
      <w:r>
        <w:br w:type="page"/>
      </w:r>
    </w:p>
    <w:p>
      <w:pPr>
        <w:spacing w:before="160" w:after="80"/>
        <w:keepNext/>
      </w:pPr>
      <w:r>
        <w:rPr>
          <w:b/>
        </w:rPr>
        <w:t>Table S5. Outcome-source and subtype-boundary audit</w:t>
      </w:r>
    </w:p>
    <w:tbl>
      <w:tblPr>
        <w:tblW w:type="auto" w:w="0"/>
        <w:jc w:val="center"/>
        <w:tblLayout w:type="fixed"/>
        <w:tblLook w:firstColumn="1" w:firstRow="1" w:lastColumn="0" w:lastRow="0" w:noHBand="0" w:noVBand="1" w:val="04A0"/>
        <w:tblBorders>
          <w:top w:val="single" w:sz="4" w:space="0" w:color="B7C2CC"/>
          <w:left w:val="single" w:sz="4" w:space="0" w:color="B7C2CC"/>
          <w:bottom w:val="single" w:sz="4" w:space="0" w:color="B7C2CC"/>
          <w:right w:val="single" w:sz="4" w:space="0" w:color="B7C2CC"/>
          <w:insideH w:val="single" w:sz="4" w:space="0" w:color="B7C2CC"/>
          <w:insideV w:val="single" w:sz="4" w:space="0" w:color="B7C2CC"/>
        </w:tblBorders>
      </w:tblPr>
      <w:tblGrid>
        <w:gridCol w:w="2268"/>
        <w:gridCol w:w="1701"/>
        <w:gridCol w:w="4819"/>
      </w:tblGrid>
      <w:tr>
        <w:trPr>
          <w:tblHeader w:val="true"/>
          <w:cantSplit/>
        </w:trPr>
        <w:tc>
          <w:tcPr>
            <w:tcW w:type="dxa" w:w="2268"/>
            <w:vAlign w:val="center"/>
          </w:tcPr>
          <w:p>
            <w:pPr>
              <w:spacing w:after="0"/>
              <w:jc w:val="center"/>
            </w:pPr>
            <w:r>
              <w:rPr>
                <w:rFonts w:ascii="Arial" w:hAnsi="Arial"/>
                <w:b/>
                <w:sz w:val="15"/>
              </w:rPr>
              <w:t>Audit component</w:t>
            </w:r>
          </w:p>
        </w:tc>
        <w:tc>
          <w:tcPr>
            <w:tcW w:type="dxa" w:w="1701"/>
            <w:vAlign w:val="center"/>
          </w:tcPr>
          <w:p>
            <w:pPr>
              <w:spacing w:after="0"/>
              <w:jc w:val="center"/>
            </w:pPr>
            <w:r>
              <w:rPr>
                <w:rFonts w:ascii="Arial" w:hAnsi="Arial"/>
                <w:b/>
                <w:sz w:val="15"/>
              </w:rPr>
              <w:t>Result</w:t>
            </w:r>
          </w:p>
        </w:tc>
        <w:tc>
          <w:tcPr>
            <w:tcW w:type="dxa" w:w="4819"/>
            <w:vAlign w:val="center"/>
          </w:tcPr>
          <w:p>
            <w:pPr>
              <w:spacing w:after="0"/>
              <w:jc w:val="center"/>
            </w:pPr>
            <w:r>
              <w:rPr>
                <w:rFonts w:ascii="Arial" w:hAnsi="Arial"/>
                <w:b/>
                <w:sz w:val="15"/>
              </w:rPr>
              <w:t>Interpretation</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5"/>
              </w:rPr>
              <w:t>First-occurrence field</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UK Biobank Field 131754</w:t>
            </w:r>
          </w:p>
        </w:tc>
        <w:tc>
          <w:tcPr>
            <w:tcW w:type="dxa" w:w="4819"/>
            <w:vAlign w:val="center"/>
            <w:tcMar>
              <w:top w:w="60" w:type="dxa"/>
              <w:start w:w="80" w:type="dxa"/>
              <w:bottom w:w="60" w:type="dxa"/>
              <w:end w:w="80" w:type="dxa"/>
            </w:tcMar>
          </w:tcPr>
          <w:p>
            <w:pPr>
              <w:spacing w:after="0" w:line="240" w:lineRule="auto"/>
              <w:jc w:val="center"/>
            </w:pPr>
            <w:r>
              <w:rPr>
                <w:rFonts w:ascii="Arial" w:hAnsi="Arial"/>
                <w:sz w:val="15"/>
              </w:rPr>
              <w:t>L50 category only; no acute/chronic subtype</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5"/>
              </w:rPr>
              <w:t>Confirmed first-occurrence sources</w:t>
            </w:r>
          </w:p>
        </w:tc>
        <w:tc>
          <w:tcPr>
            <w:tcW w:type="dxa" w:w="1701"/>
            <w:vAlign w:val="center"/>
            <w:tcMar>
              <w:top w:w="60" w:type="dxa"/>
              <w:start w:w="80" w:type="dxa"/>
              <w:bottom w:w="60" w:type="dxa"/>
              <w:end w:w="80" w:type="dxa"/>
            </w:tcMar>
          </w:tcPr>
          <w:p>
            <w:pPr>
              <w:spacing w:after="0" w:line="240" w:lineRule="auto"/>
              <w:jc w:val="center"/>
            </w:pPr>
            <w:r>
              <w:t>10900 all-ever records</w:t>
            </w:r>
          </w:p>
        </w:tc>
        <w:tc>
          <w:tcPr>
            <w:tcW w:type="dxa" w:w="4819"/>
            <w:vAlign w:val="center"/>
            <w:tcMar>
              <w:top w:w="60" w:type="dxa"/>
              <w:start w:w="80" w:type="dxa"/>
              <w:bottom w:w="60" w:type="dxa"/>
              <w:end w:w="80" w:type="dxa"/>
            </w:tcMar>
          </w:tcPr>
          <w:p>
            <w:pPr>
              <w:spacing w:after="0" w:line="240" w:lineRule="auto"/>
              <w:jc w:val="center"/>
            </w:pPr>
            <w:r>
              <w:rPr>
                <w:rFonts w:ascii="Arial" w:hAnsi="Arial"/>
                <w:sz w:val="15"/>
              </w:rPr>
              <w:t>Primary care, hospital, death or combined source</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5"/>
              </w:rPr>
              <w:t>Self-report-only first occurrence</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439 all-ever records</w:t>
            </w:r>
          </w:p>
        </w:tc>
        <w:tc>
          <w:tcPr>
            <w:tcW w:type="dxa" w:w="4819"/>
            <w:vAlign w:val="center"/>
            <w:tcMar>
              <w:top w:w="60" w:type="dxa"/>
              <w:start w:w="80" w:type="dxa"/>
              <w:bottom w:w="60" w:type="dxa"/>
              <w:end w:w="80" w:type="dxa"/>
            </w:tcMar>
          </w:tcPr>
          <w:p>
            <w:pPr>
              <w:spacing w:after="0" w:line="240" w:lineRule="auto"/>
              <w:jc w:val="center"/>
            </w:pPr>
            <w:r>
              <w:rPr>
                <w:rFonts w:ascii="Arial" w:hAnsi="Arial"/>
                <w:sz w:val="15"/>
              </w:rPr>
              <w:t>Excluded from confirmed primary endpoint</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5"/>
              </w:rPr>
              <w:t>Incident records in primary risk set</w:t>
            </w:r>
          </w:p>
        </w:tc>
        <w:tc>
          <w:tcPr>
            <w:tcW w:type="dxa" w:w="1701"/>
            <w:vAlign w:val="center"/>
            <w:tcMar>
              <w:top w:w="60" w:type="dxa"/>
              <w:start w:w="80" w:type="dxa"/>
              <w:bottom w:w="60" w:type="dxa"/>
              <w:end w:w="80" w:type="dxa"/>
            </w:tcMar>
          </w:tcPr>
          <w:p>
            <w:pPr>
              <w:spacing w:after="0" w:line="240" w:lineRule="auto"/>
              <w:jc w:val="center"/>
            </w:pPr>
            <w:r>
              <w:t>2404</w:t>
            </w:r>
          </w:p>
        </w:tc>
        <w:tc>
          <w:tcPr>
            <w:tcW w:type="dxa" w:w="4819"/>
            <w:vAlign w:val="center"/>
            <w:tcMar>
              <w:top w:w="60" w:type="dxa"/>
              <w:start w:w="80" w:type="dxa"/>
              <w:bottom w:w="60" w:type="dxa"/>
              <w:end w:w="80" w:type="dxa"/>
            </w:tcMar>
          </w:tcPr>
          <w:p>
            <w:pPr>
              <w:spacing w:after="0" w:line="240" w:lineRule="auto"/>
              <w:jc w:val="center"/>
            </w:pPr>
            <w:r>
              <w:rPr>
                <w:rFonts w:ascii="Arial" w:hAnsi="Arial"/>
                <w:sz w:val="15"/>
              </w:rPr>
              <w:t>First eligible post-baseline L50 event</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5"/>
              </w:rPr>
              <w:t>Hospital subcodes</w:t>
            </w:r>
          </w:p>
        </w:tc>
        <w:tc>
          <w:tcPr>
            <w:tcW w:type="dxa" w:w="1701"/>
            <w:vAlign w:val="center"/>
            <w:tcMar>
              <w:top w:w="60" w:type="dxa"/>
              <w:start w:w="80" w:type="dxa"/>
              <w:bottom w:w="60" w:type="dxa"/>
              <w:end w:w="80" w:type="dxa"/>
            </w:tcMar>
          </w:tcPr>
          <w:p>
            <w:pPr>
              <w:spacing w:after="0" w:line="240" w:lineRule="auto"/>
              <w:jc w:val="center"/>
            </w:pPr>
            <w:r>
              <w:rPr>
                <w:rFonts w:ascii="Arial" w:hAnsi="Arial"/>
                <w:sz w:val="15"/>
              </w:rPr>
              <w:t>L50.0–L50.9 observed</w:t>
            </w:r>
          </w:p>
        </w:tc>
        <w:tc>
          <w:tcPr>
            <w:tcW w:type="dxa" w:w="4819"/>
            <w:vAlign w:val="center"/>
            <w:tcMar>
              <w:top w:w="60" w:type="dxa"/>
              <w:start w:w="80" w:type="dxa"/>
              <w:bottom w:w="60" w:type="dxa"/>
              <w:end w:w="80" w:type="dxa"/>
            </w:tcMar>
          </w:tcPr>
          <w:p>
            <w:pPr>
              <w:spacing w:after="0" w:line="240" w:lineRule="auto"/>
              <w:jc w:val="center"/>
            </w:pPr>
            <w:r>
              <w:rPr>
                <w:rFonts w:ascii="Arial" w:hAnsi="Arial"/>
                <w:sz w:val="15"/>
              </w:rPr>
              <w:t>Subcodes do not establish duration or chronic spontaneous urticaria</w:t>
            </w:r>
          </w:p>
        </w:tc>
      </w:tr>
    </w:tbl>
    <w:p>
      <w:pPr>
        <w:spacing w:before="40" w:after="140" w:line="240" w:lineRule="auto"/>
      </w:pPr>
      <w:r>
        <w:rPr>
          <w:rFonts w:ascii="Arial" w:hAnsi="Arial"/>
          <w:sz w:val="17"/>
        </w:rPr>
        <w:t>Rare hospital subcode counts below 10 are suppressed in the publicly shareable materials. The endpoint must be described as recorded urticaria.</w:t>
      </w:r>
    </w:p>
    <w:p>
      <w:r>
        <w:br w:type="page"/>
      </w:r>
    </w:p>
    <w:p>
      <w:pPr>
        <w:spacing w:before="160" w:after="80"/>
        <w:keepNext/>
      </w:pPr>
      <w:r>
        <w:rPr>
          <w:b/>
        </w:rPr>
        <w:t>Table S6. Reproducibility and quality-control checks</w:t>
      </w:r>
    </w:p>
    <w:tbl>
      <w:tblPr>
        <w:tblW w:type="auto" w:w="0"/>
        <w:jc w:val="center"/>
        <w:tblLayout w:type="fixed"/>
        <w:tblLook w:firstColumn="1" w:firstRow="1" w:lastColumn="0" w:lastRow="0" w:noHBand="0" w:noVBand="1" w:val="04A0"/>
        <w:tblBorders>
          <w:top w:val="single" w:sz="4" w:space="0" w:color="B7C2CC"/>
          <w:left w:val="single" w:sz="4" w:space="0" w:color="B7C2CC"/>
          <w:bottom w:val="single" w:sz="4" w:space="0" w:color="B7C2CC"/>
          <w:right w:val="single" w:sz="4" w:space="0" w:color="B7C2CC"/>
          <w:insideH w:val="single" w:sz="4" w:space="0" w:color="B7C2CC"/>
          <w:insideV w:val="single" w:sz="4" w:space="0" w:color="B7C2CC"/>
        </w:tblBorders>
      </w:tblPr>
      <w:tblGrid>
        <w:gridCol w:w="2268"/>
        <w:gridCol w:w="1134"/>
        <w:gridCol w:w="5386"/>
      </w:tblGrid>
      <w:tr>
        <w:trPr>
          <w:tblHeader w:val="true"/>
          <w:cantSplit/>
        </w:trPr>
        <w:tc>
          <w:tcPr>
            <w:tcW w:type="dxa" w:w="2268"/>
            <w:vAlign w:val="center"/>
          </w:tcPr>
          <w:p>
            <w:pPr>
              <w:spacing w:after="0"/>
              <w:jc w:val="center"/>
            </w:pPr>
            <w:r>
              <w:rPr>
                <w:rFonts w:ascii="Arial" w:hAnsi="Arial"/>
                <w:b/>
                <w:sz w:val="14"/>
              </w:rPr>
              <w:t>Check</w:t>
            </w:r>
          </w:p>
        </w:tc>
        <w:tc>
          <w:tcPr>
            <w:tcW w:type="dxa" w:w="1134"/>
            <w:vAlign w:val="center"/>
          </w:tcPr>
          <w:p>
            <w:pPr>
              <w:spacing w:after="0"/>
              <w:jc w:val="center"/>
            </w:pPr>
            <w:r>
              <w:rPr>
                <w:rFonts w:ascii="Arial" w:hAnsi="Arial"/>
                <w:b/>
                <w:sz w:val="14"/>
              </w:rPr>
              <w:t>Status</w:t>
            </w:r>
          </w:p>
        </w:tc>
        <w:tc>
          <w:tcPr>
            <w:tcW w:type="dxa" w:w="5386"/>
            <w:vAlign w:val="center"/>
          </w:tcPr>
          <w:p>
            <w:pPr>
              <w:spacing w:after="0"/>
              <w:jc w:val="center"/>
            </w:pPr>
            <w:r>
              <w:rPr>
                <w:rFonts w:ascii="Arial" w:hAnsi="Arial"/>
                <w:b/>
                <w:sz w:val="14"/>
              </w:rPr>
              <w:t>Evidence/interpretation</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4"/>
              </w:rPr>
              <w:t>Frozen co-primary plan</w:t>
            </w:r>
          </w:p>
        </w:tc>
        <w:tc>
          <w:tcPr>
            <w:tcW w:type="dxa" w:w="1134"/>
            <w:vAlign w:val="center"/>
            <w:tcMar>
              <w:top w:w="60" w:type="dxa"/>
              <w:start w:w="80" w:type="dxa"/>
              <w:bottom w:w="60" w:type="dxa"/>
              <w:end w:w="80" w:type="dxa"/>
            </w:tcMar>
          </w:tcPr>
          <w:p>
            <w:pPr>
              <w:spacing w:after="0" w:line="240" w:lineRule="auto"/>
              <w:jc w:val="center"/>
            </w:pPr>
            <w:r>
              <w:rPr>
                <w:rFonts w:ascii="Arial" w:hAnsi="Arial"/>
                <w:sz w:val="14"/>
              </w:rPr>
              <w:t>Pass</w:t>
            </w:r>
          </w:p>
        </w:tc>
        <w:tc>
          <w:tcPr>
            <w:tcW w:type="dxa" w:w="5386"/>
            <w:vAlign w:val="center"/>
            <w:tcMar>
              <w:top w:w="60" w:type="dxa"/>
              <w:start w:w="80" w:type="dxa"/>
              <w:bottom w:w="60" w:type="dxa"/>
              <w:end w:w="80" w:type="dxa"/>
            </w:tcMar>
          </w:tcPr>
          <w:p>
            <w:pPr>
              <w:spacing w:after="0" w:line="240" w:lineRule="auto"/>
              <w:jc w:val="center"/>
            </w:pPr>
            <w:r>
              <w:rPr>
                <w:rFonts w:ascii="Arial" w:hAnsi="Arial"/>
                <w:sz w:val="14"/>
              </w:rPr>
              <w:t>L50/L63 roles, model and multiplicity family preserved</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4"/>
              </w:rPr>
              <w:t>Independent raw derivation</w:t>
            </w:r>
          </w:p>
        </w:tc>
        <w:tc>
          <w:tcPr>
            <w:tcW w:type="dxa" w:w="1134"/>
            <w:vAlign w:val="center"/>
            <w:tcMar>
              <w:top w:w="60" w:type="dxa"/>
              <w:start w:w="80" w:type="dxa"/>
              <w:bottom w:w="60" w:type="dxa"/>
              <w:end w:w="80" w:type="dxa"/>
            </w:tcMar>
          </w:tcPr>
          <w:p>
            <w:pPr>
              <w:spacing w:after="0" w:line="240" w:lineRule="auto"/>
              <w:jc w:val="center"/>
            </w:pPr>
            <w:r>
              <w:rPr>
                <w:rFonts w:ascii="Arial" w:hAnsi="Arial"/>
                <w:sz w:val="14"/>
              </w:rPr>
              <w:t>Pass</w:t>
            </w:r>
          </w:p>
        </w:tc>
        <w:tc>
          <w:tcPr>
            <w:tcW w:type="dxa" w:w="5386"/>
            <w:vAlign w:val="center"/>
            <w:tcMar>
              <w:top w:w="60" w:type="dxa"/>
              <w:start w:w="80" w:type="dxa"/>
              <w:bottom w:w="60" w:type="dxa"/>
              <w:end w:w="80" w:type="dxa"/>
            </w:tcMar>
          </w:tcPr>
          <w:p>
            <w:pPr>
              <w:spacing w:after="0" w:line="240" w:lineRule="auto"/>
              <w:jc w:val="center"/>
            </w:pPr>
            <w:r>
              <w:t>502226 of 502226 participant-level derivations matched</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4"/>
              </w:rPr>
              <w:t>Independent primary and lag models</w:t>
            </w:r>
          </w:p>
        </w:tc>
        <w:tc>
          <w:tcPr>
            <w:tcW w:type="dxa" w:w="1134"/>
            <w:vAlign w:val="center"/>
            <w:tcMar>
              <w:top w:w="60" w:type="dxa"/>
              <w:start w:w="80" w:type="dxa"/>
              <w:bottom w:w="60" w:type="dxa"/>
              <w:end w:w="80" w:type="dxa"/>
            </w:tcMar>
          </w:tcPr>
          <w:p>
            <w:pPr>
              <w:spacing w:after="0" w:line="240" w:lineRule="auto"/>
              <w:jc w:val="center"/>
            </w:pPr>
            <w:r>
              <w:rPr>
                <w:rFonts w:ascii="Arial" w:hAnsi="Arial"/>
                <w:sz w:val="14"/>
              </w:rPr>
              <w:t>Pass</w:t>
            </w:r>
          </w:p>
        </w:tc>
        <w:tc>
          <w:tcPr>
            <w:tcW w:type="dxa" w:w="5386"/>
            <w:vAlign w:val="center"/>
            <w:tcMar>
              <w:top w:w="60" w:type="dxa"/>
              <w:start w:w="80" w:type="dxa"/>
              <w:bottom w:w="60" w:type="dxa"/>
              <w:end w:w="80" w:type="dxa"/>
            </w:tcMar>
          </w:tcPr>
          <w:p>
            <w:pPr>
              <w:spacing w:after="0" w:line="240" w:lineRule="auto"/>
              <w:jc w:val="center"/>
            </w:pPr>
            <w:r>
              <w:rPr>
                <w:rFonts w:ascii="Arial" w:hAnsi="Arial"/>
                <w:sz w:val="14"/>
              </w:rPr>
              <w:t>N, events, exposed events, HR and P reproduced within 1×10−10</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4"/>
              </w:rPr>
              <w:t>Primary proportional hazards test</w:t>
            </w:r>
          </w:p>
        </w:tc>
        <w:tc>
          <w:tcPr>
            <w:tcW w:type="dxa" w:w="1134"/>
            <w:vAlign w:val="center"/>
            <w:tcMar>
              <w:top w:w="60" w:type="dxa"/>
              <w:start w:w="80" w:type="dxa"/>
              <w:bottom w:w="60" w:type="dxa"/>
              <w:end w:w="80" w:type="dxa"/>
            </w:tcMar>
          </w:tcPr>
          <w:p>
            <w:pPr>
              <w:spacing w:after="0" w:line="240" w:lineRule="auto"/>
              <w:jc w:val="center"/>
            </w:pPr>
            <w:r>
              <w:rPr>
                <w:rFonts w:ascii="Arial" w:hAnsi="Arial"/>
                <w:sz w:val="14"/>
              </w:rPr>
              <w:t>Pass</w:t>
            </w:r>
          </w:p>
        </w:tc>
        <w:tc>
          <w:tcPr>
            <w:tcW w:type="dxa" w:w="5386"/>
            <w:vAlign w:val="center"/>
            <w:tcMar>
              <w:top w:w="60" w:type="dxa"/>
              <w:start w:w="80" w:type="dxa"/>
              <w:bottom w:w="60" w:type="dxa"/>
              <w:end w:w="80" w:type="dxa"/>
            </w:tcMar>
          </w:tcPr>
          <w:p>
            <w:pPr>
              <w:spacing w:after="0" w:line="240" w:lineRule="auto"/>
              <w:jc w:val="center"/>
            </w:pPr>
            <w:r>
              <w:rPr>
                <w:rFonts w:ascii="Arial" w:hAnsi="Arial"/>
                <w:sz w:val="14"/>
              </w:rPr>
              <w:t>Exposure P=0.639</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4"/>
              </w:rPr>
              <w:t>Field 3546/6153 consistency</w:t>
            </w:r>
          </w:p>
        </w:tc>
        <w:tc>
          <w:tcPr>
            <w:tcW w:type="dxa" w:w="1134"/>
            <w:vAlign w:val="center"/>
            <w:tcMar>
              <w:top w:w="60" w:type="dxa"/>
              <w:start w:w="80" w:type="dxa"/>
              <w:bottom w:w="60" w:type="dxa"/>
              <w:end w:w="80" w:type="dxa"/>
            </w:tcMar>
          </w:tcPr>
          <w:p>
            <w:pPr>
              <w:spacing w:after="0" w:line="240" w:lineRule="auto"/>
              <w:jc w:val="center"/>
            </w:pPr>
            <w:r>
              <w:rPr>
                <w:rFonts w:ascii="Arial" w:hAnsi="Arial"/>
                <w:sz w:val="14"/>
              </w:rPr>
              <w:t>Pass</w:t>
            </w:r>
          </w:p>
        </w:tc>
        <w:tc>
          <w:tcPr>
            <w:tcW w:type="dxa" w:w="5386"/>
            <w:vAlign w:val="center"/>
            <w:tcMar>
              <w:top w:w="60" w:type="dxa"/>
              <w:start w:w="80" w:type="dxa"/>
              <w:bottom w:w="60" w:type="dxa"/>
              <w:end w:w="80" w:type="dxa"/>
            </w:tcMar>
          </w:tcPr>
          <w:p>
            <w:pPr>
              <w:spacing w:after="0" w:line="240" w:lineRule="auto"/>
              <w:jc w:val="center"/>
            </w:pPr>
            <w:r>
              <w:rPr>
                <w:rFonts w:ascii="Arial" w:hAnsi="Arial"/>
                <w:sz w:val="14"/>
              </w:rPr>
              <w:t>Strict restriction reproduced the primary direction and magnitude</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4"/>
              </w:rPr>
              <w:t>Overlap-weighted balance</w:t>
            </w:r>
          </w:p>
        </w:tc>
        <w:tc>
          <w:tcPr>
            <w:tcW w:type="dxa" w:w="1134"/>
            <w:vAlign w:val="center"/>
            <w:tcMar>
              <w:top w:w="60" w:type="dxa"/>
              <w:start w:w="80" w:type="dxa"/>
              <w:bottom w:w="60" w:type="dxa"/>
              <w:end w:w="80" w:type="dxa"/>
            </w:tcMar>
          </w:tcPr>
          <w:p>
            <w:pPr>
              <w:spacing w:after="0" w:line="240" w:lineRule="auto"/>
              <w:jc w:val="center"/>
            </w:pPr>
            <w:r>
              <w:rPr>
                <w:rFonts w:ascii="Arial" w:hAnsi="Arial"/>
                <w:sz w:val="14"/>
              </w:rPr>
              <w:t>Pass</w:t>
            </w:r>
          </w:p>
        </w:tc>
        <w:tc>
          <w:tcPr>
            <w:tcW w:type="dxa" w:w="5386"/>
            <w:vAlign w:val="center"/>
            <w:tcMar>
              <w:top w:w="60" w:type="dxa"/>
              <w:start w:w="80" w:type="dxa"/>
              <w:bottom w:w="60" w:type="dxa"/>
              <w:end w:w="80" w:type="dxa"/>
            </w:tcMar>
          </w:tcPr>
          <w:p>
            <w:pPr>
              <w:spacing w:after="0" w:line="240" w:lineRule="auto"/>
              <w:jc w:val="center"/>
            </w:pPr>
            <w:r>
              <w:rPr>
                <w:rFonts w:ascii="Arial" w:hAnsi="Arial"/>
                <w:sz w:val="14"/>
              </w:rPr>
              <w:t>Maximum absolute SMD 2.16×10−8</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4"/>
              </w:rPr>
              <w:t>Stabilized-weight balance</w:t>
            </w:r>
          </w:p>
        </w:tc>
        <w:tc>
          <w:tcPr>
            <w:tcW w:type="dxa" w:w="1134"/>
            <w:vAlign w:val="center"/>
            <w:tcMar>
              <w:top w:w="60" w:type="dxa"/>
              <w:start w:w="80" w:type="dxa"/>
              <w:bottom w:w="60" w:type="dxa"/>
              <w:end w:w="80" w:type="dxa"/>
            </w:tcMar>
          </w:tcPr>
          <w:p>
            <w:pPr>
              <w:spacing w:after="0" w:line="240" w:lineRule="auto"/>
              <w:jc w:val="center"/>
            </w:pPr>
            <w:r>
              <w:rPr>
                <w:rFonts w:ascii="Arial" w:hAnsi="Arial"/>
                <w:sz w:val="14"/>
              </w:rPr>
              <w:t>Fail retained</w:t>
            </w:r>
          </w:p>
        </w:tc>
        <w:tc>
          <w:tcPr>
            <w:tcW w:type="dxa" w:w="5386"/>
            <w:vAlign w:val="center"/>
            <w:tcMar>
              <w:top w:w="60" w:type="dxa"/>
              <w:start w:w="80" w:type="dxa"/>
              <w:bottom w:w="60" w:type="dxa"/>
              <w:end w:w="80" w:type="dxa"/>
            </w:tcMar>
          </w:tcPr>
          <w:p>
            <w:pPr>
              <w:spacing w:after="0" w:line="240" w:lineRule="auto"/>
              <w:jc w:val="center"/>
            </w:pPr>
            <w:r>
              <w:rPr>
                <w:rFonts w:ascii="Arial" w:hAnsi="Arial"/>
                <w:sz w:val="14"/>
              </w:rPr>
              <w:t>Maximum weighted absolute SMD 0.404; no causal claim</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4"/>
              </w:rPr>
              <w:t>E-value</w:t>
            </w:r>
          </w:p>
        </w:tc>
        <w:tc>
          <w:tcPr>
            <w:tcW w:type="dxa" w:w="1134"/>
            <w:vAlign w:val="center"/>
            <w:tcMar>
              <w:top w:w="60" w:type="dxa"/>
              <w:start w:w="80" w:type="dxa"/>
              <w:bottom w:w="60" w:type="dxa"/>
              <w:end w:w="80" w:type="dxa"/>
            </w:tcMar>
          </w:tcPr>
          <w:p>
            <w:pPr>
              <w:spacing w:after="0" w:line="240" w:lineRule="auto"/>
              <w:jc w:val="center"/>
            </w:pPr>
            <w:r>
              <w:rPr>
                <w:rFonts w:ascii="Arial" w:hAnsi="Arial"/>
                <w:sz w:val="14"/>
              </w:rPr>
              <w:t>Complete</w:t>
            </w:r>
          </w:p>
        </w:tc>
        <w:tc>
          <w:tcPr>
            <w:tcW w:type="dxa" w:w="5386"/>
            <w:vAlign w:val="center"/>
            <w:tcMar>
              <w:top w:w="60" w:type="dxa"/>
              <w:start w:w="80" w:type="dxa"/>
              <w:bottom w:w="60" w:type="dxa"/>
              <w:end w:w="80" w:type="dxa"/>
            </w:tcMar>
          </w:tcPr>
          <w:p>
            <w:pPr>
              <w:spacing w:after="0" w:line="240" w:lineRule="auto"/>
              <w:jc w:val="center"/>
            </w:pPr>
            <w:r>
              <w:rPr>
                <w:rFonts w:ascii="Arial" w:hAnsi="Arial"/>
                <w:sz w:val="14"/>
              </w:rPr>
              <w:t>Point 1.58; confidence-limit 1.28</w:t>
            </w:r>
          </w:p>
        </w:tc>
      </w:tr>
      <w:tr>
        <w:trPr>
          <w:cantSplit/>
        </w:trPr>
        <w:tc>
          <w:tcPr>
            <w:tcW w:type="dxa" w:w="2268"/>
            <w:vAlign w:val="center"/>
            <w:tcMar>
              <w:top w:w="60" w:type="dxa"/>
              <w:start w:w="80" w:type="dxa"/>
              <w:bottom w:w="60" w:type="dxa"/>
              <w:end w:w="80" w:type="dxa"/>
            </w:tcMar>
          </w:tcPr>
          <w:p>
            <w:pPr>
              <w:spacing w:after="0" w:line="240" w:lineRule="auto"/>
              <w:jc w:val="left"/>
            </w:pPr>
            <w:r>
              <w:rPr>
                <w:rFonts w:ascii="Arial" w:hAnsi="Arial"/>
                <w:sz w:val="14"/>
              </w:rPr>
              <w:t>Literature collision update</w:t>
            </w:r>
          </w:p>
        </w:tc>
        <w:tc>
          <w:tcPr>
            <w:tcW w:type="dxa" w:w="1134"/>
            <w:vAlign w:val="center"/>
            <w:tcMar>
              <w:top w:w="60" w:type="dxa"/>
              <w:start w:w="80" w:type="dxa"/>
              <w:bottom w:w="60" w:type="dxa"/>
              <w:end w:w="80" w:type="dxa"/>
            </w:tcMar>
          </w:tcPr>
          <w:p>
            <w:pPr>
              <w:spacing w:after="0" w:line="240" w:lineRule="auto"/>
              <w:jc w:val="center"/>
            </w:pPr>
            <w:r>
              <w:rPr>
                <w:rFonts w:ascii="Arial" w:hAnsi="Arial"/>
                <w:sz w:val="14"/>
              </w:rPr>
              <w:t>Complete</w:t>
            </w:r>
          </w:p>
        </w:tc>
        <w:tc>
          <w:tcPr>
            <w:tcW w:type="dxa" w:w="5386"/>
            <w:vAlign w:val="center"/>
            <w:tcMar>
              <w:top w:w="60" w:type="dxa"/>
              <w:start w:w="80" w:type="dxa"/>
              <w:bottom w:w="60" w:type="dxa"/>
              <w:end w:w="80" w:type="dxa"/>
            </w:tcMar>
          </w:tcPr>
          <w:p>
            <w:pPr>
              <w:spacing w:after="0" w:line="240" w:lineRule="auto"/>
              <w:jc w:val="center"/>
            </w:pPr>
            <w:r>
              <w:rPr>
                <w:rFonts w:ascii="Arial" w:hAnsi="Arial"/>
                <w:sz w:val="14"/>
              </w:rPr>
              <w:t>No direct baseline hormone therapy→recorded L50 cohort identified through 10 September 2026</w:t>
            </w:r>
          </w:p>
        </w:tc>
      </w:tr>
    </w:tbl>
    <w:sectPr w:rsidR="00FC693F" w:rsidRPr="0006063C" w:rsidSect="00034616">
      <w:footerReference w:type="default" r:id="rId9"/>
      <w:pgSz w:w="12240" w:h="15840"/>
      <w:pgMar w:top="1701" w:right="1701" w:bottom="1701" w:left="1701" w:header="720" w:footer="720" w:gutter="0"/>
      <w:cols w:space="720"/>
      <w:docGrid w:linePitch="360"/>
      <w:lnNumType w:countBy="1" w:start="1" w:restart="continuous" w:distance="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0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eastAsia="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eastAsia="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rial" w:hAnsi="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rial" w:hAnsi="Arial" w:eastAsia="Arial"/>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76" w:lineRule="auto"/>
      <w:contextualSpacing/>
    </w:pPr>
    <w:rPr>
      <w:rFonts w:ascii="Arial" w:hAnsi="Arial" w:eastAsia="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76" w:lineRule="auto"/>
      <w:contextualSpacing/>
    </w:pPr>
    <w:rPr>
      <w:rFonts w:ascii="Arial" w:hAnsi="Arial" w:eastAsia="Arial"/>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Supplementary material</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