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ectPr w:rsidR="00FC693F" w:rsidRPr="0006063C" w:rsidSect="00034616">
      <w:pgSz w:w="12240" w:h="15840"/>
      <w:pgMar w:top="1440" w:right="1800" w:bottom="1440" w:left="1800" w:header="720" w:footer="720" w:gutter="0"/>
      <w:cols w:space="720"/>
      <w:docGrid w:linePitch="360"/>
    </w:sectPr>
    <w:p w14:paraId="79374C64" w14:textId="77777777" w:rsidR="00000000" w:rsidRDefault="00000000">
      <w:pPr>
        <w:widowControl w:val="0"/>
        <w:autoSpaceDE w:val="0"/>
        <w:autoSpaceDN w:val="0"/>
        <w:adjustRightInd w:val="0"/>
        <w:spacing w:after="200" w:line="240" w:lineRule="auto"/>
        <w:rPr>
          <w:rFonts w:ascii="Times New Roman" w:hAnsi="Times New Roman"/>
          <w:kern w:val="0"/>
        </w:rPr>
      </w:pPr>
      <w:r>
        <w:rPr>
          <w:rFonts w:ascii="Times New Roman" w:hAnsi="Times New Roman"/>
          <w:kern w:val="0"/>
        </w:rPr>
        <w:t>Supplementary material to "AI Governance Under Political Constraints: The Case for Ex Post Liability." Citations follow the reference list of the main manuscript; works cited only in this appendix are listed at the end.</w:t>
      </w:r>
    </w:p>
    <w:p w14:paraId="29854866" w14:textId="77777777" w:rsidR="00000000" w:rsidRDefault="00000000">
      <w:pPr>
        <w:widowControl w:val="0"/>
        <w:autoSpaceDE w:val="0"/>
        <w:autoSpaceDN w:val="0"/>
        <w:adjustRightInd w:val="0"/>
        <w:spacing w:after="200" w:line="240" w:lineRule="auto"/>
        <w:rPr>
          <w:rFonts w:ascii="Times New Roman" w:hAnsi="Times New Roman"/>
          <w:kern w:val="0"/>
        </w:rPr>
      </w:pPr>
      <w:r>
        <w:rPr>
          <w:rFonts w:ascii="Times New Roman" w:hAnsi="Times New Roman"/>
          <w:b/>
          <w:bCs/>
          <w:kern w:val="0"/>
          <w:sz w:val="26"/>
          <w:szCs w:val="26"/>
        </w:rPr>
        <w:t>Appendix: Precautionary decision rules and instrument choice</w:t>
      </w:r>
    </w:p>
    <w:p w14:paraId="79374C64" w14:textId="77777777" w:rsidR="00000000" w:rsidRDefault="00000000">
      <w:pPr>
        <w:widowControl w:val="0"/>
        <w:autoSpaceDE w:val="0"/>
        <w:autoSpaceDN w:val="0"/>
        <w:adjustRightInd w:val="0"/>
        <w:spacing w:after="200" w:line="240" w:lineRule="auto"/>
        <w:rPr>
          <w:rFonts w:ascii="Times New Roman" w:hAnsi="Times New Roman"/>
          <w:kern w:val="0"/>
        </w:rPr>
      </w:pPr>
      <w:r>
        <w:rPr>
          <w:rFonts w:ascii="Times New Roman" w:hAnsi="Times New Roman"/>
          <w:kern w:val="0"/>
        </w:rPr>
        <w:t>This article's analysis invites the objection that catastrophic AI risk calls for a precautionary decision rule rather than expected-welfare maximization. Its strongest form invokes maximin, a decision rule that prioritizes making the worst-case scenario as good as possible. Gardiner (2006), drawing on Rawls, sets four conditions for its use: (1) knowledge of the relevant likelihoods must be impossible or subject to sharp discount, (2) decision-makers must care relatively little for gains above the minimum that maximin guarantees, (3) the alternatives maximin rejects must have unacceptable outcomes, and (4) the worst cases considered must be credible rather than merely conceivable. Sunstein (2006, 2021) endorses maximin where probabilities cannot be assigned, while warning that the policies it selects can generate harms of their own.</w:t>
      </w:r>
    </w:p>
    <w:p w14:paraId="597A8247" w14:textId="77777777" w:rsidR="00000000" w:rsidRDefault="00000000">
      <w:pPr>
        <w:widowControl w:val="0"/>
        <w:autoSpaceDE w:val="0"/>
        <w:autoSpaceDN w:val="0"/>
        <w:adjustRightInd w:val="0"/>
        <w:spacing w:after="200" w:line="240" w:lineRule="auto"/>
        <w:rPr>
          <w:rFonts w:ascii="Times New Roman" w:hAnsi="Times New Roman"/>
          <w:kern w:val="0"/>
        </w:rPr>
      </w:pPr>
      <w:r>
        <w:rPr>
          <w:rFonts w:ascii="Times New Roman" w:hAnsi="Times New Roman"/>
          <w:kern w:val="0"/>
        </w:rPr>
        <w:t xml:space="preserve">The first condition is contested. Many participants offer subjective probabilities of extreme outcomes, but these range from above ninety-nine percent to below one percent, and whether </w:t>
      </w:r>
      <w:proofErr w:type="spellStart"/>
      <w:r>
        <w:rPr>
          <w:rFonts w:ascii="Times New Roman" w:hAnsi="Times New Roman"/>
          <w:kern w:val="0"/>
        </w:rPr>
        <w:t>credences</w:t>
      </w:r>
      <w:proofErr w:type="spellEnd"/>
      <w:r>
        <w:rPr>
          <w:rFonts w:ascii="Times New Roman" w:hAnsi="Times New Roman"/>
          <w:kern w:val="0"/>
        </w:rPr>
        <w:t xml:space="preserve"> dispersed that widely count as assignable probabilities is itself disputed. The risk skeptics are often the ones insisting the probabilities are unknowable, which places the usual epistemic justification for precaution on the side of those least inclined to invoke it. Regardless, the case for liability does not depend on this condition.</w:t>
      </w:r>
    </w:p>
    <w:p w14:paraId="4BE4B1A3" w14:textId="77777777" w:rsidR="00000000" w:rsidRDefault="00000000">
      <w:pPr>
        <w:widowControl w:val="0"/>
        <w:autoSpaceDE w:val="0"/>
        <w:autoSpaceDN w:val="0"/>
        <w:adjustRightInd w:val="0"/>
        <w:spacing w:after="200" w:line="240" w:lineRule="auto"/>
        <w:rPr>
          <w:rFonts w:ascii="Times New Roman" w:hAnsi="Times New Roman"/>
          <w:kern w:val="0"/>
        </w:rPr>
      </w:pPr>
      <w:r>
        <w:rPr>
          <w:rFonts w:ascii="Times New Roman" w:hAnsi="Times New Roman"/>
          <w:kern w:val="0"/>
        </w:rPr>
        <w:t xml:space="preserve">The second condition fails. Gardiner's own example is a policy that averts catastrophic warming at the cost of slowing luxury consumption, which he takes to satisfy the condition even where the dollar costs are very large, because the gains forgone are </w:t>
      </w:r>
      <w:proofErr w:type="gramStart"/>
      <w:r>
        <w:rPr>
          <w:rFonts w:ascii="Times New Roman" w:hAnsi="Times New Roman"/>
          <w:kern w:val="0"/>
        </w:rPr>
        <w:t>ones</w:t>
      </w:r>
      <w:proofErr w:type="gramEnd"/>
      <w:r>
        <w:rPr>
          <w:rFonts w:ascii="Times New Roman" w:hAnsi="Times New Roman"/>
          <w:kern w:val="0"/>
        </w:rPr>
        <w:t xml:space="preserve"> we can be indifferent to. The gains forgone by suppressing AI development are not of that kind. They include accelerated drug discovery and the mortality reductions it would deliver, to which no one is indifferent.</w:t>
      </w:r>
    </w:p>
    <w:p w14:paraId="1F7F9DDF" w14:textId="77777777" w:rsidR="00000000" w:rsidRDefault="00000000">
      <w:pPr>
        <w:widowControl w:val="0"/>
        <w:autoSpaceDE w:val="0"/>
        <w:autoSpaceDN w:val="0"/>
        <w:adjustRightInd w:val="0"/>
        <w:spacing w:after="200" w:line="240" w:lineRule="auto"/>
        <w:rPr>
          <w:rFonts w:ascii="Times New Roman" w:hAnsi="Times New Roman"/>
          <w:kern w:val="0"/>
        </w:rPr>
      </w:pPr>
      <w:r>
        <w:rPr>
          <w:rFonts w:ascii="Times New Roman" w:hAnsi="Times New Roman"/>
          <w:kern w:val="0"/>
        </w:rPr>
        <w:t xml:space="preserve">The third condition holds, but it offers little guidance in this case. Maximin promises an option whose worst case is tolerable, and here no option has one. Any instrument stringent enough to eliminate the worst AI outcomes carries a catastrophic tail of its own, a difficulty Sunstein raises about maximin generally. A permanent global ban requires an enforcement authority with surveillance and coercion powers sufficient to suppress a general-purpose technology everywhere and forever, an institution whose abuse potential is an existential-scale </w:t>
      </w:r>
      <w:proofErr w:type="gramStart"/>
      <w:r>
        <w:rPr>
          <w:rFonts w:ascii="Times New Roman" w:hAnsi="Times New Roman"/>
          <w:kern w:val="0"/>
        </w:rPr>
        <w:t>hazard in itself</w:t>
      </w:r>
      <w:proofErr w:type="gramEnd"/>
      <w:r>
        <w:rPr>
          <w:rFonts w:ascii="Times New Roman" w:hAnsi="Times New Roman"/>
          <w:kern w:val="0"/>
        </w:rPr>
        <w:t xml:space="preserve">. And such an authority might not be able to credibly commit not to </w:t>
      </w:r>
      <w:proofErr w:type="gramStart"/>
      <w:r>
        <w:rPr>
          <w:rFonts w:ascii="Times New Roman" w:hAnsi="Times New Roman"/>
          <w:kern w:val="0"/>
        </w:rPr>
        <w:t>develop</w:t>
      </w:r>
      <w:proofErr w:type="gramEnd"/>
      <w:r>
        <w:rPr>
          <w:rFonts w:ascii="Times New Roman" w:hAnsi="Times New Roman"/>
          <w:kern w:val="0"/>
        </w:rPr>
        <w:t xml:space="preserve"> the technology itself, since no outside body with the capacity to enforce such a commitment would remain standing. Lesser restrictions that halt capability research while chip manufacturing continues allow a compute overhang to accumulate, so that any breach, repeal, or defection converts stored hardware into a discontinuous capability jump under worse safety conditions than continuous development would have produced. The conditions-based pause described in Section 4 is not vulnerable in the same way. It binds one developer at a time and lifts as soon as an insurer will write the coverage, so it does not hold the frontier still while hardware accumulates.</w:t>
      </w:r>
    </w:p>
    <w:p w14:paraId="7DD83DD0" w14:textId="77777777" w:rsidR="00000000" w:rsidRDefault="00000000">
      <w:pPr>
        <w:widowControl w:val="0"/>
        <w:autoSpaceDE w:val="0"/>
        <w:autoSpaceDN w:val="0"/>
        <w:adjustRightInd w:val="0"/>
        <w:spacing w:after="200" w:line="240" w:lineRule="auto"/>
        <w:rPr>
          <w:rFonts w:ascii="Times New Roman" w:hAnsi="Times New Roman"/>
          <w:kern w:val="0"/>
        </w:rPr>
      </w:pPr>
      <w:r>
        <w:rPr>
          <w:rFonts w:ascii="Times New Roman" w:hAnsi="Times New Roman"/>
          <w:kern w:val="0"/>
        </w:rPr>
        <w:t xml:space="preserve">The fourth condition is satisfied. The catastrophic outcomes at issue are taken seriously by </w:t>
      </w:r>
      <w:r>
        <w:rPr>
          <w:rFonts w:ascii="Times New Roman" w:hAnsi="Times New Roman"/>
          <w:kern w:val="0"/>
        </w:rPr>
        <w:lastRenderedPageBreak/>
        <w:t>people with the relevant expertise, whatever probabilities they attach to them, so the threats being weighed are credible rather than merely conceivable.</w:t>
      </w:r>
    </w:p>
    <w:p w14:paraId="6BC8518A" w14:textId="77777777" w:rsidR="00255871" w:rsidRDefault="00000000">
      <w:pPr>
        <w:widowControl w:val="0"/>
        <w:autoSpaceDE w:val="0"/>
        <w:autoSpaceDN w:val="0"/>
        <w:adjustRightInd w:val="0"/>
        <w:spacing w:after="200" w:line="240" w:lineRule="auto"/>
        <w:rPr>
          <w:rFonts w:ascii="Times New Roman" w:hAnsi="Times New Roman"/>
          <w:kern w:val="0"/>
        </w:rPr>
      </w:pPr>
      <w:r>
        <w:rPr>
          <w:rFonts w:ascii="Times New Roman" w:hAnsi="Times New Roman"/>
          <w:kern w:val="0"/>
        </w:rPr>
        <w:t xml:space="preserve">Where every alternative carries an unacceptable worst case, there is no maximin option. To address this, Bostrom (2013) proposes </w:t>
      </w:r>
      <w:proofErr w:type="spellStart"/>
      <w:r>
        <w:rPr>
          <w:rFonts w:ascii="Times New Roman" w:hAnsi="Times New Roman"/>
          <w:kern w:val="0"/>
        </w:rPr>
        <w:t>maxipok</w:t>
      </w:r>
      <w:proofErr w:type="spellEnd"/>
      <w:r>
        <w:rPr>
          <w:rFonts w:ascii="Times New Roman" w:hAnsi="Times New Roman"/>
          <w:kern w:val="0"/>
        </w:rPr>
        <w:t xml:space="preserve">, maximizing the probability of an outcome that avoids catastrophe. If some option could guarantee an acceptable outcome, both </w:t>
      </w:r>
      <w:proofErr w:type="spellStart"/>
      <w:r>
        <w:rPr>
          <w:rFonts w:ascii="Times New Roman" w:hAnsi="Times New Roman"/>
          <w:kern w:val="0"/>
        </w:rPr>
        <w:t>maxipok</w:t>
      </w:r>
      <w:proofErr w:type="spellEnd"/>
      <w:r>
        <w:rPr>
          <w:rFonts w:ascii="Times New Roman" w:hAnsi="Times New Roman"/>
          <w:kern w:val="0"/>
        </w:rPr>
        <w:t xml:space="preserve"> and maximin would endorse it. This account favors options that mitigate risk substantially where it turns out to be high without increasing the risk of other catastrophes where it turns out to be low, that preserve the capacity to act once danger is identified, and that generate evidence about where danger lies before a catastrophe does. A ban fares badly on the first and third. Its enforcement apparatus is no less dangerous if AI proves safe, and it forecloses the evidence that would show whether it was needed. Liability, by contrast, imposes substantial burdens only in the worlds where AI proves dangerous, for the reasons given in Section 4. Underwriting elicits and prices private information about system dangerousness, while the option to halt rests on the liability insurance requirement and the backstop described in Section 5. Development stops only when no adequately capitalized insurer is willing to issue coverage at an affordable premium, or when the government persuades a court that training or deploying a class of models generates risks liability cannot adequately mitigate. The insurance requirement and the backstop are both ex ante, so neither escapes the objection entirely. Insurers price the risk with their own capital exposed, and the backstop is designed to be tightly constrained by reviewing courts with no bureaucratic incentive to authorize excessive restrictions. The liability-based governance outlined above thus satisfies the core objectives of a realistic precautionary approach to AI.</w:t>
      </w:r>
    </w:p>
    <w:p w14:paraId="3411E3F9" w14:textId="77777777" w:rsidR="00000000" w:rsidRDefault="00000000">
      <w:pPr>
        <w:widowControl w:val="0"/>
        <w:autoSpaceDE w:val="0"/>
        <w:autoSpaceDN w:val="0"/>
        <w:adjustRightInd w:val="0"/>
        <w:spacing w:after="200" w:line="240" w:lineRule="auto"/>
        <w:rPr>
          <w:rFonts w:ascii="Times New Roman" w:hAnsi="Times New Roman"/>
          <w:kern w:val="0"/>
        </w:rPr>
      </w:pPr>
      <w:r>
        <w:rPr>
          <w:rFonts w:ascii="Times New Roman" w:hAnsi="Times New Roman"/>
          <w:b/>
          <w:bCs/>
          <w:kern w:val="0"/>
          <w:sz w:val="26"/>
          <w:szCs w:val="26"/>
        </w:rPr>
        <w:t>References</w:t>
      </w:r>
    </w:p>
    <w:p w14:paraId="412E4B77" w14:textId="77777777" w:rsidR="00000000" w:rsidRDefault="00000000">
      <w:pPr>
        <w:widowControl w:val="0"/>
        <w:autoSpaceDE w:val="0"/>
        <w:autoSpaceDN w:val="0"/>
        <w:adjustRightInd w:val="0"/>
        <w:spacing w:after="200" w:line="240" w:lineRule="auto"/>
        <w:ind w:left="720" w:hanging="720"/>
        <w:rPr>
          <w:rFonts w:ascii="Times New Roman" w:hAnsi="Times New Roman"/>
          <w:kern w:val="0"/>
        </w:rPr>
      </w:pPr>
      <w:r>
        <w:rPr>
          <w:rFonts w:ascii="Times New Roman" w:hAnsi="Times New Roman"/>
          <w:kern w:val="0"/>
        </w:rPr>
        <w:t xml:space="preserve">Bostrom, Nick. (2013). Existential risk prevention </w:t>
      </w:r>
      <w:proofErr w:type="gramStart"/>
      <w:r>
        <w:rPr>
          <w:rFonts w:ascii="Times New Roman" w:hAnsi="Times New Roman"/>
          <w:kern w:val="0"/>
        </w:rPr>
        <w:t>as</w:t>
      </w:r>
      <w:proofErr w:type="gramEnd"/>
      <w:r>
        <w:rPr>
          <w:rFonts w:ascii="Times New Roman" w:hAnsi="Times New Roman"/>
          <w:kern w:val="0"/>
        </w:rPr>
        <w:t xml:space="preserve"> global priority. Global Policy, 4(1), 15–31.</w:t>
      </w:r>
    </w:p>
    <w:p w14:paraId="1070915F" w14:textId="77777777" w:rsidR="00000000" w:rsidRDefault="00000000">
      <w:pPr>
        <w:widowControl w:val="0"/>
        <w:autoSpaceDE w:val="0"/>
        <w:autoSpaceDN w:val="0"/>
        <w:adjustRightInd w:val="0"/>
        <w:spacing w:after="200" w:line="240" w:lineRule="auto"/>
        <w:ind w:left="720" w:hanging="720"/>
        <w:rPr>
          <w:rFonts w:ascii="Times New Roman" w:hAnsi="Times New Roman"/>
          <w:kern w:val="0"/>
        </w:rPr>
      </w:pPr>
      <w:r>
        <w:rPr>
          <w:rFonts w:ascii="Times New Roman" w:hAnsi="Times New Roman"/>
          <w:kern w:val="0"/>
        </w:rPr>
        <w:t>Gardiner, Stephen M. (2006). A core precautionary principle. Journal of Political Philosophy, 14(1), 33–60.</w:t>
      </w:r>
    </w:p>
    <w:p w14:paraId="01F21EF9" w14:textId="77777777" w:rsidR="00000000" w:rsidRDefault="00000000">
      <w:pPr>
        <w:widowControl w:val="0"/>
        <w:autoSpaceDE w:val="0"/>
        <w:autoSpaceDN w:val="0"/>
        <w:adjustRightInd w:val="0"/>
        <w:spacing w:after="200" w:line="240" w:lineRule="auto"/>
        <w:ind w:left="720" w:hanging="720"/>
        <w:rPr>
          <w:rFonts w:ascii="Times New Roman" w:hAnsi="Times New Roman"/>
          <w:kern w:val="0"/>
        </w:rPr>
      </w:pPr>
      <w:r>
        <w:rPr>
          <w:rFonts w:ascii="Times New Roman" w:hAnsi="Times New Roman"/>
          <w:kern w:val="0"/>
        </w:rPr>
        <w:t>Sunstein, Cass R. (2006). Irreversible and catastrophic. Cornell Law Review, 91(4), 841–897.</w:t>
      </w:r>
    </w:p>
    <w:p w14:paraId="409AFA91" w14:textId="77777777" w:rsidR="00000000" w:rsidRDefault="00000000">
      <w:pPr>
        <w:widowControl w:val="0"/>
        <w:autoSpaceDE w:val="0"/>
        <w:autoSpaceDN w:val="0"/>
        <w:adjustRightInd w:val="0"/>
        <w:spacing w:after="200" w:line="240" w:lineRule="auto"/>
        <w:ind w:left="720" w:hanging="720"/>
        <w:rPr>
          <w:rFonts w:ascii="Times New Roman" w:hAnsi="Times New Roman"/>
          <w:kern w:val="0"/>
        </w:rPr>
      </w:pPr>
      <w:r>
        <w:rPr>
          <w:rFonts w:ascii="Times New Roman" w:hAnsi="Times New Roman"/>
          <w:kern w:val="0"/>
        </w:rPr>
        <w:t>Sunstein, Cass R. (2021). Averting catastrophe: Decision theory for COVID-19, climate change, and potential disasters of all kinds. New York: NYU Press.</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cp:coreProperties>
</file>