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23E55" w14:textId="47374B95" w:rsidR="003A2F5E" w:rsidRPr="002223CC" w:rsidRDefault="003A2F5E" w:rsidP="003A2F5E">
      <w:pPr>
        <w:rPr>
          <w:b/>
          <w:bCs/>
          <w:sz w:val="28"/>
          <w:szCs w:val="28"/>
        </w:rPr>
      </w:pPr>
      <w:r w:rsidRPr="002223CC">
        <w:rPr>
          <w:b/>
          <w:bCs/>
          <w:sz w:val="28"/>
          <w:szCs w:val="28"/>
        </w:rPr>
        <w:t>Fluctuating conduit dynamics during the Hrafntinnuhraun rhyolitic fissure eruption,</w:t>
      </w:r>
      <w:r w:rsidR="004035EB" w:rsidRPr="002223CC">
        <w:rPr>
          <w:b/>
          <w:bCs/>
          <w:sz w:val="28"/>
          <w:szCs w:val="28"/>
        </w:rPr>
        <w:t xml:space="preserve"> </w:t>
      </w:r>
      <w:r w:rsidRPr="002223CC">
        <w:rPr>
          <w:b/>
          <w:bCs/>
          <w:sz w:val="28"/>
          <w:szCs w:val="28"/>
        </w:rPr>
        <w:t>Torfajökull, Iceland</w:t>
      </w:r>
    </w:p>
    <w:p w14:paraId="2A983138" w14:textId="51FE4CB7" w:rsidR="003A2F5E" w:rsidRPr="004035EB" w:rsidRDefault="003A2F5E" w:rsidP="003A2F5E">
      <w:pPr>
        <w:rPr>
          <w:b/>
          <w:bCs/>
          <w:i/>
          <w:iCs/>
        </w:rPr>
      </w:pPr>
      <w:r w:rsidRPr="00E40022">
        <w:rPr>
          <w:b/>
          <w:bCs/>
          <w:i/>
          <w:iCs/>
          <w:highlight w:val="lightGray"/>
        </w:rPr>
        <w:t>Supplementary Information</w:t>
      </w:r>
    </w:p>
    <w:p w14:paraId="2BA50AE2" w14:textId="77777777" w:rsidR="003A2F5E" w:rsidRDefault="003A2F5E" w:rsidP="003A2F5E"/>
    <w:p w14:paraId="02C76B3D" w14:textId="77777777" w:rsidR="004C532D" w:rsidRPr="00E40022" w:rsidRDefault="004C532D" w:rsidP="00E40022">
      <w:pPr>
        <w:spacing w:line="240" w:lineRule="auto"/>
        <w:rPr>
          <w:b/>
          <w:sz w:val="22"/>
          <w:szCs w:val="22"/>
          <w:lang w:bidi="en-US"/>
        </w:rPr>
      </w:pPr>
      <w:r w:rsidRPr="00E40022">
        <w:rPr>
          <w:b/>
          <w:sz w:val="22"/>
          <w:szCs w:val="22"/>
          <w:lang w:bidi="en-US"/>
        </w:rPr>
        <w:t>Jingwei Zhang</w:t>
      </w:r>
      <w:r w:rsidRPr="00E40022">
        <w:rPr>
          <w:b/>
          <w:sz w:val="22"/>
          <w:szCs w:val="22"/>
          <w:vertAlign w:val="superscript"/>
          <w:lang w:bidi="en-US"/>
        </w:rPr>
        <w:t>1</w:t>
      </w:r>
      <w:r w:rsidRPr="00E40022">
        <w:rPr>
          <w:b/>
          <w:sz w:val="22"/>
          <w:szCs w:val="22"/>
          <w:lang w:bidi="en-US"/>
        </w:rPr>
        <w:t>* · Alastair G. E. Hodgetts</w:t>
      </w:r>
      <w:r w:rsidRPr="00E40022">
        <w:rPr>
          <w:b/>
          <w:sz w:val="22"/>
          <w:szCs w:val="22"/>
          <w:vertAlign w:val="superscript"/>
          <w:lang w:bidi="en-US"/>
        </w:rPr>
        <w:t>2</w:t>
      </w:r>
      <w:r w:rsidRPr="00E40022">
        <w:rPr>
          <w:b/>
          <w:sz w:val="22"/>
          <w:szCs w:val="22"/>
          <w:lang w:bidi="en-US"/>
        </w:rPr>
        <w:t xml:space="preserve"> · Marina Godbillot</w:t>
      </w:r>
      <w:r w:rsidRPr="00E40022">
        <w:rPr>
          <w:b/>
          <w:sz w:val="22"/>
          <w:szCs w:val="22"/>
          <w:vertAlign w:val="superscript"/>
          <w:lang w:bidi="en-US"/>
        </w:rPr>
        <w:t>3</w:t>
      </w:r>
      <w:r w:rsidRPr="00E40022">
        <w:rPr>
          <w:b/>
          <w:sz w:val="22"/>
          <w:szCs w:val="22"/>
          <w:lang w:bidi="en-US"/>
        </w:rPr>
        <w:t xml:space="preserve"> · </w:t>
      </w:r>
    </w:p>
    <w:p w14:paraId="3769B883" w14:textId="18E62EF8" w:rsidR="004C532D" w:rsidRPr="00E40022" w:rsidRDefault="004C532D" w:rsidP="00E40022">
      <w:pPr>
        <w:spacing w:line="240" w:lineRule="auto"/>
        <w:rPr>
          <w:b/>
          <w:sz w:val="22"/>
          <w:szCs w:val="22"/>
          <w:lang w:bidi="en-US"/>
        </w:rPr>
      </w:pPr>
      <w:r w:rsidRPr="00E40022">
        <w:rPr>
          <w:b/>
          <w:sz w:val="22"/>
          <w:szCs w:val="22"/>
          <w:lang w:bidi="en-US"/>
        </w:rPr>
        <w:t>Hugh Tuffen</w:t>
      </w:r>
      <w:r w:rsidR="00E40022" w:rsidRPr="00E40022">
        <w:rPr>
          <w:b/>
          <w:sz w:val="22"/>
          <w:szCs w:val="22"/>
          <w:lang w:bidi="en-US"/>
        </w:rPr>
        <w:t>*</w:t>
      </w:r>
      <w:r w:rsidRPr="00E40022">
        <w:rPr>
          <w:b/>
          <w:sz w:val="22"/>
          <w:szCs w:val="22"/>
          <w:vertAlign w:val="superscript"/>
          <w:lang w:bidi="en-US"/>
        </w:rPr>
        <w:t>1</w:t>
      </w:r>
      <w:r w:rsidRPr="00E40022">
        <w:rPr>
          <w:b/>
          <w:sz w:val="22"/>
          <w:szCs w:val="22"/>
          <w:lang w:bidi="en-US"/>
        </w:rPr>
        <w:t xml:space="preserve"> · </w:t>
      </w:r>
      <w:r w:rsidR="00E40022" w:rsidRPr="00E40022">
        <w:rPr>
          <w:b/>
          <w:sz w:val="22"/>
          <w:szCs w:val="22"/>
          <w:lang w:bidi="en-US"/>
        </w:rPr>
        <w:t>Dave McGarvie</w:t>
      </w:r>
      <w:r w:rsidR="00E40022" w:rsidRPr="00E40022">
        <w:rPr>
          <w:b/>
          <w:sz w:val="22"/>
          <w:szCs w:val="22"/>
          <w:vertAlign w:val="superscript"/>
          <w:lang w:bidi="en-US"/>
        </w:rPr>
        <w:t>1</w:t>
      </w:r>
      <w:r w:rsidR="00E40022" w:rsidRPr="00E40022">
        <w:rPr>
          <w:b/>
          <w:sz w:val="22"/>
          <w:szCs w:val="22"/>
          <w:lang w:bidi="en-US"/>
        </w:rPr>
        <w:t xml:space="preserve"> · </w:t>
      </w:r>
      <w:r w:rsidRPr="00E40022">
        <w:rPr>
          <w:b/>
          <w:sz w:val="22"/>
          <w:szCs w:val="22"/>
          <w:lang w:bidi="en-US"/>
        </w:rPr>
        <w:t>Fabian B. Wadsworth</w:t>
      </w:r>
      <w:r w:rsidRPr="00E40022">
        <w:rPr>
          <w:b/>
          <w:sz w:val="22"/>
          <w:szCs w:val="22"/>
          <w:vertAlign w:val="superscript"/>
          <w:lang w:bidi="en-US"/>
        </w:rPr>
        <w:t>4</w:t>
      </w:r>
      <w:r w:rsidRPr="00E40022">
        <w:rPr>
          <w:b/>
          <w:sz w:val="22"/>
          <w:szCs w:val="22"/>
          <w:lang w:bidi="en-US"/>
        </w:rPr>
        <w:t xml:space="preserve"> · </w:t>
      </w:r>
    </w:p>
    <w:p w14:paraId="792976C0" w14:textId="17BE063F" w:rsidR="00E40022" w:rsidRPr="00E40022" w:rsidRDefault="004C532D" w:rsidP="00E40022">
      <w:pPr>
        <w:spacing w:line="240" w:lineRule="auto"/>
        <w:rPr>
          <w:b/>
          <w:sz w:val="22"/>
          <w:szCs w:val="22"/>
          <w:lang w:bidi="en-US"/>
        </w:rPr>
      </w:pPr>
      <w:r w:rsidRPr="00E40022">
        <w:rPr>
          <w:b/>
          <w:sz w:val="22"/>
          <w:szCs w:val="22"/>
          <w:lang w:bidi="en-US"/>
        </w:rPr>
        <w:t>Jeremie Vasseur</w:t>
      </w:r>
      <w:r w:rsidRPr="00E40022">
        <w:rPr>
          <w:b/>
          <w:sz w:val="22"/>
          <w:szCs w:val="22"/>
          <w:vertAlign w:val="superscript"/>
          <w:lang w:bidi="en-US"/>
        </w:rPr>
        <w:t>4</w:t>
      </w:r>
      <w:r w:rsidRPr="00E40022">
        <w:rPr>
          <w:b/>
          <w:sz w:val="22"/>
          <w:szCs w:val="22"/>
          <w:lang w:bidi="en-US"/>
        </w:rPr>
        <w:t xml:space="preserve"> · </w:t>
      </w:r>
      <w:r w:rsidR="00E40022" w:rsidRPr="00E40022">
        <w:rPr>
          <w:b/>
          <w:sz w:val="22"/>
          <w:szCs w:val="22"/>
          <w:lang w:bidi="en-US"/>
        </w:rPr>
        <w:t>Corin Jorgenson</w:t>
      </w:r>
      <w:r w:rsidR="00E40022" w:rsidRPr="00E40022">
        <w:rPr>
          <w:b/>
          <w:sz w:val="22"/>
          <w:szCs w:val="22"/>
          <w:vertAlign w:val="superscript"/>
          <w:lang w:bidi="en-US"/>
        </w:rPr>
        <w:t xml:space="preserve">5 </w:t>
      </w:r>
      <w:r w:rsidR="00E40022" w:rsidRPr="00E40022">
        <w:rPr>
          <w:b/>
          <w:sz w:val="22"/>
          <w:szCs w:val="22"/>
          <w:lang w:bidi="en-US"/>
        </w:rPr>
        <w:t>· Katherine J. Dobson</w:t>
      </w:r>
      <w:r w:rsidR="00E40022" w:rsidRPr="00E40022">
        <w:rPr>
          <w:b/>
          <w:sz w:val="22"/>
          <w:szCs w:val="22"/>
          <w:vertAlign w:val="superscript"/>
          <w:lang w:bidi="en-US"/>
        </w:rPr>
        <w:t>5</w:t>
      </w:r>
      <w:r w:rsidR="00E40022" w:rsidRPr="00E40022">
        <w:rPr>
          <w:b/>
          <w:sz w:val="22"/>
          <w:szCs w:val="22"/>
          <w:lang w:bidi="en-US"/>
        </w:rPr>
        <w:t xml:space="preserve"> · </w:t>
      </w:r>
    </w:p>
    <w:p w14:paraId="1B28B820" w14:textId="46BD89E1" w:rsidR="004C532D" w:rsidRPr="00E40022" w:rsidRDefault="004C532D" w:rsidP="00E40022">
      <w:pPr>
        <w:spacing w:line="240" w:lineRule="auto"/>
        <w:rPr>
          <w:b/>
          <w:sz w:val="22"/>
          <w:szCs w:val="22"/>
          <w:lang w:bidi="en-US"/>
        </w:rPr>
      </w:pPr>
      <w:r w:rsidRPr="00E40022">
        <w:rPr>
          <w:b/>
          <w:sz w:val="22"/>
          <w:szCs w:val="22"/>
          <w:lang w:bidi="en-US"/>
        </w:rPr>
        <w:t>Lucia Gurioli</w:t>
      </w:r>
      <w:r w:rsidRPr="00E40022">
        <w:rPr>
          <w:b/>
          <w:sz w:val="22"/>
          <w:szCs w:val="22"/>
          <w:vertAlign w:val="superscript"/>
          <w:lang w:bidi="en-US"/>
        </w:rPr>
        <w:t>3</w:t>
      </w:r>
      <w:r w:rsidRPr="00E40022">
        <w:rPr>
          <w:b/>
          <w:sz w:val="22"/>
          <w:szCs w:val="22"/>
          <w:lang w:bidi="en-US"/>
        </w:rPr>
        <w:t xml:space="preserve"> · Andrew Harris</w:t>
      </w:r>
      <w:r w:rsidRPr="00E40022">
        <w:rPr>
          <w:b/>
          <w:sz w:val="22"/>
          <w:szCs w:val="22"/>
          <w:vertAlign w:val="superscript"/>
          <w:lang w:bidi="en-US"/>
        </w:rPr>
        <w:t>3</w:t>
      </w:r>
      <w:r w:rsidRPr="00E40022">
        <w:rPr>
          <w:b/>
          <w:sz w:val="22"/>
          <w:szCs w:val="22"/>
          <w:lang w:bidi="en-US"/>
        </w:rPr>
        <w:t xml:space="preserve"> · Simon Falvard</w:t>
      </w:r>
      <w:r w:rsidRPr="00E40022">
        <w:rPr>
          <w:b/>
          <w:sz w:val="22"/>
          <w:szCs w:val="22"/>
          <w:vertAlign w:val="superscript"/>
          <w:lang w:bidi="en-US"/>
        </w:rPr>
        <w:t>3</w:t>
      </w:r>
      <w:r w:rsidRPr="00E40022">
        <w:rPr>
          <w:b/>
          <w:sz w:val="22"/>
          <w:szCs w:val="22"/>
          <w:lang w:bidi="en-US"/>
        </w:rPr>
        <w:t xml:space="preserve"> · Daniel Freyr Sigurbjargarson</w:t>
      </w:r>
      <w:r w:rsidRPr="00E40022">
        <w:rPr>
          <w:b/>
          <w:sz w:val="22"/>
          <w:szCs w:val="22"/>
          <w:vertAlign w:val="superscript"/>
          <w:lang w:bidi="en-US"/>
        </w:rPr>
        <w:t>6</w:t>
      </w:r>
    </w:p>
    <w:p w14:paraId="042C723B" w14:textId="77777777" w:rsidR="004C532D" w:rsidRPr="004C532D" w:rsidRDefault="004C532D" w:rsidP="004C532D"/>
    <w:p w14:paraId="3826E34D" w14:textId="7CA8459F" w:rsidR="004C532D" w:rsidRPr="00E40022" w:rsidRDefault="004C532D" w:rsidP="004C532D">
      <w:pPr>
        <w:numPr>
          <w:ilvl w:val="0"/>
          <w:numId w:val="2"/>
        </w:numPr>
        <w:rPr>
          <w:sz w:val="20"/>
          <w:szCs w:val="20"/>
          <w:lang w:bidi="en-US"/>
        </w:rPr>
      </w:pPr>
      <w:r w:rsidRPr="00E40022">
        <w:rPr>
          <w:sz w:val="20"/>
          <w:szCs w:val="20"/>
          <w:lang w:bidi="en-US"/>
        </w:rPr>
        <w:t>Lancaster Environment Centre, Lancaster University, Lancaster, UK.</w:t>
      </w:r>
    </w:p>
    <w:p w14:paraId="46EADEB5" w14:textId="29A6BCDD" w:rsidR="004C532D" w:rsidRPr="00E40022" w:rsidRDefault="004C532D" w:rsidP="004C532D">
      <w:pPr>
        <w:numPr>
          <w:ilvl w:val="0"/>
          <w:numId w:val="2"/>
        </w:numPr>
        <w:rPr>
          <w:sz w:val="20"/>
          <w:szCs w:val="20"/>
          <w:lang w:bidi="en-US"/>
        </w:rPr>
      </w:pPr>
      <w:r w:rsidRPr="00E40022">
        <w:rPr>
          <w:sz w:val="20"/>
          <w:szCs w:val="20"/>
          <w:lang w:bidi="en-US"/>
        </w:rPr>
        <w:t xml:space="preserve">School of </w:t>
      </w:r>
      <w:proofErr w:type="spellStart"/>
      <w:r w:rsidRPr="00E40022">
        <w:rPr>
          <w:sz w:val="20"/>
          <w:szCs w:val="20"/>
          <w:lang w:bidi="en-US"/>
        </w:rPr>
        <w:t>GeoSciences</w:t>
      </w:r>
      <w:proofErr w:type="spellEnd"/>
      <w:r w:rsidRPr="00E40022">
        <w:rPr>
          <w:sz w:val="20"/>
          <w:szCs w:val="20"/>
          <w:lang w:bidi="en-US"/>
        </w:rPr>
        <w:t>, University of Edinburgh, King’s Buildings, Edinburgh, UK.</w:t>
      </w:r>
    </w:p>
    <w:p w14:paraId="3B6EA883" w14:textId="04AADB2B" w:rsidR="004C532D" w:rsidRPr="00E40022" w:rsidRDefault="004C532D" w:rsidP="004C532D">
      <w:pPr>
        <w:numPr>
          <w:ilvl w:val="0"/>
          <w:numId w:val="2"/>
        </w:numPr>
        <w:rPr>
          <w:sz w:val="20"/>
          <w:szCs w:val="20"/>
          <w:lang w:bidi="en-US"/>
        </w:rPr>
      </w:pPr>
      <w:proofErr w:type="spellStart"/>
      <w:r w:rsidRPr="00E40022">
        <w:rPr>
          <w:sz w:val="20"/>
          <w:szCs w:val="20"/>
          <w:lang w:bidi="en-US"/>
        </w:rPr>
        <w:t>Laboratoire</w:t>
      </w:r>
      <w:proofErr w:type="spellEnd"/>
      <w:r w:rsidRPr="00E40022">
        <w:rPr>
          <w:sz w:val="20"/>
          <w:szCs w:val="20"/>
          <w:lang w:bidi="en-US"/>
        </w:rPr>
        <w:t xml:space="preserve"> Magmas et Volcans, Université Clermont Auvergne, CNRS, IRD, OPGC,</w:t>
      </w:r>
      <w:r w:rsidR="00E40022">
        <w:rPr>
          <w:sz w:val="20"/>
          <w:szCs w:val="20"/>
          <w:lang w:bidi="en-US"/>
        </w:rPr>
        <w:t xml:space="preserve"> </w:t>
      </w:r>
      <w:proofErr w:type="spellStart"/>
      <w:r w:rsidR="00E40022" w:rsidRPr="00E40022">
        <w:rPr>
          <w:sz w:val="20"/>
          <w:szCs w:val="20"/>
          <w:lang w:bidi="en-US"/>
        </w:rPr>
        <w:t>Aubière</w:t>
      </w:r>
      <w:proofErr w:type="spellEnd"/>
      <w:r w:rsidR="00E40022" w:rsidRPr="00E40022">
        <w:rPr>
          <w:sz w:val="20"/>
          <w:szCs w:val="20"/>
          <w:lang w:bidi="en-US"/>
        </w:rPr>
        <w:t>,</w:t>
      </w:r>
      <w:r w:rsidR="00E40022">
        <w:rPr>
          <w:sz w:val="20"/>
          <w:szCs w:val="20"/>
          <w:lang w:bidi="en-US"/>
        </w:rPr>
        <w:t xml:space="preserve"> </w:t>
      </w:r>
      <w:r w:rsidRPr="00E40022">
        <w:rPr>
          <w:sz w:val="20"/>
          <w:szCs w:val="20"/>
          <w:lang w:bidi="en-US"/>
        </w:rPr>
        <w:t xml:space="preserve">France. </w:t>
      </w:r>
    </w:p>
    <w:p w14:paraId="1F436C81" w14:textId="230B9406" w:rsidR="004C532D" w:rsidRPr="00E40022" w:rsidRDefault="004C532D" w:rsidP="004C532D">
      <w:pPr>
        <w:numPr>
          <w:ilvl w:val="0"/>
          <w:numId w:val="2"/>
        </w:numPr>
        <w:rPr>
          <w:sz w:val="20"/>
          <w:szCs w:val="20"/>
          <w:lang w:bidi="en-US"/>
        </w:rPr>
      </w:pPr>
      <w:r w:rsidRPr="00E40022">
        <w:rPr>
          <w:sz w:val="20"/>
          <w:szCs w:val="20"/>
          <w:lang w:bidi="en-US"/>
        </w:rPr>
        <w:t>Department of Earth and Environmental Sciences, Ludwig-Maximilians-Universität München,</w:t>
      </w:r>
      <w:r w:rsidR="00E40022">
        <w:rPr>
          <w:sz w:val="20"/>
          <w:szCs w:val="20"/>
          <w:lang w:bidi="en-US"/>
        </w:rPr>
        <w:t xml:space="preserve"> </w:t>
      </w:r>
      <w:r w:rsidRPr="00E40022">
        <w:rPr>
          <w:sz w:val="20"/>
          <w:szCs w:val="20"/>
          <w:lang w:bidi="en-US"/>
        </w:rPr>
        <w:t>Germany.</w:t>
      </w:r>
    </w:p>
    <w:p w14:paraId="78A64C34" w14:textId="0E3A73FD" w:rsidR="004C532D" w:rsidRPr="00E40022" w:rsidRDefault="004C532D" w:rsidP="004C532D">
      <w:pPr>
        <w:numPr>
          <w:ilvl w:val="0"/>
          <w:numId w:val="2"/>
        </w:numPr>
        <w:rPr>
          <w:sz w:val="20"/>
          <w:szCs w:val="20"/>
          <w:lang w:bidi="en-US"/>
        </w:rPr>
      </w:pPr>
      <w:r w:rsidRPr="00E40022">
        <w:rPr>
          <w:sz w:val="20"/>
          <w:szCs w:val="20"/>
          <w:lang w:bidi="en-US"/>
        </w:rPr>
        <w:t>Departments of Civil &amp; Environmental Engineering and Chemical &amp; Process Engineering, University of Strathclyde, Glasgow, G1 1XJ, UK.</w:t>
      </w:r>
    </w:p>
    <w:p w14:paraId="1EC661B3" w14:textId="73806CAA" w:rsidR="004C532D" w:rsidRPr="00E40022" w:rsidRDefault="004C532D" w:rsidP="004C532D">
      <w:pPr>
        <w:numPr>
          <w:ilvl w:val="0"/>
          <w:numId w:val="2"/>
        </w:numPr>
        <w:rPr>
          <w:sz w:val="20"/>
          <w:szCs w:val="20"/>
          <w:lang w:bidi="en-US"/>
        </w:rPr>
      </w:pPr>
      <w:r w:rsidRPr="00E40022">
        <w:rPr>
          <w:sz w:val="20"/>
          <w:szCs w:val="20"/>
          <w:lang w:bidi="en-US"/>
        </w:rPr>
        <w:t xml:space="preserve">Nature Conservation Agency of Iceland, </w:t>
      </w:r>
      <w:proofErr w:type="spellStart"/>
      <w:r w:rsidRPr="00E40022">
        <w:rPr>
          <w:sz w:val="20"/>
          <w:szCs w:val="20"/>
          <w:lang w:bidi="en-US"/>
        </w:rPr>
        <w:t>Hvolsvöllur</w:t>
      </w:r>
      <w:proofErr w:type="spellEnd"/>
      <w:r w:rsidRPr="00E40022">
        <w:rPr>
          <w:sz w:val="20"/>
          <w:szCs w:val="20"/>
          <w:lang w:bidi="en-US"/>
        </w:rPr>
        <w:t>, Iceland.</w:t>
      </w:r>
    </w:p>
    <w:p w14:paraId="3B9EDEC7" w14:textId="77777777" w:rsidR="004C532D" w:rsidRPr="004C532D" w:rsidRDefault="004C532D" w:rsidP="004C532D">
      <w:pPr>
        <w:rPr>
          <w:lang w:bidi="en-US"/>
        </w:rPr>
      </w:pPr>
    </w:p>
    <w:p w14:paraId="58D54E76" w14:textId="77777777" w:rsidR="004C532D" w:rsidRPr="004C532D" w:rsidRDefault="004C532D" w:rsidP="004C532D">
      <w:pPr>
        <w:rPr>
          <w:b/>
          <w:lang w:bidi="en-US"/>
        </w:rPr>
      </w:pPr>
      <w:r w:rsidRPr="00E40022">
        <w:rPr>
          <w:b/>
          <w:lang w:bidi="en-US"/>
        </w:rPr>
        <w:t xml:space="preserve"> *</w:t>
      </w:r>
      <w:r w:rsidRPr="004C532D">
        <w:rPr>
          <w:b/>
          <w:lang w:bidi="en-US"/>
        </w:rPr>
        <w:t xml:space="preserve">  j.zhang77@lancaster.ac.uk</w:t>
      </w:r>
    </w:p>
    <w:p w14:paraId="6DBB62E5" w14:textId="3FDF2EFC" w:rsidR="00371CBE" w:rsidRDefault="004C532D" w:rsidP="004C532D">
      <w:pPr>
        <w:outlineLvl w:val="1"/>
        <w:rPr>
          <w:b/>
          <w:bCs/>
        </w:rPr>
      </w:pPr>
      <w:r>
        <w:br w:type="column"/>
      </w:r>
      <w:r w:rsidR="00371CBE" w:rsidRPr="00D360F4">
        <w:rPr>
          <w:b/>
          <w:bCs/>
        </w:rPr>
        <w:lastRenderedPageBreak/>
        <w:t>List of Supplementary datasets</w:t>
      </w:r>
    </w:p>
    <w:p w14:paraId="3182C515" w14:textId="3C34B9CC" w:rsidR="004C60B2" w:rsidRPr="004C60B2" w:rsidRDefault="004C60B2" w:rsidP="004C60B2">
      <w:r w:rsidRPr="004C60B2">
        <w:t>All supplementary data are provided as a single Excel® spreadsheet, including the following datasets:</w:t>
      </w:r>
    </w:p>
    <w:p w14:paraId="3D540AC2" w14:textId="16226F29" w:rsidR="00371CBE" w:rsidRDefault="009C46F4" w:rsidP="00D360F4">
      <w:pPr>
        <w:pStyle w:val="ListParagraph"/>
        <w:numPr>
          <w:ilvl w:val="0"/>
          <w:numId w:val="3"/>
        </w:numPr>
      </w:pPr>
      <w:r>
        <w:t>Grain size</w:t>
      </w:r>
      <w:r w:rsidR="00D360F4">
        <w:t>: total grain size distributions (via sieving), including both data (sheet “</w:t>
      </w:r>
      <w:proofErr w:type="spellStart"/>
      <w:r w:rsidR="00E40022" w:rsidRPr="00E40022">
        <w:t>GSD_totals</w:t>
      </w:r>
      <w:proofErr w:type="spellEnd"/>
      <w:r w:rsidR="00D360F4">
        <w:t>”) and GRADISTAT analysis results (sheet “GRADISTAT”)</w:t>
      </w:r>
      <w:r>
        <w:t>;</w:t>
      </w:r>
    </w:p>
    <w:p w14:paraId="2C2FD452" w14:textId="0C500AF3" w:rsidR="00D360F4" w:rsidRDefault="009C46F4" w:rsidP="00D360F4">
      <w:pPr>
        <w:pStyle w:val="ListParagraph"/>
        <w:numPr>
          <w:ilvl w:val="0"/>
          <w:numId w:val="3"/>
        </w:numPr>
      </w:pPr>
      <w:r>
        <w:t>Volatile contents: all TGA measurements</w:t>
      </w:r>
      <w:r w:rsidR="00E40022">
        <w:t xml:space="preserve"> (sheet “TGA”)</w:t>
      </w:r>
      <w:r>
        <w:t>;</w:t>
      </w:r>
    </w:p>
    <w:p w14:paraId="4C78C9E0" w14:textId="56CECB9F" w:rsidR="00E40022" w:rsidRDefault="009C46F4" w:rsidP="004C60B2">
      <w:pPr>
        <w:pStyle w:val="ListParagraph"/>
        <w:numPr>
          <w:ilvl w:val="0"/>
          <w:numId w:val="3"/>
        </w:numPr>
      </w:pPr>
      <w:r>
        <w:t>Geochemistry: all XRF data, including major elements (sheet “</w:t>
      </w:r>
      <w:proofErr w:type="spellStart"/>
      <w:r w:rsidR="00E40022" w:rsidRPr="00E40022">
        <w:t>XRF_major</w:t>
      </w:r>
      <w:proofErr w:type="spellEnd"/>
      <w:r>
        <w:t>”) and trace elements (sheet “</w:t>
      </w:r>
      <w:proofErr w:type="spellStart"/>
      <w:r w:rsidR="004C60B2" w:rsidRPr="004C60B2">
        <w:t>XRF_trace</w:t>
      </w:r>
      <w:proofErr w:type="spellEnd"/>
      <w:r>
        <w:t xml:space="preserve">”). </w:t>
      </w:r>
    </w:p>
    <w:p w14:paraId="6E762B7E" w14:textId="77777777" w:rsidR="004C60B2" w:rsidRDefault="004C60B2" w:rsidP="004C60B2"/>
    <w:p w14:paraId="1DFE217C" w14:textId="77777777" w:rsidR="004C60B2" w:rsidRDefault="004C60B2" w:rsidP="004C60B2"/>
    <w:p w14:paraId="551A1CB2" w14:textId="6F8C202D" w:rsidR="002A5B1E" w:rsidRPr="003A2F5E" w:rsidRDefault="003A2F5E" w:rsidP="004C532D">
      <w:pPr>
        <w:outlineLvl w:val="1"/>
        <w:rPr>
          <w:b/>
          <w:bCs/>
        </w:rPr>
      </w:pPr>
      <w:r w:rsidRPr="003A2F5E">
        <w:rPr>
          <w:b/>
          <w:bCs/>
        </w:rPr>
        <w:t>Complete XRF methodology</w:t>
      </w:r>
    </w:p>
    <w:p w14:paraId="4E6EA383" w14:textId="77777777" w:rsidR="003A2F5E" w:rsidRPr="003A2F5E" w:rsidRDefault="003A2F5E" w:rsidP="003A2F5E">
      <w:r w:rsidRPr="003A2F5E">
        <w:t>We used X-ray Fluorescence (XRF) to characterize modal pumices from layers 2, 5, 8, 11, 13, in order to examine any bulk compositional shifts through the eruption.</w:t>
      </w:r>
    </w:p>
    <w:p w14:paraId="0583B5E1" w14:textId="77777777" w:rsidR="003A2F5E" w:rsidRPr="003A2F5E" w:rsidRDefault="003A2F5E" w:rsidP="003A2F5E">
      <w:r w:rsidRPr="003A2F5E">
        <w:t>Fresh material interior to the clasts was selected where possible to minimize the effects of weathering and alteration. Samples (minimum of 50 g) were crushed using a steel jaw crusher and powdered to a fine homogeneous flour (&lt;75 µm) in an agate mill. For major element analysis, approximately 0.6 g of ignited sample powder was mixed with 6 g of purified lithium metaborate–tetraborate flux and fused to produce homogeneous glass discs. Prior to this, samples were dried at 100</w:t>
      </w:r>
      <w:r w:rsidRPr="003A2F5E">
        <w:rPr>
          <w:vertAlign w:val="superscript"/>
        </w:rPr>
        <w:t>◦</w:t>
      </w:r>
      <w:r w:rsidRPr="003A2F5E">
        <w:t>C in an oven for 24 hours and the flux was kept in a desiccator before disc preparation to remove any adsorbed water. The loss on ignition (LOI) of samples was calculated through weighing the powered sample, heating the powder to 1080</w:t>
      </w:r>
      <w:r w:rsidRPr="003A2F5E">
        <w:rPr>
          <w:vertAlign w:val="superscript"/>
        </w:rPr>
        <w:t>◦</w:t>
      </w:r>
      <w:r w:rsidRPr="003A2F5E">
        <w:t xml:space="preserve">C  for 20 minutes and re-weighing, calculating the difference. Major element concentrations were analyzed using a </w:t>
      </w:r>
      <w:proofErr w:type="spellStart"/>
      <w:r w:rsidRPr="003A2F5E">
        <w:t>Panalytical</w:t>
      </w:r>
      <w:proofErr w:type="spellEnd"/>
      <w:r w:rsidRPr="003A2F5E">
        <w:t xml:space="preserve"> PW2404 wavelength-dispersive sequential X-ray spectrometer at the University of Edinburgh. Results are reported as oxide weight percentages and normalized to 100 wt.%  anhydrous where appropriate. </w:t>
      </w:r>
    </w:p>
    <w:p w14:paraId="28E531AF" w14:textId="77777777" w:rsidR="003A2F5E" w:rsidRPr="003A2F5E" w:rsidRDefault="003A2F5E" w:rsidP="003A2F5E">
      <w:r w:rsidRPr="003A2F5E">
        <w:t xml:space="preserve">Trace element concentrations were determined from pressed powder pellets prepared by mixing approximately 5–8 g of sample powder with a small quantity of organic binder before pressing under high load to produce stable pellets. These were also analyzed at the University of Edinburgh. </w:t>
      </w:r>
    </w:p>
    <w:p w14:paraId="23B80927" w14:textId="566670A5" w:rsidR="003A2F5E" w:rsidRDefault="003A2F5E" w:rsidP="003A2F5E">
      <w:r w:rsidRPr="003A2F5E">
        <w:t>Instrument calibration was performed using a suite of certified international rock reference materials spanning a range of igneous compositions. Analytical precision and accuracy were monitored through repeated analyses of secondary reference materials and procedural duplicates throughout the analytical session. Relative analytical uncertainties were generally better than 2% for major elements and better than 5–10% for most trace elements present at concentrations significantly above their detection limits.</w:t>
      </w:r>
    </w:p>
    <w:p w14:paraId="162DD9E3" w14:textId="77777777" w:rsidR="004C60B2" w:rsidRDefault="004C60B2" w:rsidP="003A2F5E"/>
    <w:p w14:paraId="15D25C5A" w14:textId="77777777" w:rsidR="004C60B2" w:rsidRDefault="004C60B2" w:rsidP="003A2F5E"/>
    <w:p w14:paraId="565CB0EF" w14:textId="2326AFD5" w:rsidR="003A2F5E" w:rsidRPr="003A2F5E" w:rsidRDefault="003A2F5E" w:rsidP="004C532D">
      <w:pPr>
        <w:outlineLvl w:val="1"/>
        <w:rPr>
          <w:b/>
          <w:bCs/>
        </w:rPr>
      </w:pPr>
      <w:r w:rsidRPr="003A2F5E">
        <w:rPr>
          <w:b/>
          <w:bCs/>
        </w:rPr>
        <w:t>FOAMS image data and nests</w:t>
      </w:r>
    </w:p>
    <w:p w14:paraId="347E9A3D" w14:textId="14A3DEA5" w:rsidR="003A2F5E" w:rsidRDefault="003A2F5E" w:rsidP="003A2F5E">
      <w:r>
        <w:rPr>
          <w:b/>
          <w:bCs/>
          <w:sz w:val="20"/>
          <w:szCs w:val="20"/>
        </w:rPr>
        <w:t>Table S1</w:t>
      </w:r>
      <w:r>
        <w:rPr>
          <w:sz w:val="20"/>
          <w:szCs w:val="20"/>
        </w:rPr>
        <w:t>: Scaling ratios associated with the different magnifications used.</w:t>
      </w:r>
    </w:p>
    <w:tbl>
      <w:tblPr>
        <w:tblW w:w="9345" w:type="dxa"/>
        <w:tblInd w:w="-6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115"/>
        <w:gridCol w:w="3115"/>
        <w:gridCol w:w="3115"/>
      </w:tblGrid>
      <w:tr w:rsidR="003A2F5E" w14:paraId="5DEB9803" w14:textId="77777777" w:rsidTr="003A2F5E">
        <w:trPr>
          <w:trHeight w:val="94"/>
        </w:trPr>
        <w:tc>
          <w:tcPr>
            <w:tcW w:w="3115" w:type="dxa"/>
            <w:tcBorders>
              <w:top w:val="none" w:sz="6" w:space="0" w:color="auto"/>
              <w:bottom w:val="none" w:sz="6" w:space="0" w:color="auto"/>
              <w:right w:val="none" w:sz="6" w:space="0" w:color="auto"/>
            </w:tcBorders>
          </w:tcPr>
          <w:p w14:paraId="0D8B63FB" w14:textId="6EECA478" w:rsidR="003A2F5E" w:rsidRDefault="003A2F5E">
            <w:pPr>
              <w:pStyle w:val="Default"/>
              <w:rPr>
                <w:sz w:val="20"/>
                <w:szCs w:val="20"/>
              </w:rPr>
            </w:pPr>
            <w:r>
              <w:rPr>
                <w:b/>
                <w:bCs/>
                <w:sz w:val="20"/>
                <w:szCs w:val="20"/>
              </w:rPr>
              <w:t xml:space="preserve">Magnification </w:t>
            </w:r>
          </w:p>
        </w:tc>
        <w:tc>
          <w:tcPr>
            <w:tcW w:w="3115" w:type="dxa"/>
            <w:tcBorders>
              <w:top w:val="none" w:sz="6" w:space="0" w:color="auto"/>
              <w:bottom w:val="none" w:sz="6" w:space="0" w:color="auto"/>
              <w:right w:val="none" w:sz="6" w:space="0" w:color="auto"/>
            </w:tcBorders>
          </w:tcPr>
          <w:p w14:paraId="7F46B66A" w14:textId="566F0A1A" w:rsidR="003A2F5E" w:rsidRDefault="003A2F5E">
            <w:pPr>
              <w:pStyle w:val="Default"/>
              <w:rPr>
                <w:b/>
                <w:bCs/>
                <w:sz w:val="20"/>
                <w:szCs w:val="20"/>
              </w:rPr>
            </w:pPr>
            <w:r>
              <w:rPr>
                <w:b/>
                <w:bCs/>
                <w:sz w:val="20"/>
                <w:szCs w:val="20"/>
              </w:rPr>
              <w:t>Imaging method</w:t>
            </w:r>
          </w:p>
        </w:tc>
        <w:tc>
          <w:tcPr>
            <w:tcW w:w="3115" w:type="dxa"/>
            <w:tcBorders>
              <w:top w:val="none" w:sz="6" w:space="0" w:color="auto"/>
              <w:left w:val="none" w:sz="6" w:space="0" w:color="auto"/>
              <w:bottom w:val="none" w:sz="6" w:space="0" w:color="auto"/>
            </w:tcBorders>
          </w:tcPr>
          <w:p w14:paraId="37875599" w14:textId="601ACD66" w:rsidR="003A2F5E" w:rsidRDefault="003A2F5E">
            <w:pPr>
              <w:pStyle w:val="Default"/>
              <w:rPr>
                <w:sz w:val="20"/>
                <w:szCs w:val="20"/>
              </w:rPr>
            </w:pPr>
            <w:r>
              <w:rPr>
                <w:b/>
                <w:bCs/>
                <w:sz w:val="20"/>
                <w:szCs w:val="20"/>
              </w:rPr>
              <w:t xml:space="preserve">Scaling ratio (pixel/mm) </w:t>
            </w:r>
          </w:p>
        </w:tc>
      </w:tr>
      <w:tr w:rsidR="003A2F5E" w:rsidRPr="003A2F5E" w14:paraId="4DED94BC" w14:textId="77777777" w:rsidTr="003A2F5E">
        <w:trPr>
          <w:trHeight w:val="94"/>
        </w:trPr>
        <w:tc>
          <w:tcPr>
            <w:tcW w:w="3115" w:type="dxa"/>
            <w:tcBorders>
              <w:top w:val="none" w:sz="6" w:space="0" w:color="auto"/>
              <w:bottom w:val="none" w:sz="6" w:space="0" w:color="auto"/>
              <w:right w:val="none" w:sz="6" w:space="0" w:color="auto"/>
            </w:tcBorders>
          </w:tcPr>
          <w:p w14:paraId="0D0662BE" w14:textId="34F65F1D" w:rsidR="003A2F5E" w:rsidRPr="003A2F5E" w:rsidRDefault="003A2F5E">
            <w:pPr>
              <w:pStyle w:val="Default"/>
              <w:rPr>
                <w:sz w:val="20"/>
                <w:szCs w:val="20"/>
              </w:rPr>
            </w:pPr>
            <w:r w:rsidRPr="003A2F5E">
              <w:rPr>
                <w:sz w:val="20"/>
                <w:szCs w:val="20"/>
              </w:rPr>
              <w:t>n/a</w:t>
            </w:r>
          </w:p>
        </w:tc>
        <w:tc>
          <w:tcPr>
            <w:tcW w:w="3115" w:type="dxa"/>
            <w:tcBorders>
              <w:top w:val="none" w:sz="6" w:space="0" w:color="auto"/>
              <w:bottom w:val="none" w:sz="6" w:space="0" w:color="auto"/>
              <w:right w:val="none" w:sz="6" w:space="0" w:color="auto"/>
            </w:tcBorders>
          </w:tcPr>
          <w:p w14:paraId="4906CC6B" w14:textId="436C02FC" w:rsidR="003A2F5E" w:rsidRPr="003A2F5E" w:rsidRDefault="003A2F5E">
            <w:pPr>
              <w:pStyle w:val="Default"/>
              <w:rPr>
                <w:sz w:val="20"/>
                <w:szCs w:val="20"/>
              </w:rPr>
            </w:pPr>
            <w:r w:rsidRPr="003A2F5E">
              <w:rPr>
                <w:sz w:val="20"/>
                <w:szCs w:val="20"/>
              </w:rPr>
              <w:t>Optical (scanning)</w:t>
            </w:r>
          </w:p>
        </w:tc>
        <w:tc>
          <w:tcPr>
            <w:tcW w:w="3115" w:type="dxa"/>
            <w:tcBorders>
              <w:top w:val="none" w:sz="6" w:space="0" w:color="auto"/>
              <w:left w:val="none" w:sz="6" w:space="0" w:color="auto"/>
              <w:bottom w:val="none" w:sz="6" w:space="0" w:color="auto"/>
            </w:tcBorders>
          </w:tcPr>
          <w:p w14:paraId="24DD03F5" w14:textId="3C9A7635" w:rsidR="003A2F5E" w:rsidRPr="003A2F5E" w:rsidRDefault="003A2F5E">
            <w:pPr>
              <w:pStyle w:val="Default"/>
              <w:rPr>
                <w:sz w:val="20"/>
                <w:szCs w:val="20"/>
              </w:rPr>
            </w:pPr>
            <w:r w:rsidRPr="003A2F5E">
              <w:rPr>
                <w:sz w:val="20"/>
                <w:szCs w:val="20"/>
              </w:rPr>
              <w:t xml:space="preserve">329 </w:t>
            </w:r>
          </w:p>
        </w:tc>
      </w:tr>
      <w:tr w:rsidR="003A2F5E" w14:paraId="045042DC" w14:textId="77777777" w:rsidTr="003A2F5E">
        <w:trPr>
          <w:trHeight w:val="94"/>
        </w:trPr>
        <w:tc>
          <w:tcPr>
            <w:tcW w:w="3115" w:type="dxa"/>
            <w:tcBorders>
              <w:top w:val="none" w:sz="6" w:space="0" w:color="auto"/>
              <w:bottom w:val="none" w:sz="6" w:space="0" w:color="auto"/>
              <w:right w:val="none" w:sz="6" w:space="0" w:color="auto"/>
            </w:tcBorders>
          </w:tcPr>
          <w:p w14:paraId="56640522" w14:textId="61D80297" w:rsidR="003A2F5E" w:rsidRDefault="003A2F5E">
            <w:pPr>
              <w:pStyle w:val="Default"/>
              <w:rPr>
                <w:sz w:val="20"/>
                <w:szCs w:val="20"/>
              </w:rPr>
            </w:pPr>
            <w:r>
              <w:rPr>
                <w:sz w:val="20"/>
                <w:szCs w:val="20"/>
              </w:rPr>
              <w:t xml:space="preserve">2.5 </w:t>
            </w:r>
          </w:p>
        </w:tc>
        <w:tc>
          <w:tcPr>
            <w:tcW w:w="3115" w:type="dxa"/>
            <w:tcBorders>
              <w:top w:val="none" w:sz="6" w:space="0" w:color="auto"/>
              <w:bottom w:val="none" w:sz="6" w:space="0" w:color="auto"/>
              <w:right w:val="none" w:sz="6" w:space="0" w:color="auto"/>
            </w:tcBorders>
          </w:tcPr>
          <w:p w14:paraId="2B9671F9" w14:textId="79A432FE" w:rsidR="003A2F5E" w:rsidRDefault="003A2F5E">
            <w:pPr>
              <w:pStyle w:val="Default"/>
              <w:rPr>
                <w:sz w:val="20"/>
                <w:szCs w:val="20"/>
              </w:rPr>
            </w:pPr>
            <w:r>
              <w:rPr>
                <w:sz w:val="20"/>
                <w:szCs w:val="20"/>
              </w:rPr>
              <w:t>Optical (microscopy)</w:t>
            </w:r>
          </w:p>
        </w:tc>
        <w:tc>
          <w:tcPr>
            <w:tcW w:w="3115" w:type="dxa"/>
            <w:tcBorders>
              <w:top w:val="none" w:sz="6" w:space="0" w:color="auto"/>
              <w:left w:val="none" w:sz="6" w:space="0" w:color="auto"/>
              <w:bottom w:val="none" w:sz="6" w:space="0" w:color="auto"/>
            </w:tcBorders>
          </w:tcPr>
          <w:p w14:paraId="5625D459" w14:textId="56D10415" w:rsidR="003A2F5E" w:rsidRDefault="003A2F5E">
            <w:pPr>
              <w:pStyle w:val="Default"/>
              <w:rPr>
                <w:sz w:val="20"/>
                <w:szCs w:val="20"/>
              </w:rPr>
            </w:pPr>
            <w:r>
              <w:rPr>
                <w:sz w:val="20"/>
                <w:szCs w:val="20"/>
              </w:rPr>
              <w:t xml:space="preserve">332 </w:t>
            </w:r>
          </w:p>
        </w:tc>
      </w:tr>
      <w:tr w:rsidR="003A2F5E" w14:paraId="2B320834" w14:textId="77777777" w:rsidTr="003A2F5E">
        <w:trPr>
          <w:trHeight w:val="94"/>
        </w:trPr>
        <w:tc>
          <w:tcPr>
            <w:tcW w:w="3115" w:type="dxa"/>
            <w:tcBorders>
              <w:top w:val="none" w:sz="6" w:space="0" w:color="auto"/>
              <w:bottom w:val="none" w:sz="6" w:space="0" w:color="auto"/>
              <w:right w:val="none" w:sz="6" w:space="0" w:color="auto"/>
            </w:tcBorders>
          </w:tcPr>
          <w:p w14:paraId="1621B450" w14:textId="775843F7" w:rsidR="003A2F5E" w:rsidRDefault="003A2F5E">
            <w:pPr>
              <w:pStyle w:val="Default"/>
              <w:rPr>
                <w:sz w:val="20"/>
                <w:szCs w:val="20"/>
              </w:rPr>
            </w:pPr>
            <w:r>
              <w:rPr>
                <w:sz w:val="20"/>
                <w:szCs w:val="20"/>
              </w:rPr>
              <w:t xml:space="preserve">100 </w:t>
            </w:r>
          </w:p>
        </w:tc>
        <w:tc>
          <w:tcPr>
            <w:tcW w:w="3115" w:type="dxa"/>
            <w:tcBorders>
              <w:top w:val="none" w:sz="6" w:space="0" w:color="auto"/>
              <w:bottom w:val="none" w:sz="6" w:space="0" w:color="auto"/>
              <w:right w:val="none" w:sz="6" w:space="0" w:color="auto"/>
            </w:tcBorders>
          </w:tcPr>
          <w:p w14:paraId="033C8849" w14:textId="3DF2D96E" w:rsidR="003A2F5E" w:rsidRDefault="003A2F5E">
            <w:pPr>
              <w:pStyle w:val="Default"/>
              <w:rPr>
                <w:sz w:val="20"/>
                <w:szCs w:val="20"/>
              </w:rPr>
            </w:pPr>
            <w:r>
              <w:rPr>
                <w:sz w:val="20"/>
                <w:szCs w:val="20"/>
              </w:rPr>
              <w:t>SEM</w:t>
            </w:r>
          </w:p>
        </w:tc>
        <w:tc>
          <w:tcPr>
            <w:tcW w:w="3115" w:type="dxa"/>
            <w:tcBorders>
              <w:top w:val="none" w:sz="6" w:space="0" w:color="auto"/>
              <w:left w:val="none" w:sz="6" w:space="0" w:color="auto"/>
              <w:bottom w:val="none" w:sz="6" w:space="0" w:color="auto"/>
            </w:tcBorders>
          </w:tcPr>
          <w:p w14:paraId="260F11FE" w14:textId="459F16DA" w:rsidR="003A2F5E" w:rsidRDefault="003A2F5E">
            <w:pPr>
              <w:pStyle w:val="Default"/>
              <w:rPr>
                <w:sz w:val="20"/>
                <w:szCs w:val="20"/>
              </w:rPr>
            </w:pPr>
            <w:r>
              <w:rPr>
                <w:sz w:val="20"/>
                <w:szCs w:val="20"/>
              </w:rPr>
              <w:t xml:space="preserve">1070 </w:t>
            </w:r>
          </w:p>
        </w:tc>
      </w:tr>
      <w:tr w:rsidR="003A2F5E" w14:paraId="28CAFED1" w14:textId="77777777" w:rsidTr="003A2F5E">
        <w:trPr>
          <w:trHeight w:val="94"/>
        </w:trPr>
        <w:tc>
          <w:tcPr>
            <w:tcW w:w="3115" w:type="dxa"/>
            <w:tcBorders>
              <w:top w:val="none" w:sz="6" w:space="0" w:color="auto"/>
              <w:bottom w:val="none" w:sz="6" w:space="0" w:color="auto"/>
              <w:right w:val="none" w:sz="6" w:space="0" w:color="auto"/>
            </w:tcBorders>
          </w:tcPr>
          <w:p w14:paraId="39717EF2" w14:textId="065B4AFB" w:rsidR="003A2F5E" w:rsidRDefault="003A2F5E">
            <w:pPr>
              <w:pStyle w:val="Default"/>
              <w:rPr>
                <w:sz w:val="20"/>
                <w:szCs w:val="20"/>
              </w:rPr>
            </w:pPr>
            <w:r>
              <w:rPr>
                <w:sz w:val="20"/>
                <w:szCs w:val="20"/>
              </w:rPr>
              <w:t xml:space="preserve">500 </w:t>
            </w:r>
          </w:p>
        </w:tc>
        <w:tc>
          <w:tcPr>
            <w:tcW w:w="3115" w:type="dxa"/>
            <w:tcBorders>
              <w:top w:val="none" w:sz="6" w:space="0" w:color="auto"/>
              <w:bottom w:val="none" w:sz="6" w:space="0" w:color="auto"/>
              <w:right w:val="none" w:sz="6" w:space="0" w:color="auto"/>
            </w:tcBorders>
          </w:tcPr>
          <w:p w14:paraId="250D084A" w14:textId="38CF2481" w:rsidR="003A2F5E" w:rsidRDefault="003A2F5E">
            <w:pPr>
              <w:pStyle w:val="Default"/>
              <w:rPr>
                <w:sz w:val="20"/>
                <w:szCs w:val="20"/>
              </w:rPr>
            </w:pPr>
            <w:r>
              <w:rPr>
                <w:sz w:val="20"/>
                <w:szCs w:val="20"/>
              </w:rPr>
              <w:t>SEM</w:t>
            </w:r>
          </w:p>
        </w:tc>
        <w:tc>
          <w:tcPr>
            <w:tcW w:w="3115" w:type="dxa"/>
            <w:tcBorders>
              <w:top w:val="none" w:sz="6" w:space="0" w:color="auto"/>
              <w:left w:val="none" w:sz="6" w:space="0" w:color="auto"/>
              <w:bottom w:val="none" w:sz="6" w:space="0" w:color="auto"/>
            </w:tcBorders>
          </w:tcPr>
          <w:p w14:paraId="521FCB67" w14:textId="4444F8E3" w:rsidR="003A2F5E" w:rsidRDefault="003A2F5E">
            <w:pPr>
              <w:pStyle w:val="Default"/>
              <w:rPr>
                <w:sz w:val="20"/>
                <w:szCs w:val="20"/>
              </w:rPr>
            </w:pPr>
            <w:r>
              <w:rPr>
                <w:sz w:val="20"/>
                <w:szCs w:val="20"/>
              </w:rPr>
              <w:t xml:space="preserve">5400 </w:t>
            </w:r>
          </w:p>
        </w:tc>
      </w:tr>
      <w:tr w:rsidR="003A2F5E" w14:paraId="22FAAC01" w14:textId="77777777" w:rsidTr="003A2F5E">
        <w:trPr>
          <w:trHeight w:val="94"/>
        </w:trPr>
        <w:tc>
          <w:tcPr>
            <w:tcW w:w="3115" w:type="dxa"/>
            <w:tcBorders>
              <w:top w:val="none" w:sz="6" w:space="0" w:color="auto"/>
              <w:bottom w:val="none" w:sz="6" w:space="0" w:color="auto"/>
              <w:right w:val="none" w:sz="6" w:space="0" w:color="auto"/>
            </w:tcBorders>
          </w:tcPr>
          <w:p w14:paraId="142055A6" w14:textId="66347AE3" w:rsidR="003A2F5E" w:rsidRDefault="003A2F5E">
            <w:pPr>
              <w:pStyle w:val="Default"/>
              <w:rPr>
                <w:sz w:val="20"/>
                <w:szCs w:val="20"/>
              </w:rPr>
            </w:pPr>
            <w:r>
              <w:rPr>
                <w:sz w:val="20"/>
                <w:szCs w:val="20"/>
              </w:rPr>
              <w:t>1000</w:t>
            </w:r>
          </w:p>
        </w:tc>
        <w:tc>
          <w:tcPr>
            <w:tcW w:w="3115" w:type="dxa"/>
            <w:tcBorders>
              <w:top w:val="none" w:sz="6" w:space="0" w:color="auto"/>
              <w:bottom w:val="none" w:sz="6" w:space="0" w:color="auto"/>
              <w:right w:val="none" w:sz="6" w:space="0" w:color="auto"/>
            </w:tcBorders>
          </w:tcPr>
          <w:p w14:paraId="2E81442C" w14:textId="5D069D93" w:rsidR="003A2F5E" w:rsidRDefault="003A2F5E">
            <w:pPr>
              <w:pStyle w:val="Default"/>
              <w:rPr>
                <w:sz w:val="20"/>
                <w:szCs w:val="20"/>
              </w:rPr>
            </w:pPr>
            <w:r>
              <w:rPr>
                <w:sz w:val="20"/>
                <w:szCs w:val="20"/>
              </w:rPr>
              <w:t>SEM</w:t>
            </w:r>
          </w:p>
        </w:tc>
        <w:tc>
          <w:tcPr>
            <w:tcW w:w="3115" w:type="dxa"/>
            <w:tcBorders>
              <w:top w:val="none" w:sz="6" w:space="0" w:color="auto"/>
              <w:left w:val="none" w:sz="6" w:space="0" w:color="auto"/>
              <w:bottom w:val="none" w:sz="6" w:space="0" w:color="auto"/>
            </w:tcBorders>
          </w:tcPr>
          <w:p w14:paraId="37827621" w14:textId="0003D7FA" w:rsidR="003A2F5E" w:rsidRDefault="003A2F5E">
            <w:pPr>
              <w:pStyle w:val="Default"/>
              <w:rPr>
                <w:sz w:val="20"/>
                <w:szCs w:val="20"/>
              </w:rPr>
            </w:pPr>
            <w:r>
              <w:rPr>
                <w:sz w:val="20"/>
                <w:szCs w:val="20"/>
              </w:rPr>
              <w:t>10700</w:t>
            </w:r>
          </w:p>
        </w:tc>
      </w:tr>
    </w:tbl>
    <w:p w14:paraId="595FFFAB" w14:textId="77777777" w:rsidR="003A2F5E" w:rsidRDefault="003A2F5E" w:rsidP="003A2F5E"/>
    <w:p w14:paraId="1B3A1C8D" w14:textId="03CBD5DD" w:rsidR="003A2F5E" w:rsidRDefault="003A2F5E" w:rsidP="003A2F5E">
      <w:r w:rsidRPr="003A2F5E">
        <w:rPr>
          <w:b/>
          <w:bCs/>
        </w:rPr>
        <w:t>Figure S</w:t>
      </w:r>
      <w:r w:rsidR="004C60B2">
        <w:rPr>
          <w:b/>
          <w:bCs/>
        </w:rPr>
        <w:t>2</w:t>
      </w:r>
      <w:r>
        <w:t>: Images nests used in FOAMS analyses.</w:t>
      </w:r>
      <w:r>
        <w:rPr>
          <w:noProof/>
        </w:rPr>
        <w:drawing>
          <wp:inline distT="0" distB="0" distL="0" distR="0" wp14:anchorId="69D7E6FA" wp14:editId="7FAA9096">
            <wp:extent cx="4699221" cy="3239174"/>
            <wp:effectExtent l="0" t="0" r="0" b="0"/>
            <wp:docPr id="859743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11471" cy="3247618"/>
                    </a:xfrm>
                    <a:prstGeom prst="rect">
                      <a:avLst/>
                    </a:prstGeom>
                    <a:noFill/>
                    <a:ln>
                      <a:noFill/>
                    </a:ln>
                  </pic:spPr>
                </pic:pic>
              </a:graphicData>
            </a:graphic>
          </wp:inline>
        </w:drawing>
      </w:r>
    </w:p>
    <w:p w14:paraId="20BD0594" w14:textId="77777777" w:rsidR="00E40022" w:rsidRDefault="003A2F5E" w:rsidP="00E40022">
      <w:r>
        <w:t>Package 2</w:t>
      </w:r>
    </w:p>
    <w:p w14:paraId="2BFE7882" w14:textId="31D3ADBD" w:rsidR="00E40022" w:rsidRDefault="00E40022" w:rsidP="00E40022">
      <w:r>
        <w:t>(continued)</w:t>
      </w:r>
    </w:p>
    <w:p w14:paraId="553A9644" w14:textId="5C61DFCD" w:rsidR="003A2F5E" w:rsidRDefault="003A2F5E" w:rsidP="003A2F5E"/>
    <w:p w14:paraId="2BB199F4" w14:textId="2B454378" w:rsidR="003A2F5E" w:rsidRDefault="003A2F5E" w:rsidP="003A2F5E">
      <w:r>
        <w:rPr>
          <w:noProof/>
        </w:rPr>
        <w:lastRenderedPageBreak/>
        <w:drawing>
          <wp:inline distT="0" distB="0" distL="0" distR="0" wp14:anchorId="0219301F" wp14:editId="156C8803">
            <wp:extent cx="4556097" cy="3222778"/>
            <wp:effectExtent l="0" t="0" r="0" b="0"/>
            <wp:docPr id="519828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65359" cy="3229330"/>
                    </a:xfrm>
                    <a:prstGeom prst="rect">
                      <a:avLst/>
                    </a:prstGeom>
                    <a:noFill/>
                    <a:ln>
                      <a:noFill/>
                    </a:ln>
                  </pic:spPr>
                </pic:pic>
              </a:graphicData>
            </a:graphic>
          </wp:inline>
        </w:drawing>
      </w:r>
    </w:p>
    <w:p w14:paraId="3D5C0BF5" w14:textId="510DC2ED" w:rsidR="003A2F5E" w:rsidRDefault="003A2F5E" w:rsidP="003A2F5E">
      <w:r>
        <w:t>Package 8</w:t>
      </w:r>
    </w:p>
    <w:p w14:paraId="3B39ECFB" w14:textId="1E34AB32" w:rsidR="003A2F5E" w:rsidRDefault="003A2F5E" w:rsidP="003A2F5E">
      <w:r>
        <w:rPr>
          <w:noProof/>
        </w:rPr>
        <w:drawing>
          <wp:inline distT="0" distB="0" distL="0" distR="0" wp14:anchorId="656D1FA0" wp14:editId="69FFCD1C">
            <wp:extent cx="5009322" cy="3543368"/>
            <wp:effectExtent l="0" t="0" r="0" b="0"/>
            <wp:docPr id="819036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12534" cy="3545640"/>
                    </a:xfrm>
                    <a:prstGeom prst="rect">
                      <a:avLst/>
                    </a:prstGeom>
                    <a:noFill/>
                    <a:ln>
                      <a:noFill/>
                    </a:ln>
                  </pic:spPr>
                </pic:pic>
              </a:graphicData>
            </a:graphic>
          </wp:inline>
        </w:drawing>
      </w:r>
    </w:p>
    <w:p w14:paraId="387460DF" w14:textId="6F7E55BC" w:rsidR="003A2F5E" w:rsidRDefault="003A2F5E" w:rsidP="003A2F5E">
      <w:r>
        <w:t>Package 13</w:t>
      </w:r>
    </w:p>
    <w:p w14:paraId="243A2E18" w14:textId="77777777" w:rsidR="004C60B2" w:rsidRDefault="004C60B2" w:rsidP="003A2F5E"/>
    <w:p w14:paraId="4ABD90CD" w14:textId="5DA84CBF" w:rsidR="003A2F5E" w:rsidRPr="003A2F5E" w:rsidRDefault="003A2F5E" w:rsidP="004C532D">
      <w:pPr>
        <w:outlineLvl w:val="1"/>
        <w:rPr>
          <w:b/>
          <w:bCs/>
        </w:rPr>
      </w:pPr>
      <w:r w:rsidRPr="003A2F5E">
        <w:rPr>
          <w:b/>
          <w:bCs/>
        </w:rPr>
        <w:t>Complete XCT methodology</w:t>
      </w:r>
    </w:p>
    <w:p w14:paraId="36AE2D5F" w14:textId="02990B16" w:rsidR="00D851AC" w:rsidRDefault="003A2F5E" w:rsidP="003A2F5E">
      <w:r>
        <w:t>X-ray Computed Tomography (XCT) was used to analyze 3D textures of modal</w:t>
      </w:r>
      <w:r w:rsidR="00D851AC">
        <w:t xml:space="preserve"> </w:t>
      </w:r>
      <w:r>
        <w:t>pumices. Cylindrical cores (</w:t>
      </w:r>
      <w:r>
        <w:rPr>
          <w:rFonts w:ascii="Cambria Math" w:hAnsi="Cambria Math" w:cs="Cambria Math"/>
        </w:rPr>
        <w:t>∼</w:t>
      </w:r>
      <w:r>
        <w:t xml:space="preserve">8 mm diameter) from representative pumice clasts </w:t>
      </w:r>
      <w:r w:rsidR="00D851AC">
        <w:t>f</w:t>
      </w:r>
      <w:r>
        <w:t xml:space="preserve">rom packages </w:t>
      </w:r>
      <w:r>
        <w:lastRenderedPageBreak/>
        <w:t xml:space="preserve">2, 8, 13 were analyzed at the Université Clermont Auvergne </w:t>
      </w:r>
      <w:proofErr w:type="spellStart"/>
      <w:r>
        <w:t>Laboratoire</w:t>
      </w:r>
      <w:proofErr w:type="spellEnd"/>
      <w:r w:rsidR="00D851AC">
        <w:t xml:space="preserve"> </w:t>
      </w:r>
      <w:r>
        <w:t xml:space="preserve">Magmas et Volcans, using an RX-Solutions </w:t>
      </w:r>
      <w:proofErr w:type="spellStart"/>
      <w:r>
        <w:t>EasyTom</w:t>
      </w:r>
      <w:proofErr w:type="spellEnd"/>
      <w:r>
        <w:t xml:space="preserve"> tomograph, equipped with a</w:t>
      </w:r>
      <w:r w:rsidR="00D851AC">
        <w:t xml:space="preserve"> </w:t>
      </w:r>
      <w:r>
        <w:t xml:space="preserve">tungsten cathode of 130 kV and 30 </w:t>
      </w:r>
      <w:proofErr w:type="spellStart"/>
      <w:r>
        <w:t>uA</w:t>
      </w:r>
      <w:proofErr w:type="spellEnd"/>
      <w:r>
        <w:t xml:space="preserve">, for 2.5-3.5 </w:t>
      </w:r>
      <w:proofErr w:type="spellStart"/>
      <w:r>
        <w:t>μm</w:t>
      </w:r>
      <w:proofErr w:type="spellEnd"/>
      <w:r>
        <w:t xml:space="preserve">/voxel resolution. </w:t>
      </w:r>
      <w:r w:rsidR="00D851AC" w:rsidRPr="00D851AC">
        <w:t xml:space="preserve">Scans have an angular resolution of 2016 projections, with 2.4 seconds of </w:t>
      </w:r>
      <w:r w:rsidR="00D851AC">
        <w:t>e</w:t>
      </w:r>
      <w:r w:rsidR="00D851AC" w:rsidRPr="00D851AC">
        <w:t>xposure per frame. Images were then reconstructed by filtered back projection using the logical Xact (RS Solutions).</w:t>
      </w:r>
    </w:p>
    <w:p w14:paraId="2C25C7BB" w14:textId="1652D3EE" w:rsidR="00D851AC" w:rsidRDefault="003A2F5E" w:rsidP="003A2F5E">
      <w:r>
        <w:t>An additional pumice clast from package 11 was analyzed at the University of Strathclyde, using 273 a Zeiss 730 XRM</w:t>
      </w:r>
      <w:r w:rsidR="00D851AC">
        <w:t xml:space="preserve">, </w:t>
      </w:r>
      <w:r>
        <w:t>with 4x detector</w:t>
      </w:r>
      <w:r w:rsidR="00D851AC">
        <w:t xml:space="preserve">, </w:t>
      </w:r>
      <w:r>
        <w:t xml:space="preserve">with a </w:t>
      </w:r>
      <w:r w:rsidR="00D851AC" w:rsidRPr="00D851AC">
        <w:t>LE1</w:t>
      </w:r>
      <w:r w:rsidR="00D851AC">
        <w:t xml:space="preserve"> </w:t>
      </w:r>
      <w:r>
        <w:t>filter,</w:t>
      </w:r>
      <w:r w:rsidR="00D851AC">
        <w:t xml:space="preserve"> </w:t>
      </w:r>
      <w:r w:rsidR="00D851AC" w:rsidRPr="00D851AC">
        <w:t>exposure time of 11.14s, voltage of 50 kV and power of 4.5W. We used the LE1 filter and 3501 projections and binning 2</w:t>
      </w:r>
      <w:r w:rsidR="00D851AC">
        <w:t>,</w:t>
      </w:r>
      <w:r>
        <w:t xml:space="preserve"> for 3.5 </w:t>
      </w:r>
      <w:proofErr w:type="spellStart"/>
      <w:r>
        <w:t>μm</w:t>
      </w:r>
      <w:proofErr w:type="spellEnd"/>
      <w:r>
        <w:t>/voxel resolution</w:t>
      </w:r>
      <w:r w:rsidR="00D851AC">
        <w:t>, u</w:t>
      </w:r>
      <w:r w:rsidR="00D851AC" w:rsidRPr="00D851AC">
        <w:t xml:space="preserve">tilizing the Zeiss Versa 730 with scan settings optimized for each sample using the Zeiss </w:t>
      </w:r>
      <w:proofErr w:type="spellStart"/>
      <w:r w:rsidR="00D851AC" w:rsidRPr="00D851AC">
        <w:t>NavX</w:t>
      </w:r>
      <w:proofErr w:type="spellEnd"/>
      <w:r w:rsidR="00D851AC" w:rsidRPr="00D851AC">
        <w:t xml:space="preserve"> system</w:t>
      </w:r>
      <w:r w:rsidR="00D851AC">
        <w:t>.</w:t>
      </w:r>
      <w:r>
        <w:t xml:space="preserve">. </w:t>
      </w:r>
      <w:r w:rsidR="00D851AC">
        <w:t>W</w:t>
      </w:r>
      <w:r w:rsidR="00D851AC" w:rsidRPr="00D851AC">
        <w:t>e used a standard reconstruction which includes beam hardening correction of 0.05, a de-speckling feature (kernel size 5).</w:t>
      </w:r>
    </w:p>
    <w:p w14:paraId="1EB9B391" w14:textId="15589F4E" w:rsidR="003A2F5E" w:rsidRDefault="003A2F5E" w:rsidP="003A2F5E">
      <w:r>
        <w:t xml:space="preserve">The reconstructed data were processed using </w:t>
      </w:r>
      <w:proofErr w:type="spellStart"/>
      <w:r>
        <w:t>Thermo</w:t>
      </w:r>
      <w:proofErr w:type="spellEnd"/>
      <w:r>
        <w:t xml:space="preserve"> Fisher Avizo 3D</w:t>
      </w:r>
      <w:r w:rsidR="004C60B2">
        <w:t xml:space="preserve">® </w:t>
      </w:r>
      <w:r>
        <w:t>(version 2024.1).</w:t>
      </w:r>
      <w:r w:rsidR="00D851AC">
        <w:t xml:space="preserve"> A common method was developed to apply to both datasets, with parameters tweaked to suit each sample</w:t>
      </w:r>
      <w:r w:rsidR="004C60B2">
        <w:t xml:space="preserve"> (indicated where applicable)</w:t>
      </w:r>
      <w:r w:rsidR="00D851AC">
        <w:t>.</w:t>
      </w:r>
      <w:r w:rsidR="00C51618">
        <w:t xml:space="preserve"> The processing pipeline is summarized below:</w:t>
      </w:r>
    </w:p>
    <w:p w14:paraId="1D48EE46" w14:textId="55D571A6" w:rsidR="004C60B2" w:rsidRDefault="004C60B2" w:rsidP="003A2F5E">
      <w:r w:rsidRPr="003A2F5E">
        <w:rPr>
          <w:b/>
          <w:bCs/>
        </w:rPr>
        <w:t>Figure S</w:t>
      </w:r>
      <w:r>
        <w:rPr>
          <w:b/>
          <w:bCs/>
        </w:rPr>
        <w:t>3</w:t>
      </w:r>
      <w:r>
        <w:t>: Processing pipeline used for XCT data in this study.</w:t>
      </w:r>
    </w:p>
    <w:p w14:paraId="7B9F688B" w14:textId="3D07394D" w:rsidR="00D851AC" w:rsidRDefault="00081E01" w:rsidP="003A2F5E">
      <w:r>
        <w:rPr>
          <w:noProof/>
        </w:rPr>
        <w:drawing>
          <wp:inline distT="0" distB="0" distL="0" distR="0" wp14:anchorId="2B629CD7" wp14:editId="592E1C08">
            <wp:extent cx="2401294" cy="4428882"/>
            <wp:effectExtent l="0" t="0" r="0" b="0"/>
            <wp:docPr id="5142089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0906" cy="4483498"/>
                    </a:xfrm>
                    <a:prstGeom prst="rect">
                      <a:avLst/>
                    </a:prstGeom>
                    <a:noFill/>
                    <a:ln>
                      <a:noFill/>
                    </a:ln>
                  </pic:spPr>
                </pic:pic>
              </a:graphicData>
            </a:graphic>
          </wp:inline>
        </w:drawing>
      </w:r>
    </w:p>
    <w:sectPr w:rsidR="00D851AC" w:rsidSect="00114F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altName w:val="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2F39"/>
    <w:multiLevelType w:val="hybridMultilevel"/>
    <w:tmpl w:val="0E22A96A"/>
    <w:lvl w:ilvl="0" w:tplc="5F2EC160">
      <w:start w:val="16"/>
      <w:numFmt w:val="bullet"/>
      <w:lvlText w:val="-"/>
      <w:lvlJc w:val="left"/>
      <w:pPr>
        <w:ind w:left="720" w:hanging="360"/>
      </w:pPr>
      <w:rPr>
        <w:rFonts w:ascii="Aptos" w:eastAsia="Times New Roman" w:hAnsi="Aptos" w:cs="Apto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FA14B7"/>
    <w:multiLevelType w:val="hybridMultilevel"/>
    <w:tmpl w:val="CE7E71D0"/>
    <w:lvl w:ilvl="0" w:tplc="3E0E30C8">
      <w:start w:val="1"/>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E539AC"/>
    <w:multiLevelType w:val="hybridMultilevel"/>
    <w:tmpl w:val="6C8C9268"/>
    <w:lvl w:ilvl="0" w:tplc="56EAB3CE">
      <w:start w:val="1"/>
      <w:numFmt w:val="decimal"/>
      <w:lvlText w:val="%1"/>
      <w:lvlJc w:val="left"/>
      <w:pPr>
        <w:ind w:left="360" w:hanging="360"/>
      </w:pPr>
      <w:rPr>
        <w:rFonts w:hint="default"/>
      </w:rPr>
    </w:lvl>
    <w:lvl w:ilvl="1" w:tplc="04090019" w:tentative="1">
      <w:start w:val="1"/>
      <w:numFmt w:val="lowerLetter"/>
      <w:lvlText w:val="%2."/>
      <w:lvlJc w:val="left"/>
      <w:pPr>
        <w:ind w:left="1994" w:hanging="360"/>
      </w:pPr>
    </w:lvl>
    <w:lvl w:ilvl="2" w:tplc="0409001B" w:tentative="1">
      <w:start w:val="1"/>
      <w:numFmt w:val="lowerRoman"/>
      <w:lvlText w:val="%3."/>
      <w:lvlJc w:val="right"/>
      <w:pPr>
        <w:ind w:left="2714" w:hanging="180"/>
      </w:pPr>
    </w:lvl>
    <w:lvl w:ilvl="3" w:tplc="0409000F" w:tentative="1">
      <w:start w:val="1"/>
      <w:numFmt w:val="decimal"/>
      <w:lvlText w:val="%4."/>
      <w:lvlJc w:val="left"/>
      <w:pPr>
        <w:ind w:left="3434" w:hanging="360"/>
      </w:pPr>
    </w:lvl>
    <w:lvl w:ilvl="4" w:tplc="04090019" w:tentative="1">
      <w:start w:val="1"/>
      <w:numFmt w:val="lowerLetter"/>
      <w:lvlText w:val="%5."/>
      <w:lvlJc w:val="left"/>
      <w:pPr>
        <w:ind w:left="4154" w:hanging="360"/>
      </w:pPr>
    </w:lvl>
    <w:lvl w:ilvl="5" w:tplc="0409001B" w:tentative="1">
      <w:start w:val="1"/>
      <w:numFmt w:val="lowerRoman"/>
      <w:lvlText w:val="%6."/>
      <w:lvlJc w:val="right"/>
      <w:pPr>
        <w:ind w:left="4874" w:hanging="180"/>
      </w:pPr>
    </w:lvl>
    <w:lvl w:ilvl="6" w:tplc="0409000F" w:tentative="1">
      <w:start w:val="1"/>
      <w:numFmt w:val="decimal"/>
      <w:lvlText w:val="%7."/>
      <w:lvlJc w:val="left"/>
      <w:pPr>
        <w:ind w:left="5594" w:hanging="360"/>
      </w:pPr>
    </w:lvl>
    <w:lvl w:ilvl="7" w:tplc="04090019" w:tentative="1">
      <w:start w:val="1"/>
      <w:numFmt w:val="lowerLetter"/>
      <w:lvlText w:val="%8."/>
      <w:lvlJc w:val="left"/>
      <w:pPr>
        <w:ind w:left="6314" w:hanging="360"/>
      </w:pPr>
    </w:lvl>
    <w:lvl w:ilvl="8" w:tplc="0409001B" w:tentative="1">
      <w:start w:val="1"/>
      <w:numFmt w:val="lowerRoman"/>
      <w:lvlText w:val="%9."/>
      <w:lvlJc w:val="right"/>
      <w:pPr>
        <w:ind w:left="7034" w:hanging="180"/>
      </w:pPr>
    </w:lvl>
  </w:abstractNum>
  <w:num w:numId="1" w16cid:durableId="1931618933">
    <w:abstractNumId w:val="0"/>
  </w:num>
  <w:num w:numId="2" w16cid:durableId="75320604">
    <w:abstractNumId w:val="2"/>
  </w:num>
  <w:num w:numId="3" w16cid:durableId="1142844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5E"/>
    <w:rsid w:val="00081E01"/>
    <w:rsid w:val="000F5068"/>
    <w:rsid w:val="00114F54"/>
    <w:rsid w:val="002223CC"/>
    <w:rsid w:val="00255674"/>
    <w:rsid w:val="002A5B1E"/>
    <w:rsid w:val="00323D36"/>
    <w:rsid w:val="00371CBE"/>
    <w:rsid w:val="003A2F5E"/>
    <w:rsid w:val="004035EB"/>
    <w:rsid w:val="004C532D"/>
    <w:rsid w:val="004C60B2"/>
    <w:rsid w:val="009C46F4"/>
    <w:rsid w:val="00A55468"/>
    <w:rsid w:val="00A61F49"/>
    <w:rsid w:val="00C51618"/>
    <w:rsid w:val="00D360F4"/>
    <w:rsid w:val="00D851AC"/>
    <w:rsid w:val="00D9018B"/>
    <w:rsid w:val="00E40022"/>
    <w:rsid w:val="00EB358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69465"/>
  <w15:chartTrackingRefBased/>
  <w15:docId w15:val="{E92CA41D-CE56-4B4E-BB9A-305E0C378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2F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2F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2F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2F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2F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2F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2F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2F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2F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F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2F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2F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2F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2F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2F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2F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2F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2F5E"/>
    <w:rPr>
      <w:rFonts w:eastAsiaTheme="majorEastAsia" w:cstheme="majorBidi"/>
      <w:color w:val="272727" w:themeColor="text1" w:themeTint="D8"/>
    </w:rPr>
  </w:style>
  <w:style w:type="paragraph" w:styleId="Title">
    <w:name w:val="Title"/>
    <w:basedOn w:val="Normal"/>
    <w:next w:val="Normal"/>
    <w:link w:val="TitleChar"/>
    <w:uiPriority w:val="10"/>
    <w:qFormat/>
    <w:rsid w:val="003A2F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2F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2F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2F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2F5E"/>
    <w:pPr>
      <w:spacing w:before="160"/>
      <w:jc w:val="center"/>
    </w:pPr>
    <w:rPr>
      <w:i/>
      <w:iCs/>
      <w:color w:val="404040" w:themeColor="text1" w:themeTint="BF"/>
    </w:rPr>
  </w:style>
  <w:style w:type="character" w:customStyle="1" w:styleId="QuoteChar">
    <w:name w:val="Quote Char"/>
    <w:basedOn w:val="DefaultParagraphFont"/>
    <w:link w:val="Quote"/>
    <w:uiPriority w:val="29"/>
    <w:rsid w:val="003A2F5E"/>
    <w:rPr>
      <w:i/>
      <w:iCs/>
      <w:color w:val="404040" w:themeColor="text1" w:themeTint="BF"/>
    </w:rPr>
  </w:style>
  <w:style w:type="paragraph" w:styleId="ListParagraph">
    <w:name w:val="List Paragraph"/>
    <w:basedOn w:val="Normal"/>
    <w:uiPriority w:val="34"/>
    <w:qFormat/>
    <w:rsid w:val="003A2F5E"/>
    <w:pPr>
      <w:ind w:left="720"/>
      <w:contextualSpacing/>
    </w:pPr>
  </w:style>
  <w:style w:type="character" w:styleId="IntenseEmphasis">
    <w:name w:val="Intense Emphasis"/>
    <w:basedOn w:val="DefaultParagraphFont"/>
    <w:uiPriority w:val="21"/>
    <w:qFormat/>
    <w:rsid w:val="003A2F5E"/>
    <w:rPr>
      <w:i/>
      <w:iCs/>
      <w:color w:val="0F4761" w:themeColor="accent1" w:themeShade="BF"/>
    </w:rPr>
  </w:style>
  <w:style w:type="paragraph" w:styleId="IntenseQuote">
    <w:name w:val="Intense Quote"/>
    <w:basedOn w:val="Normal"/>
    <w:next w:val="Normal"/>
    <w:link w:val="IntenseQuoteChar"/>
    <w:uiPriority w:val="30"/>
    <w:qFormat/>
    <w:rsid w:val="003A2F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2F5E"/>
    <w:rPr>
      <w:i/>
      <w:iCs/>
      <w:color w:val="0F4761" w:themeColor="accent1" w:themeShade="BF"/>
    </w:rPr>
  </w:style>
  <w:style w:type="character" w:styleId="IntenseReference">
    <w:name w:val="Intense Reference"/>
    <w:basedOn w:val="DefaultParagraphFont"/>
    <w:uiPriority w:val="32"/>
    <w:qFormat/>
    <w:rsid w:val="003A2F5E"/>
    <w:rPr>
      <w:b/>
      <w:bCs/>
      <w:smallCaps/>
      <w:color w:val="0F4761" w:themeColor="accent1" w:themeShade="BF"/>
      <w:spacing w:val="5"/>
    </w:rPr>
  </w:style>
  <w:style w:type="paragraph" w:styleId="CommentText">
    <w:name w:val="annotation text"/>
    <w:basedOn w:val="Normal"/>
    <w:link w:val="CommentTextChar"/>
    <w:uiPriority w:val="99"/>
    <w:semiHidden/>
    <w:unhideWhenUsed/>
    <w:rsid w:val="003A2F5E"/>
    <w:pPr>
      <w:spacing w:line="240" w:lineRule="auto"/>
    </w:pPr>
    <w:rPr>
      <w:sz w:val="20"/>
      <w:szCs w:val="20"/>
    </w:rPr>
  </w:style>
  <w:style w:type="character" w:customStyle="1" w:styleId="CommentTextChar">
    <w:name w:val="Comment Text Char"/>
    <w:basedOn w:val="DefaultParagraphFont"/>
    <w:link w:val="CommentText"/>
    <w:uiPriority w:val="99"/>
    <w:semiHidden/>
    <w:rsid w:val="003A2F5E"/>
    <w:rPr>
      <w:sz w:val="20"/>
      <w:szCs w:val="20"/>
    </w:rPr>
  </w:style>
  <w:style w:type="character" w:styleId="CommentReference">
    <w:name w:val="annotation reference"/>
    <w:basedOn w:val="DefaultParagraphFont"/>
    <w:uiPriority w:val="99"/>
    <w:semiHidden/>
    <w:unhideWhenUsed/>
    <w:rsid w:val="003A2F5E"/>
    <w:rPr>
      <w:sz w:val="16"/>
      <w:szCs w:val="16"/>
    </w:rPr>
  </w:style>
  <w:style w:type="paragraph" w:customStyle="1" w:styleId="Default">
    <w:name w:val="Default"/>
    <w:rsid w:val="003A2F5E"/>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5</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David (Postgraduate Researcher)</dc:creator>
  <cp:keywords/>
  <dc:description/>
  <cp:lastModifiedBy>Zhang, David (Postgraduate Researcher)</cp:lastModifiedBy>
  <cp:revision>4</cp:revision>
  <dcterms:created xsi:type="dcterms:W3CDTF">2026-09-11T11:07:00Z</dcterms:created>
  <dcterms:modified xsi:type="dcterms:W3CDTF">2026-09-11T11:43:00Z</dcterms:modified>
</cp:coreProperties>
</file>