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20563B" w14:textId="2A1346BE" w:rsidR="004F0BEA" w:rsidRDefault="0097215C" w:rsidP="004F6CFC">
      <w:pPr>
        <w:rPr>
          <w:rFonts w:ascii="Times New Roman" w:hAnsi="Times New Roman" w:cs="Times New Roman"/>
          <w:b/>
          <w:bCs/>
          <w:sz w:val="28"/>
          <w:szCs w:val="28"/>
        </w:rPr>
      </w:pPr>
      <w:r w:rsidRPr="004F6CFC">
        <w:rPr>
          <w:rFonts w:ascii="Times New Roman" w:hAnsi="Times New Roman" w:cs="Times New Roman"/>
          <w:b/>
          <w:bCs/>
          <w:sz w:val="28"/>
          <w:szCs w:val="28"/>
        </w:rPr>
        <w:t xml:space="preserve">Supplementary </w:t>
      </w:r>
      <w:r w:rsidR="007711EE">
        <w:rPr>
          <w:rFonts w:ascii="Times New Roman" w:hAnsi="Times New Roman" w:cs="Times New Roman"/>
          <w:b/>
          <w:bCs/>
          <w:sz w:val="28"/>
          <w:szCs w:val="28"/>
        </w:rPr>
        <w:t>Files</w:t>
      </w:r>
    </w:p>
    <w:p w14:paraId="366F432E" w14:textId="77777777" w:rsidR="001652A8" w:rsidRDefault="001652A8" w:rsidP="001652A8">
      <w:pPr>
        <w:rPr>
          <w:rFonts w:ascii="Times New Roman" w:hAnsi="Times New Roman" w:cs="Times New Roman"/>
          <w:sz w:val="22"/>
          <w:szCs w:val="22"/>
        </w:rPr>
      </w:pPr>
      <w:r>
        <w:rPr>
          <w:rFonts w:ascii="Times New Roman" w:hAnsi="Times New Roman" w:cs="Times New Roman"/>
          <w:sz w:val="22"/>
          <w:szCs w:val="22"/>
        </w:rPr>
        <w:t>Supplementary Table 1. Conceptual comparisons of foundation models in spatial transcriptomics.</w:t>
      </w:r>
    </w:p>
    <w:tbl>
      <w:tblPr>
        <w:tblStyle w:val="TableGrid"/>
        <w:tblW w:w="0" w:type="auto"/>
        <w:tblLook w:val="04A0" w:firstRow="1" w:lastRow="0" w:firstColumn="1" w:lastColumn="0" w:noHBand="0" w:noVBand="1"/>
      </w:tblPr>
      <w:tblGrid>
        <w:gridCol w:w="3325"/>
        <w:gridCol w:w="1620"/>
        <w:gridCol w:w="1530"/>
        <w:gridCol w:w="1440"/>
        <w:gridCol w:w="1430"/>
      </w:tblGrid>
      <w:tr w:rsidR="001652A8" w14:paraId="2BDDF835" w14:textId="77777777" w:rsidTr="00046071">
        <w:tc>
          <w:tcPr>
            <w:tcW w:w="3325" w:type="dxa"/>
          </w:tcPr>
          <w:p w14:paraId="65710032" w14:textId="77777777" w:rsidR="001652A8" w:rsidRDefault="001652A8" w:rsidP="00AA3DDD">
            <w:pPr>
              <w:jc w:val="center"/>
              <w:rPr>
                <w:rFonts w:ascii="Times New Roman" w:hAnsi="Times New Roman" w:cs="Times New Roman"/>
                <w:sz w:val="22"/>
                <w:szCs w:val="22"/>
              </w:rPr>
            </w:pPr>
          </w:p>
        </w:tc>
        <w:tc>
          <w:tcPr>
            <w:tcW w:w="1620" w:type="dxa"/>
          </w:tcPr>
          <w:p w14:paraId="3B2158C1"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Nicheformer</w:t>
            </w:r>
          </w:p>
        </w:tc>
        <w:tc>
          <w:tcPr>
            <w:tcW w:w="1530" w:type="dxa"/>
          </w:tcPr>
          <w:p w14:paraId="0956AEBF"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scGPT-spatial</w:t>
            </w:r>
          </w:p>
        </w:tc>
        <w:tc>
          <w:tcPr>
            <w:tcW w:w="1440" w:type="dxa"/>
          </w:tcPr>
          <w:p w14:paraId="5D7A8590"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Novae</w:t>
            </w:r>
          </w:p>
        </w:tc>
        <w:tc>
          <w:tcPr>
            <w:tcW w:w="1430" w:type="dxa"/>
          </w:tcPr>
          <w:p w14:paraId="4062DDA6"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spaGFM</w:t>
            </w:r>
          </w:p>
        </w:tc>
      </w:tr>
      <w:tr w:rsidR="001652A8" w14:paraId="46BF2096" w14:textId="77777777" w:rsidTr="00046071">
        <w:tc>
          <w:tcPr>
            <w:tcW w:w="3325" w:type="dxa"/>
          </w:tcPr>
          <w:p w14:paraId="7D87C6FE"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Graph aware</w:t>
            </w:r>
          </w:p>
        </w:tc>
        <w:tc>
          <w:tcPr>
            <w:tcW w:w="1620" w:type="dxa"/>
          </w:tcPr>
          <w:p w14:paraId="5CE9F1E3" w14:textId="50C884A8" w:rsidR="001652A8" w:rsidRDefault="001652A8" w:rsidP="00AA3DDD">
            <w:pPr>
              <w:jc w:val="center"/>
              <w:rPr>
                <w:rFonts w:ascii="Times New Roman" w:hAnsi="Times New Roman" w:cs="Times New Roman"/>
                <w:sz w:val="22"/>
                <w:szCs w:val="22"/>
              </w:rPr>
            </w:pPr>
          </w:p>
        </w:tc>
        <w:tc>
          <w:tcPr>
            <w:tcW w:w="1530" w:type="dxa"/>
          </w:tcPr>
          <w:p w14:paraId="15F175CC" w14:textId="37960FB4" w:rsidR="001652A8" w:rsidRDefault="001652A8" w:rsidP="00AA3DDD">
            <w:pPr>
              <w:jc w:val="center"/>
              <w:rPr>
                <w:rFonts w:ascii="Times New Roman" w:hAnsi="Times New Roman" w:cs="Times New Roman"/>
                <w:sz w:val="22"/>
                <w:szCs w:val="22"/>
              </w:rPr>
            </w:pPr>
          </w:p>
        </w:tc>
        <w:tc>
          <w:tcPr>
            <w:tcW w:w="1440" w:type="dxa"/>
          </w:tcPr>
          <w:p w14:paraId="6B40CEE6" w14:textId="7CA52691" w:rsidR="001652A8" w:rsidRDefault="00AF7D61"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30" w:type="dxa"/>
          </w:tcPr>
          <w:p w14:paraId="304E4BCF" w14:textId="3FBFB856" w:rsidR="001652A8" w:rsidRDefault="00AF7D61"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1652A8" w14:paraId="48D89C79" w14:textId="77777777" w:rsidTr="00046071">
        <w:tc>
          <w:tcPr>
            <w:tcW w:w="3325" w:type="dxa"/>
          </w:tcPr>
          <w:p w14:paraId="2D51F2E9" w14:textId="4B0138DB" w:rsidR="001652A8" w:rsidRDefault="00AF7D61" w:rsidP="00AA3DDD">
            <w:pPr>
              <w:jc w:val="center"/>
              <w:rPr>
                <w:rFonts w:ascii="Times New Roman" w:hAnsi="Times New Roman" w:cs="Times New Roman"/>
                <w:sz w:val="22"/>
                <w:szCs w:val="22"/>
              </w:rPr>
            </w:pPr>
            <w:r>
              <w:rPr>
                <w:rFonts w:ascii="Times New Roman" w:hAnsi="Times New Roman" w:cs="Times New Roman"/>
                <w:sz w:val="22"/>
                <w:szCs w:val="22"/>
              </w:rPr>
              <w:t>Dy</w:t>
            </w:r>
            <w:r w:rsidR="0005051F">
              <w:rPr>
                <w:rFonts w:ascii="Times New Roman" w:hAnsi="Times New Roman" w:cs="Times New Roman"/>
                <w:sz w:val="22"/>
                <w:szCs w:val="22"/>
              </w:rPr>
              <w:t xml:space="preserve">namic </w:t>
            </w:r>
            <w:r w:rsidR="001652A8">
              <w:rPr>
                <w:rFonts w:ascii="Times New Roman" w:hAnsi="Times New Roman" w:cs="Times New Roman"/>
                <w:sz w:val="22"/>
                <w:szCs w:val="22"/>
              </w:rPr>
              <w:t>Receptive fields</w:t>
            </w:r>
          </w:p>
        </w:tc>
        <w:tc>
          <w:tcPr>
            <w:tcW w:w="1620" w:type="dxa"/>
          </w:tcPr>
          <w:p w14:paraId="3BE09502" w14:textId="08EEFFCE" w:rsidR="001652A8" w:rsidRDefault="001652A8" w:rsidP="00AA3DDD">
            <w:pPr>
              <w:jc w:val="center"/>
              <w:rPr>
                <w:rFonts w:ascii="Times New Roman" w:hAnsi="Times New Roman" w:cs="Times New Roman"/>
                <w:sz w:val="22"/>
                <w:szCs w:val="22"/>
              </w:rPr>
            </w:pPr>
          </w:p>
        </w:tc>
        <w:tc>
          <w:tcPr>
            <w:tcW w:w="1530" w:type="dxa"/>
          </w:tcPr>
          <w:p w14:paraId="31C148B1" w14:textId="3442F2DC" w:rsidR="001652A8" w:rsidRDefault="001652A8" w:rsidP="00AA3DDD">
            <w:pPr>
              <w:jc w:val="center"/>
              <w:rPr>
                <w:rFonts w:ascii="Times New Roman" w:hAnsi="Times New Roman" w:cs="Times New Roman"/>
                <w:sz w:val="22"/>
                <w:szCs w:val="22"/>
              </w:rPr>
            </w:pPr>
          </w:p>
        </w:tc>
        <w:tc>
          <w:tcPr>
            <w:tcW w:w="1440" w:type="dxa"/>
          </w:tcPr>
          <w:p w14:paraId="5F0E7568" w14:textId="076BBD43" w:rsidR="001652A8" w:rsidRDefault="001652A8" w:rsidP="00AA3DDD">
            <w:pPr>
              <w:jc w:val="center"/>
              <w:rPr>
                <w:rFonts w:ascii="Times New Roman" w:hAnsi="Times New Roman" w:cs="Times New Roman"/>
                <w:sz w:val="22"/>
                <w:szCs w:val="22"/>
              </w:rPr>
            </w:pPr>
          </w:p>
        </w:tc>
        <w:tc>
          <w:tcPr>
            <w:tcW w:w="1430" w:type="dxa"/>
          </w:tcPr>
          <w:p w14:paraId="48BAFF15" w14:textId="360735CB" w:rsidR="001652A8" w:rsidRDefault="0005051F"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1652A8" w14:paraId="5ED87089" w14:textId="77777777" w:rsidTr="00046071">
        <w:tc>
          <w:tcPr>
            <w:tcW w:w="3325" w:type="dxa"/>
          </w:tcPr>
          <w:p w14:paraId="38F7B19D"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Cellular representation</w:t>
            </w:r>
          </w:p>
        </w:tc>
        <w:tc>
          <w:tcPr>
            <w:tcW w:w="1620" w:type="dxa"/>
          </w:tcPr>
          <w:p w14:paraId="11659DD8" w14:textId="7BD4D160" w:rsidR="001652A8" w:rsidRDefault="0005051F"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530" w:type="dxa"/>
          </w:tcPr>
          <w:p w14:paraId="026517BA" w14:textId="4A455604" w:rsidR="001652A8" w:rsidRDefault="0005051F"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40" w:type="dxa"/>
          </w:tcPr>
          <w:p w14:paraId="7B4BED25" w14:textId="6101C466" w:rsidR="001652A8" w:rsidRDefault="001652A8" w:rsidP="00AA3DDD">
            <w:pPr>
              <w:jc w:val="center"/>
              <w:rPr>
                <w:rFonts w:ascii="Times New Roman" w:hAnsi="Times New Roman" w:cs="Times New Roman"/>
                <w:sz w:val="22"/>
                <w:szCs w:val="22"/>
              </w:rPr>
            </w:pPr>
          </w:p>
        </w:tc>
        <w:tc>
          <w:tcPr>
            <w:tcW w:w="1430" w:type="dxa"/>
          </w:tcPr>
          <w:p w14:paraId="2AD59596" w14:textId="562599E1" w:rsidR="001652A8" w:rsidRDefault="0005051F"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1652A8" w14:paraId="3A4483A9" w14:textId="77777777" w:rsidTr="00046071">
        <w:tc>
          <w:tcPr>
            <w:tcW w:w="3325" w:type="dxa"/>
          </w:tcPr>
          <w:p w14:paraId="306217D4"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Neighborhood representation</w:t>
            </w:r>
          </w:p>
        </w:tc>
        <w:tc>
          <w:tcPr>
            <w:tcW w:w="1620" w:type="dxa"/>
          </w:tcPr>
          <w:p w14:paraId="3E38F49C" w14:textId="7B8D2DC4" w:rsidR="001652A8" w:rsidRDefault="001652A8" w:rsidP="00AA3DDD">
            <w:pPr>
              <w:jc w:val="center"/>
              <w:rPr>
                <w:rFonts w:ascii="Times New Roman" w:hAnsi="Times New Roman" w:cs="Times New Roman"/>
                <w:sz w:val="22"/>
                <w:szCs w:val="22"/>
              </w:rPr>
            </w:pPr>
          </w:p>
        </w:tc>
        <w:tc>
          <w:tcPr>
            <w:tcW w:w="1530" w:type="dxa"/>
          </w:tcPr>
          <w:p w14:paraId="2A0CE149" w14:textId="13F6D095" w:rsidR="001652A8" w:rsidRDefault="001652A8" w:rsidP="00AA3DDD">
            <w:pPr>
              <w:jc w:val="center"/>
              <w:rPr>
                <w:rFonts w:ascii="Times New Roman" w:hAnsi="Times New Roman" w:cs="Times New Roman"/>
                <w:sz w:val="22"/>
                <w:szCs w:val="22"/>
              </w:rPr>
            </w:pPr>
          </w:p>
        </w:tc>
        <w:tc>
          <w:tcPr>
            <w:tcW w:w="1440" w:type="dxa"/>
          </w:tcPr>
          <w:p w14:paraId="4B2B747A" w14:textId="41E9FCD2" w:rsidR="001652A8" w:rsidRDefault="0005051F"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30" w:type="dxa"/>
          </w:tcPr>
          <w:p w14:paraId="5D2046AF" w14:textId="11EC6BBC" w:rsidR="001652A8" w:rsidRDefault="0005051F" w:rsidP="00AA3DDD">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1652A8" w14:paraId="3BF85FE3" w14:textId="77777777" w:rsidTr="00046071">
        <w:tc>
          <w:tcPr>
            <w:tcW w:w="3325" w:type="dxa"/>
          </w:tcPr>
          <w:p w14:paraId="46F59C2A"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Model size</w:t>
            </w:r>
          </w:p>
        </w:tc>
        <w:tc>
          <w:tcPr>
            <w:tcW w:w="1620" w:type="dxa"/>
          </w:tcPr>
          <w:p w14:paraId="5774C8EE"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49.3M</w:t>
            </w:r>
          </w:p>
        </w:tc>
        <w:tc>
          <w:tcPr>
            <w:tcW w:w="1530" w:type="dxa"/>
          </w:tcPr>
          <w:p w14:paraId="364D2BDA"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50.1M</w:t>
            </w:r>
          </w:p>
        </w:tc>
        <w:tc>
          <w:tcPr>
            <w:tcW w:w="1440" w:type="dxa"/>
          </w:tcPr>
          <w:p w14:paraId="4998186C"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33.6M</w:t>
            </w:r>
          </w:p>
        </w:tc>
        <w:tc>
          <w:tcPr>
            <w:tcW w:w="1430" w:type="dxa"/>
          </w:tcPr>
          <w:p w14:paraId="6AEDB2FC" w14:textId="77777777" w:rsidR="001652A8" w:rsidRDefault="001652A8" w:rsidP="00AA3DDD">
            <w:pPr>
              <w:jc w:val="center"/>
              <w:rPr>
                <w:rFonts w:ascii="Times New Roman" w:hAnsi="Times New Roman" w:cs="Times New Roman"/>
                <w:sz w:val="22"/>
                <w:szCs w:val="22"/>
              </w:rPr>
            </w:pPr>
            <w:r>
              <w:rPr>
                <w:rFonts w:ascii="Times New Roman" w:hAnsi="Times New Roman" w:cs="Times New Roman"/>
                <w:sz w:val="22"/>
                <w:szCs w:val="22"/>
              </w:rPr>
              <w:t>317M</w:t>
            </w:r>
          </w:p>
        </w:tc>
      </w:tr>
    </w:tbl>
    <w:p w14:paraId="702907B1" w14:textId="77777777" w:rsidR="00771B0A" w:rsidRDefault="00771B0A" w:rsidP="001652A8">
      <w:pPr>
        <w:rPr>
          <w:rFonts w:ascii="Times New Roman" w:hAnsi="Times New Roman" w:cs="Times New Roman"/>
          <w:sz w:val="22"/>
          <w:szCs w:val="22"/>
        </w:rPr>
      </w:pPr>
    </w:p>
    <w:p w14:paraId="4646F2DA" w14:textId="77777777" w:rsidR="001652A8" w:rsidRPr="00DC65C9" w:rsidRDefault="001652A8" w:rsidP="001652A8">
      <w:pPr>
        <w:rPr>
          <w:rFonts w:ascii="Times New Roman" w:hAnsi="Times New Roman" w:cs="Times New Roman"/>
          <w:sz w:val="22"/>
          <w:szCs w:val="22"/>
        </w:rPr>
      </w:pPr>
      <w:r>
        <w:rPr>
          <w:rFonts w:ascii="Times New Roman" w:hAnsi="Times New Roman" w:cs="Times New Roman"/>
          <w:sz w:val="22"/>
          <w:szCs w:val="22"/>
        </w:rPr>
        <w:t xml:space="preserve">Supplementary Table 2. </w:t>
      </w:r>
      <w:r w:rsidRPr="00FF650B">
        <w:rPr>
          <w:rFonts w:ascii="Times New Roman" w:hAnsi="Times New Roman" w:cs="Times New Roman"/>
          <w:sz w:val="22"/>
          <w:szCs w:val="22"/>
        </w:rPr>
        <w:t xml:space="preserve">Ablation analysis of spaGFM </w:t>
      </w:r>
      <w:r>
        <w:rPr>
          <w:rFonts w:ascii="Times New Roman" w:hAnsi="Times New Roman" w:cs="Times New Roman"/>
          <w:sz w:val="22"/>
          <w:szCs w:val="22"/>
        </w:rPr>
        <w:t xml:space="preserve">model </w:t>
      </w:r>
      <w:r w:rsidRPr="00FF650B">
        <w:rPr>
          <w:rFonts w:ascii="Times New Roman" w:hAnsi="Times New Roman" w:cs="Times New Roman"/>
          <w:sz w:val="22"/>
          <w:szCs w:val="22"/>
        </w:rPr>
        <w:t>components</w:t>
      </w:r>
      <w:r>
        <w:rPr>
          <w:rFonts w:ascii="Times New Roman" w:hAnsi="Times New Roman" w:cs="Times New Roman"/>
          <w:sz w:val="22"/>
          <w:szCs w:val="22"/>
        </w:rPr>
        <w:t>.</w:t>
      </w:r>
      <w:r>
        <w:rPr>
          <w:rFonts w:ascii="Times New Roman" w:hAnsi="Times New Roman" w:cs="Times New Roman" w:hint="eastAsia"/>
          <w:sz w:val="22"/>
          <w:szCs w:val="22"/>
        </w:rPr>
        <w:t xml:space="preserve"> </w:t>
      </w:r>
    </w:p>
    <w:tbl>
      <w:tblPr>
        <w:tblStyle w:val="TableGrid"/>
        <w:tblW w:w="9355" w:type="dxa"/>
        <w:tblLook w:val="04A0" w:firstRow="1" w:lastRow="0" w:firstColumn="1" w:lastColumn="0" w:noHBand="0" w:noVBand="1"/>
      </w:tblPr>
      <w:tblGrid>
        <w:gridCol w:w="1807"/>
        <w:gridCol w:w="1463"/>
        <w:gridCol w:w="1463"/>
        <w:gridCol w:w="1397"/>
        <w:gridCol w:w="1438"/>
        <w:gridCol w:w="1787"/>
      </w:tblGrid>
      <w:tr w:rsidR="00E27AC0" w14:paraId="0E7FB9A7" w14:textId="77777777" w:rsidTr="003252BA">
        <w:tc>
          <w:tcPr>
            <w:tcW w:w="1975" w:type="dxa"/>
          </w:tcPr>
          <w:p w14:paraId="2ADF6AD7" w14:textId="77777777" w:rsidR="00E27AC0" w:rsidRPr="00744022" w:rsidRDefault="00E27AC0" w:rsidP="00166168">
            <w:pPr>
              <w:jc w:val="center"/>
              <w:rPr>
                <w:rFonts w:ascii="Times New Roman" w:hAnsi="Times New Roman" w:cs="Times New Roman"/>
                <w:sz w:val="22"/>
                <w:szCs w:val="22"/>
              </w:rPr>
            </w:pPr>
          </w:p>
        </w:tc>
        <w:tc>
          <w:tcPr>
            <w:tcW w:w="1014" w:type="dxa"/>
          </w:tcPr>
          <w:p w14:paraId="5812852F"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t>Initial representation</w:t>
            </w:r>
          </w:p>
        </w:tc>
        <w:tc>
          <w:tcPr>
            <w:tcW w:w="1463" w:type="dxa"/>
          </w:tcPr>
          <w:p w14:paraId="7D96BC25" w14:textId="208D38E8" w:rsidR="00E27AC0" w:rsidRDefault="00E27AC0" w:rsidP="00166168">
            <w:pPr>
              <w:jc w:val="center"/>
              <w:rPr>
                <w:rFonts w:ascii="Times New Roman" w:hAnsi="Times New Roman" w:cs="Times New Roman"/>
                <w:sz w:val="22"/>
                <w:szCs w:val="22"/>
              </w:rPr>
            </w:pPr>
            <w:r>
              <w:rPr>
                <w:rFonts w:ascii="Times New Roman" w:hAnsi="Times New Roman" w:cs="Times New Roman"/>
                <w:sz w:val="22"/>
                <w:szCs w:val="22"/>
              </w:rPr>
              <w:t>Graph representation</w:t>
            </w:r>
          </w:p>
        </w:tc>
        <w:tc>
          <w:tcPr>
            <w:tcW w:w="1420" w:type="dxa"/>
          </w:tcPr>
          <w:p w14:paraId="598C3610" w14:textId="256DBA74"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t>Transformer backbone</w:t>
            </w:r>
          </w:p>
        </w:tc>
        <w:tc>
          <w:tcPr>
            <w:tcW w:w="1438" w:type="dxa"/>
          </w:tcPr>
          <w:p w14:paraId="7302E36B"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t xml:space="preserve">Variance </w:t>
            </w:r>
            <w:r w:rsidRPr="008B1F39">
              <w:rPr>
                <w:rFonts w:ascii="Times New Roman" w:hAnsi="Times New Roman" w:cs="Times New Roman"/>
                <w:sz w:val="22"/>
                <w:szCs w:val="22"/>
              </w:rPr>
              <w:t>regularization</w:t>
            </w:r>
          </w:p>
        </w:tc>
        <w:tc>
          <w:tcPr>
            <w:tcW w:w="2045" w:type="dxa"/>
          </w:tcPr>
          <w:p w14:paraId="50DB7762" w14:textId="77777777" w:rsidR="00E27AC0" w:rsidRPr="00744022" w:rsidRDefault="00E27AC0" w:rsidP="00166168">
            <w:pPr>
              <w:jc w:val="center"/>
              <w:rPr>
                <w:rFonts w:ascii="Times New Roman" w:hAnsi="Times New Roman" w:cs="Times New Roman"/>
                <w:sz w:val="22"/>
                <w:szCs w:val="22"/>
              </w:rPr>
            </w:pPr>
            <w:r w:rsidRPr="00744022">
              <w:rPr>
                <w:rFonts w:ascii="Times New Roman" w:hAnsi="Times New Roman" w:cs="Times New Roman"/>
                <w:sz w:val="22"/>
                <w:szCs w:val="22"/>
              </w:rPr>
              <w:t>Figur</w:t>
            </w:r>
            <w:r>
              <w:rPr>
                <w:rFonts w:ascii="Times New Roman" w:hAnsi="Times New Roman" w:cs="Times New Roman"/>
                <w:sz w:val="22"/>
                <w:szCs w:val="22"/>
              </w:rPr>
              <w:t>e Index</w:t>
            </w:r>
          </w:p>
        </w:tc>
      </w:tr>
      <w:tr w:rsidR="00E27AC0" w14:paraId="44F1F10B" w14:textId="77777777" w:rsidTr="003252BA">
        <w:tc>
          <w:tcPr>
            <w:tcW w:w="1975" w:type="dxa"/>
          </w:tcPr>
          <w:p w14:paraId="55020758" w14:textId="77777777" w:rsidR="00E27AC0" w:rsidRPr="00744022" w:rsidRDefault="00E27AC0" w:rsidP="00166168">
            <w:pPr>
              <w:jc w:val="center"/>
              <w:rPr>
                <w:rFonts w:ascii="Times New Roman" w:hAnsi="Times New Roman" w:cs="Times New Roman"/>
                <w:sz w:val="22"/>
                <w:szCs w:val="22"/>
              </w:rPr>
            </w:pPr>
            <w:r w:rsidRPr="00744022">
              <w:rPr>
                <w:rFonts w:ascii="Times New Roman" w:hAnsi="Times New Roman" w:cs="Times New Roman"/>
                <w:sz w:val="22"/>
                <w:szCs w:val="22"/>
              </w:rPr>
              <w:t>s</w:t>
            </w:r>
            <w:r w:rsidRPr="00744022">
              <w:rPr>
                <w:rFonts w:ascii="Times New Roman" w:hAnsi="Times New Roman" w:cs="Times New Roman" w:hint="eastAsia"/>
                <w:sz w:val="22"/>
                <w:szCs w:val="22"/>
              </w:rPr>
              <w:t>pa</w:t>
            </w:r>
            <w:r w:rsidRPr="00744022">
              <w:rPr>
                <w:rFonts w:ascii="Times New Roman" w:hAnsi="Times New Roman" w:cs="Times New Roman"/>
                <w:sz w:val="22"/>
                <w:szCs w:val="22"/>
              </w:rPr>
              <w:t>GFM</w:t>
            </w:r>
          </w:p>
        </w:tc>
        <w:tc>
          <w:tcPr>
            <w:tcW w:w="1014" w:type="dxa"/>
          </w:tcPr>
          <w:p w14:paraId="49E0A657"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63" w:type="dxa"/>
          </w:tcPr>
          <w:p w14:paraId="70AA3BCB" w14:textId="5772421A" w:rsidR="00E27AC0" w:rsidRDefault="00262DBC"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20" w:type="dxa"/>
          </w:tcPr>
          <w:p w14:paraId="4A5A3C9C" w14:textId="13F9C93F"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38" w:type="dxa"/>
          </w:tcPr>
          <w:p w14:paraId="02D400D2"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2045" w:type="dxa"/>
          </w:tcPr>
          <w:p w14:paraId="1A302B18"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t>-</w:t>
            </w:r>
          </w:p>
        </w:tc>
      </w:tr>
      <w:tr w:rsidR="00E27AC0" w14:paraId="527A6874" w14:textId="77777777" w:rsidTr="003252BA">
        <w:tc>
          <w:tcPr>
            <w:tcW w:w="1975" w:type="dxa"/>
          </w:tcPr>
          <w:p w14:paraId="10B8FBC1" w14:textId="4C40C9CC" w:rsidR="00E27AC0" w:rsidRPr="00B76603" w:rsidRDefault="003252BA" w:rsidP="00166168">
            <w:pPr>
              <w:jc w:val="center"/>
              <w:rPr>
                <w:rFonts w:ascii="Times New Roman" w:hAnsi="Times New Roman" w:cs="Times New Roman"/>
                <w:sz w:val="22"/>
                <w:szCs w:val="22"/>
              </w:rPr>
            </w:pPr>
            <w:r>
              <w:rPr>
                <w:rFonts w:ascii="Times New Roman" w:hAnsi="Times New Roman" w:cs="Times New Roman"/>
                <w:sz w:val="22"/>
                <w:szCs w:val="22"/>
              </w:rPr>
              <w:t>No</w:t>
            </w:r>
            <w:r w:rsidR="00E27AC0">
              <w:rPr>
                <w:rFonts w:ascii="Times New Roman" w:hAnsi="Times New Roman" w:cs="Times New Roman"/>
                <w:sz w:val="22"/>
                <w:szCs w:val="22"/>
              </w:rPr>
              <w:t xml:space="preserve"> variance loss</w:t>
            </w:r>
          </w:p>
        </w:tc>
        <w:tc>
          <w:tcPr>
            <w:tcW w:w="1014" w:type="dxa"/>
          </w:tcPr>
          <w:p w14:paraId="239EDCE7"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63" w:type="dxa"/>
          </w:tcPr>
          <w:p w14:paraId="02937367" w14:textId="555ECAD1" w:rsidR="00E27AC0" w:rsidRDefault="00262DBC"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20" w:type="dxa"/>
          </w:tcPr>
          <w:p w14:paraId="208D4FD4" w14:textId="18CCC44D"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38" w:type="dxa"/>
          </w:tcPr>
          <w:p w14:paraId="683C3D8C" w14:textId="77777777" w:rsidR="00E27AC0" w:rsidRPr="00744022" w:rsidRDefault="00E27AC0" w:rsidP="00166168">
            <w:pPr>
              <w:jc w:val="center"/>
              <w:rPr>
                <w:rFonts w:ascii="Times New Roman" w:hAnsi="Times New Roman" w:cs="Times New Roman"/>
                <w:sz w:val="22"/>
                <w:szCs w:val="22"/>
              </w:rPr>
            </w:pPr>
          </w:p>
        </w:tc>
        <w:tc>
          <w:tcPr>
            <w:tcW w:w="2045" w:type="dxa"/>
          </w:tcPr>
          <w:p w14:paraId="6A121347" w14:textId="7F551DFF" w:rsidR="00E27AC0" w:rsidRPr="00744022" w:rsidRDefault="00E27AC0" w:rsidP="00166168">
            <w:pPr>
              <w:jc w:val="center"/>
              <w:rPr>
                <w:rFonts w:ascii="Times New Roman" w:hAnsi="Times New Roman" w:cs="Times New Roman"/>
                <w:sz w:val="22"/>
                <w:szCs w:val="22"/>
              </w:rPr>
            </w:pPr>
            <w:r w:rsidRPr="00B76603">
              <w:rPr>
                <w:rFonts w:ascii="Times New Roman" w:hAnsi="Times New Roman" w:cs="Times New Roman"/>
                <w:sz w:val="22"/>
                <w:szCs w:val="22"/>
              </w:rPr>
              <w:t>Suppl</w:t>
            </w:r>
            <w:r w:rsidR="00166168">
              <w:rPr>
                <w:rFonts w:ascii="Times New Roman" w:hAnsi="Times New Roman" w:cs="Times New Roman"/>
                <w:sz w:val="22"/>
                <w:szCs w:val="22"/>
              </w:rPr>
              <w:t>.</w:t>
            </w:r>
            <w:r w:rsidRPr="00B76603">
              <w:rPr>
                <w:rFonts w:ascii="Times New Roman" w:hAnsi="Times New Roman" w:cs="Times New Roman"/>
                <w:sz w:val="22"/>
                <w:szCs w:val="22"/>
              </w:rPr>
              <w:t xml:space="preserve"> Fig. 2</w:t>
            </w:r>
          </w:p>
        </w:tc>
      </w:tr>
      <w:tr w:rsidR="00E27AC0" w14:paraId="10D6C3F2" w14:textId="77777777" w:rsidTr="003252BA">
        <w:tc>
          <w:tcPr>
            <w:tcW w:w="1975" w:type="dxa"/>
          </w:tcPr>
          <w:p w14:paraId="3D0605EE" w14:textId="29441118"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t>RW</w:t>
            </w:r>
            <w:r w:rsidR="003252BA">
              <w:rPr>
                <w:rFonts w:ascii="Times New Roman" w:hAnsi="Times New Roman" w:cs="Times New Roman"/>
                <w:sz w:val="22"/>
                <w:szCs w:val="22"/>
              </w:rPr>
              <w:t xml:space="preserve"> + </w:t>
            </w:r>
            <w:r>
              <w:rPr>
                <w:rFonts w:ascii="Times New Roman" w:hAnsi="Times New Roman" w:cs="Times New Roman"/>
                <w:sz w:val="22"/>
                <w:szCs w:val="22"/>
              </w:rPr>
              <w:t>pooling</w:t>
            </w:r>
          </w:p>
        </w:tc>
        <w:tc>
          <w:tcPr>
            <w:tcW w:w="1014" w:type="dxa"/>
          </w:tcPr>
          <w:p w14:paraId="2B1E427F" w14:textId="77777777" w:rsidR="00E27AC0" w:rsidRPr="00744022" w:rsidRDefault="00E27AC0"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63" w:type="dxa"/>
          </w:tcPr>
          <w:p w14:paraId="6D018A79" w14:textId="309798EE" w:rsidR="00E27AC0" w:rsidRPr="00744022" w:rsidRDefault="00262DBC"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20" w:type="dxa"/>
          </w:tcPr>
          <w:p w14:paraId="42E9BD1B" w14:textId="4F39871F" w:rsidR="00E27AC0" w:rsidRPr="00744022" w:rsidRDefault="00E27AC0" w:rsidP="00166168">
            <w:pPr>
              <w:jc w:val="center"/>
              <w:rPr>
                <w:rFonts w:ascii="Times New Roman" w:hAnsi="Times New Roman" w:cs="Times New Roman"/>
                <w:sz w:val="22"/>
                <w:szCs w:val="22"/>
              </w:rPr>
            </w:pPr>
          </w:p>
        </w:tc>
        <w:tc>
          <w:tcPr>
            <w:tcW w:w="1438" w:type="dxa"/>
          </w:tcPr>
          <w:p w14:paraId="1C088CC7" w14:textId="77777777" w:rsidR="00E27AC0" w:rsidRPr="00744022" w:rsidRDefault="00E27AC0" w:rsidP="00166168">
            <w:pPr>
              <w:jc w:val="center"/>
              <w:rPr>
                <w:rFonts w:ascii="Times New Roman" w:hAnsi="Times New Roman" w:cs="Times New Roman"/>
                <w:sz w:val="22"/>
                <w:szCs w:val="22"/>
              </w:rPr>
            </w:pPr>
          </w:p>
        </w:tc>
        <w:tc>
          <w:tcPr>
            <w:tcW w:w="2045" w:type="dxa"/>
          </w:tcPr>
          <w:p w14:paraId="0F0D6B37" w14:textId="0B501E1D" w:rsidR="00E27AC0" w:rsidRPr="00744022" w:rsidRDefault="00E27AC0" w:rsidP="00166168">
            <w:pPr>
              <w:jc w:val="center"/>
              <w:rPr>
                <w:rFonts w:ascii="Times New Roman" w:hAnsi="Times New Roman" w:cs="Times New Roman"/>
                <w:sz w:val="22"/>
                <w:szCs w:val="22"/>
              </w:rPr>
            </w:pPr>
            <w:r w:rsidRPr="00CE5464">
              <w:rPr>
                <w:rFonts w:ascii="Times New Roman" w:hAnsi="Times New Roman" w:cs="Times New Roman"/>
                <w:sz w:val="22"/>
                <w:szCs w:val="22"/>
              </w:rPr>
              <w:t>Suppl</w:t>
            </w:r>
            <w:r w:rsidR="00166168">
              <w:rPr>
                <w:rFonts w:ascii="Times New Roman" w:hAnsi="Times New Roman" w:cs="Times New Roman"/>
                <w:sz w:val="22"/>
                <w:szCs w:val="22"/>
              </w:rPr>
              <w:t>.</w:t>
            </w:r>
            <w:r w:rsidRPr="00CE5464">
              <w:rPr>
                <w:rFonts w:ascii="Times New Roman" w:hAnsi="Times New Roman" w:cs="Times New Roman"/>
                <w:sz w:val="22"/>
                <w:szCs w:val="22"/>
              </w:rPr>
              <w:t xml:space="preserve"> Fig. 7</w:t>
            </w:r>
          </w:p>
        </w:tc>
      </w:tr>
      <w:tr w:rsidR="009A6E5D" w14:paraId="24C72AEA" w14:textId="77777777" w:rsidTr="003252BA">
        <w:tc>
          <w:tcPr>
            <w:tcW w:w="1975" w:type="dxa"/>
          </w:tcPr>
          <w:p w14:paraId="068AF2A5" w14:textId="7A223749" w:rsidR="009A6E5D" w:rsidRDefault="008407B5" w:rsidP="00166168">
            <w:pPr>
              <w:jc w:val="center"/>
              <w:rPr>
                <w:rFonts w:ascii="Times New Roman" w:hAnsi="Times New Roman" w:cs="Times New Roman"/>
                <w:sz w:val="22"/>
                <w:szCs w:val="22"/>
              </w:rPr>
            </w:pPr>
            <w:r>
              <w:rPr>
                <w:rFonts w:ascii="Times New Roman" w:hAnsi="Times New Roman" w:cs="Times New Roman"/>
                <w:sz w:val="22"/>
                <w:szCs w:val="22"/>
              </w:rPr>
              <w:t>Gene expression</w:t>
            </w:r>
          </w:p>
        </w:tc>
        <w:tc>
          <w:tcPr>
            <w:tcW w:w="1014" w:type="dxa"/>
          </w:tcPr>
          <w:p w14:paraId="1B8B65F5" w14:textId="42D2B69B" w:rsidR="009A6E5D" w:rsidRDefault="00262DBC" w:rsidP="0016616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1463" w:type="dxa"/>
          </w:tcPr>
          <w:p w14:paraId="4DD31C74" w14:textId="77777777" w:rsidR="009A6E5D" w:rsidRPr="00744022" w:rsidRDefault="009A6E5D" w:rsidP="00166168">
            <w:pPr>
              <w:jc w:val="center"/>
              <w:rPr>
                <w:rFonts w:ascii="Times New Roman" w:hAnsi="Times New Roman" w:cs="Times New Roman"/>
                <w:sz w:val="22"/>
                <w:szCs w:val="22"/>
              </w:rPr>
            </w:pPr>
          </w:p>
        </w:tc>
        <w:tc>
          <w:tcPr>
            <w:tcW w:w="1420" w:type="dxa"/>
          </w:tcPr>
          <w:p w14:paraId="36F76DAD" w14:textId="77777777" w:rsidR="009A6E5D" w:rsidRPr="00744022" w:rsidRDefault="009A6E5D" w:rsidP="00166168">
            <w:pPr>
              <w:jc w:val="center"/>
              <w:rPr>
                <w:rFonts w:ascii="Times New Roman" w:hAnsi="Times New Roman" w:cs="Times New Roman"/>
                <w:sz w:val="22"/>
                <w:szCs w:val="22"/>
              </w:rPr>
            </w:pPr>
          </w:p>
        </w:tc>
        <w:tc>
          <w:tcPr>
            <w:tcW w:w="1438" w:type="dxa"/>
          </w:tcPr>
          <w:p w14:paraId="4D375007" w14:textId="77777777" w:rsidR="009A6E5D" w:rsidRPr="00744022" w:rsidRDefault="009A6E5D" w:rsidP="00166168">
            <w:pPr>
              <w:jc w:val="center"/>
              <w:rPr>
                <w:rFonts w:ascii="Times New Roman" w:hAnsi="Times New Roman" w:cs="Times New Roman"/>
                <w:sz w:val="22"/>
                <w:szCs w:val="22"/>
              </w:rPr>
            </w:pPr>
          </w:p>
        </w:tc>
        <w:tc>
          <w:tcPr>
            <w:tcW w:w="2045" w:type="dxa"/>
          </w:tcPr>
          <w:p w14:paraId="5E05EFA3" w14:textId="61A6F3AD" w:rsidR="009A6E5D" w:rsidRPr="00CE5464" w:rsidRDefault="009F0349" w:rsidP="00166168">
            <w:pPr>
              <w:jc w:val="center"/>
              <w:rPr>
                <w:rFonts w:ascii="Times New Roman" w:hAnsi="Times New Roman" w:cs="Times New Roman"/>
                <w:sz w:val="22"/>
                <w:szCs w:val="22"/>
              </w:rPr>
            </w:pPr>
            <w:r w:rsidRPr="00CE5464">
              <w:rPr>
                <w:rFonts w:ascii="Times New Roman" w:hAnsi="Times New Roman" w:cs="Times New Roman"/>
                <w:sz w:val="22"/>
                <w:szCs w:val="22"/>
              </w:rPr>
              <w:t>Suppl</w:t>
            </w:r>
            <w:r w:rsidR="00166168">
              <w:rPr>
                <w:rFonts w:ascii="Times New Roman" w:hAnsi="Times New Roman" w:cs="Times New Roman"/>
                <w:sz w:val="22"/>
                <w:szCs w:val="22"/>
              </w:rPr>
              <w:t>.</w:t>
            </w:r>
            <w:r w:rsidRPr="00CE5464">
              <w:rPr>
                <w:rFonts w:ascii="Times New Roman" w:hAnsi="Times New Roman" w:cs="Times New Roman"/>
                <w:sz w:val="22"/>
                <w:szCs w:val="22"/>
              </w:rPr>
              <w:t xml:space="preserve"> Fig. 7</w:t>
            </w:r>
          </w:p>
        </w:tc>
      </w:tr>
    </w:tbl>
    <w:p w14:paraId="2028C781" w14:textId="1E986261" w:rsidR="00AE4E60" w:rsidRDefault="001652A8" w:rsidP="004F6CFC">
      <w:pPr>
        <w:rPr>
          <w:rFonts w:ascii="Times New Roman" w:hAnsi="Times New Roman" w:cs="Times New Roman"/>
          <w:sz w:val="22"/>
          <w:szCs w:val="22"/>
        </w:rPr>
      </w:pPr>
      <w:r>
        <w:rPr>
          <w:rFonts w:ascii="Times New Roman" w:hAnsi="Times New Roman" w:cs="Times New Roman"/>
          <w:sz w:val="22"/>
          <w:szCs w:val="22"/>
        </w:rPr>
        <w:t>RW: Random-walk sampling</w:t>
      </w:r>
    </w:p>
    <w:p w14:paraId="429943DA" w14:textId="77777777" w:rsidR="00B462B3" w:rsidRDefault="00B462B3" w:rsidP="006E6017">
      <w:pPr>
        <w:rPr>
          <w:rFonts w:ascii="Times New Roman" w:hAnsi="Times New Roman" w:cs="Times New Roman"/>
          <w:sz w:val="22"/>
          <w:szCs w:val="22"/>
        </w:rPr>
      </w:pPr>
    </w:p>
    <w:p w14:paraId="0EE45600" w14:textId="513392F3" w:rsidR="006E6017" w:rsidRDefault="006E6017" w:rsidP="006E6017">
      <w:pPr>
        <w:rPr>
          <w:rFonts w:ascii="Times New Roman" w:hAnsi="Times New Roman" w:cs="Times New Roman"/>
          <w:sz w:val="22"/>
          <w:szCs w:val="22"/>
        </w:rPr>
      </w:pPr>
      <w:r>
        <w:rPr>
          <w:rFonts w:ascii="Times New Roman" w:hAnsi="Times New Roman" w:cs="Times New Roman"/>
          <w:sz w:val="22"/>
          <w:szCs w:val="22"/>
        </w:rPr>
        <w:t xml:space="preserve">Supplementary Table </w:t>
      </w:r>
      <w:r w:rsidR="00B462B3">
        <w:rPr>
          <w:rFonts w:ascii="Times New Roman" w:hAnsi="Times New Roman" w:cs="Times New Roman"/>
          <w:sz w:val="22"/>
          <w:szCs w:val="22"/>
        </w:rPr>
        <w:t>3</w:t>
      </w:r>
      <w:r>
        <w:rPr>
          <w:rFonts w:ascii="Times New Roman" w:hAnsi="Times New Roman" w:cs="Times New Roman"/>
          <w:sz w:val="22"/>
          <w:szCs w:val="22"/>
        </w:rPr>
        <w:t xml:space="preserve">. </w:t>
      </w:r>
      <w:r w:rsidRPr="00E5542F">
        <w:rPr>
          <w:rFonts w:ascii="Times New Roman" w:hAnsi="Times New Roman" w:cs="Times New Roman"/>
          <w:sz w:val="22"/>
          <w:szCs w:val="22"/>
        </w:rPr>
        <w:t xml:space="preserve">Comparison of Methods for </w:t>
      </w:r>
      <w:r>
        <w:rPr>
          <w:rFonts w:ascii="Times New Roman" w:hAnsi="Times New Roman" w:cs="Times New Roman"/>
          <w:sz w:val="22"/>
          <w:szCs w:val="22"/>
        </w:rPr>
        <w:t xml:space="preserve">identifying </w:t>
      </w:r>
      <w:r w:rsidRPr="00560A51">
        <w:rPr>
          <w:rFonts w:ascii="Times New Roman" w:hAnsi="Times New Roman" w:cs="Times New Roman"/>
          <w:sz w:val="22"/>
          <w:szCs w:val="22"/>
        </w:rPr>
        <w:t>Tertiary Lymphoid Structures</w:t>
      </w:r>
      <w:r>
        <w:rPr>
          <w:rFonts w:ascii="Times New Roman" w:hAnsi="Times New Roman" w:cs="Times New Roman"/>
          <w:sz w:val="22"/>
          <w:szCs w:val="22"/>
        </w:rPr>
        <w:t xml:space="preserve"> in Lung and Kidney</w:t>
      </w:r>
    </w:p>
    <w:tbl>
      <w:tblPr>
        <w:tblStyle w:val="TableGrid"/>
        <w:tblW w:w="9355" w:type="dxa"/>
        <w:tblLook w:val="04A0" w:firstRow="1" w:lastRow="0" w:firstColumn="1" w:lastColumn="0" w:noHBand="0" w:noVBand="1"/>
      </w:tblPr>
      <w:tblGrid>
        <w:gridCol w:w="2335"/>
        <w:gridCol w:w="3600"/>
        <w:gridCol w:w="3420"/>
      </w:tblGrid>
      <w:tr w:rsidR="006E6017" w14:paraId="54FA4BF6" w14:textId="77777777" w:rsidTr="00A400E8">
        <w:tc>
          <w:tcPr>
            <w:tcW w:w="2335" w:type="dxa"/>
          </w:tcPr>
          <w:p w14:paraId="68C40687" w14:textId="77777777" w:rsidR="006E6017" w:rsidRDefault="006E6017" w:rsidP="00A400E8">
            <w:pPr>
              <w:jc w:val="center"/>
              <w:rPr>
                <w:rFonts w:ascii="Times New Roman" w:hAnsi="Times New Roman" w:cs="Times New Roman"/>
                <w:sz w:val="22"/>
                <w:szCs w:val="22"/>
              </w:rPr>
            </w:pPr>
          </w:p>
        </w:tc>
        <w:tc>
          <w:tcPr>
            <w:tcW w:w="3600" w:type="dxa"/>
          </w:tcPr>
          <w:p w14:paraId="433B62A7" w14:textId="77777777" w:rsidR="006E6017" w:rsidRDefault="006E6017" w:rsidP="00A400E8">
            <w:pPr>
              <w:jc w:val="center"/>
              <w:rPr>
                <w:rFonts w:ascii="Times New Roman" w:hAnsi="Times New Roman" w:cs="Times New Roman"/>
                <w:sz w:val="22"/>
                <w:szCs w:val="22"/>
              </w:rPr>
            </w:pPr>
            <w:r w:rsidRPr="00D26D02">
              <w:rPr>
                <w:rFonts w:ascii="Times New Roman" w:hAnsi="Times New Roman" w:cs="Times New Roman"/>
                <w:sz w:val="22"/>
                <w:szCs w:val="22"/>
              </w:rPr>
              <w:t>Graph aware</w:t>
            </w:r>
          </w:p>
        </w:tc>
        <w:tc>
          <w:tcPr>
            <w:tcW w:w="3420" w:type="dxa"/>
          </w:tcPr>
          <w:p w14:paraId="584472F0"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Foundation model</w:t>
            </w:r>
          </w:p>
        </w:tc>
      </w:tr>
      <w:tr w:rsidR="006E6017" w14:paraId="14BC71CF" w14:textId="77777777" w:rsidTr="00A400E8">
        <w:tc>
          <w:tcPr>
            <w:tcW w:w="2335" w:type="dxa"/>
          </w:tcPr>
          <w:p w14:paraId="2140EFFD"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spaGFM</w:t>
            </w:r>
          </w:p>
        </w:tc>
        <w:tc>
          <w:tcPr>
            <w:tcW w:w="3600" w:type="dxa"/>
          </w:tcPr>
          <w:p w14:paraId="53438BA9"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3420" w:type="dxa"/>
          </w:tcPr>
          <w:p w14:paraId="6151A88F"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6E6017" w14:paraId="61A9AA22" w14:textId="77777777" w:rsidTr="00A400E8">
        <w:tc>
          <w:tcPr>
            <w:tcW w:w="2335" w:type="dxa"/>
          </w:tcPr>
          <w:p w14:paraId="1C66CF58"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Finetuned scGPT</w:t>
            </w:r>
          </w:p>
        </w:tc>
        <w:tc>
          <w:tcPr>
            <w:tcW w:w="3600" w:type="dxa"/>
          </w:tcPr>
          <w:p w14:paraId="2F2D1ED6" w14:textId="77777777" w:rsidR="006E6017" w:rsidRDefault="006E6017" w:rsidP="00A400E8">
            <w:pPr>
              <w:jc w:val="center"/>
              <w:rPr>
                <w:rFonts w:ascii="Times New Roman" w:hAnsi="Times New Roman" w:cs="Times New Roman"/>
                <w:sz w:val="22"/>
                <w:szCs w:val="22"/>
              </w:rPr>
            </w:pPr>
          </w:p>
        </w:tc>
        <w:tc>
          <w:tcPr>
            <w:tcW w:w="3420" w:type="dxa"/>
          </w:tcPr>
          <w:p w14:paraId="7104D699"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6E6017" w14:paraId="47113AE1" w14:textId="77777777" w:rsidTr="00A400E8">
        <w:tc>
          <w:tcPr>
            <w:tcW w:w="2335" w:type="dxa"/>
          </w:tcPr>
          <w:p w14:paraId="44F0D29D"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scGPT</w:t>
            </w:r>
          </w:p>
        </w:tc>
        <w:tc>
          <w:tcPr>
            <w:tcW w:w="3600" w:type="dxa"/>
          </w:tcPr>
          <w:p w14:paraId="65CC98F7" w14:textId="77777777" w:rsidR="006E6017" w:rsidRDefault="006E6017" w:rsidP="00A400E8">
            <w:pPr>
              <w:jc w:val="center"/>
              <w:rPr>
                <w:rFonts w:ascii="Times New Roman" w:hAnsi="Times New Roman" w:cs="Times New Roman"/>
                <w:sz w:val="22"/>
                <w:szCs w:val="22"/>
              </w:rPr>
            </w:pPr>
          </w:p>
        </w:tc>
        <w:tc>
          <w:tcPr>
            <w:tcW w:w="3420" w:type="dxa"/>
          </w:tcPr>
          <w:p w14:paraId="751523F4"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6E6017" w14:paraId="45A65335" w14:textId="77777777" w:rsidTr="00A400E8">
        <w:tc>
          <w:tcPr>
            <w:tcW w:w="2335" w:type="dxa"/>
          </w:tcPr>
          <w:p w14:paraId="7B0CB183"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Novae</w:t>
            </w:r>
          </w:p>
        </w:tc>
        <w:tc>
          <w:tcPr>
            <w:tcW w:w="3600" w:type="dxa"/>
          </w:tcPr>
          <w:p w14:paraId="3102DE62"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3420" w:type="dxa"/>
          </w:tcPr>
          <w:p w14:paraId="561A2FBD"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r w:rsidR="006E6017" w14:paraId="5FD7E851" w14:textId="77777777" w:rsidTr="00A400E8">
        <w:tc>
          <w:tcPr>
            <w:tcW w:w="2335" w:type="dxa"/>
          </w:tcPr>
          <w:p w14:paraId="18D2E129"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NicheCompass</w:t>
            </w:r>
          </w:p>
        </w:tc>
        <w:tc>
          <w:tcPr>
            <w:tcW w:w="3600" w:type="dxa"/>
          </w:tcPr>
          <w:p w14:paraId="6D14B19E"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3420" w:type="dxa"/>
          </w:tcPr>
          <w:p w14:paraId="4DEEDE6D" w14:textId="77777777" w:rsidR="006E6017" w:rsidRDefault="006E6017" w:rsidP="00A400E8">
            <w:pPr>
              <w:jc w:val="center"/>
              <w:rPr>
                <w:rFonts w:ascii="Times New Roman" w:hAnsi="Times New Roman" w:cs="Times New Roman"/>
                <w:sz w:val="22"/>
                <w:szCs w:val="22"/>
              </w:rPr>
            </w:pPr>
          </w:p>
        </w:tc>
      </w:tr>
      <w:tr w:rsidR="006E6017" w14:paraId="22C07FFF" w14:textId="77777777" w:rsidTr="00A400E8">
        <w:tc>
          <w:tcPr>
            <w:tcW w:w="2335" w:type="dxa"/>
          </w:tcPr>
          <w:p w14:paraId="78F85AC4"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t>scGPT-spatial</w:t>
            </w:r>
          </w:p>
        </w:tc>
        <w:tc>
          <w:tcPr>
            <w:tcW w:w="3600" w:type="dxa"/>
          </w:tcPr>
          <w:p w14:paraId="6ABF0E42" w14:textId="77777777" w:rsidR="006E6017" w:rsidRDefault="006E6017" w:rsidP="00A400E8">
            <w:pPr>
              <w:jc w:val="center"/>
              <w:rPr>
                <w:rFonts w:ascii="Times New Roman" w:hAnsi="Times New Roman" w:cs="Times New Roman"/>
                <w:sz w:val="22"/>
                <w:szCs w:val="22"/>
              </w:rPr>
            </w:pPr>
          </w:p>
        </w:tc>
        <w:tc>
          <w:tcPr>
            <w:tcW w:w="3420" w:type="dxa"/>
          </w:tcPr>
          <w:p w14:paraId="3E92D9F6" w14:textId="77777777" w:rsidR="006E6017" w:rsidRDefault="006E6017" w:rsidP="00A400E8">
            <w:pPr>
              <w:jc w:val="center"/>
              <w:rPr>
                <w:rFonts w:ascii="Times New Roman" w:hAnsi="Times New Roman" w:cs="Times New Roman"/>
                <w:sz w:val="22"/>
                <w:szCs w:val="22"/>
              </w:rPr>
            </w:pPr>
            <w:r>
              <w:rPr>
                <w:rFonts w:ascii="Times New Roman" w:hAnsi="Times New Roman" w:cs="Times New Roman"/>
                <w:sz w:val="22"/>
                <w:szCs w:val="22"/>
              </w:rPr>
              <w:sym w:font="Symbol" w:char="F0D6"/>
            </w:r>
          </w:p>
        </w:tc>
      </w:tr>
    </w:tbl>
    <w:p w14:paraId="0C75665B" w14:textId="2DE1F9A9" w:rsidR="006E6017" w:rsidRDefault="006E6017" w:rsidP="004F6CFC">
      <w:pPr>
        <w:rPr>
          <w:rFonts w:ascii="Times New Roman" w:hAnsi="Times New Roman" w:cs="Times New Roman"/>
          <w:sz w:val="22"/>
          <w:szCs w:val="22"/>
        </w:rPr>
      </w:pPr>
      <w:r>
        <w:rPr>
          <w:rFonts w:ascii="Times New Roman" w:hAnsi="Times New Roman" w:cs="Times New Roman"/>
          <w:sz w:val="22"/>
          <w:szCs w:val="22"/>
        </w:rPr>
        <w:t xml:space="preserve">See the main Fig. </w:t>
      </w:r>
      <w:r w:rsidR="00B462B3">
        <w:rPr>
          <w:rFonts w:ascii="Times New Roman" w:hAnsi="Times New Roman" w:cs="Times New Roman"/>
          <w:sz w:val="22"/>
          <w:szCs w:val="22"/>
        </w:rPr>
        <w:t>3</w:t>
      </w:r>
    </w:p>
    <w:p w14:paraId="1EFDA360" w14:textId="77777777" w:rsidR="00B462B3" w:rsidRDefault="00B462B3" w:rsidP="004F6CFC">
      <w:pPr>
        <w:rPr>
          <w:rFonts w:ascii="Times New Roman" w:hAnsi="Times New Roman" w:cs="Times New Roman"/>
          <w:sz w:val="22"/>
          <w:szCs w:val="22"/>
        </w:rPr>
      </w:pPr>
    </w:p>
    <w:p w14:paraId="47C046F7" w14:textId="1950F81C" w:rsidR="001652A8" w:rsidRDefault="00771B0A" w:rsidP="004F6CFC">
      <w:pPr>
        <w:rPr>
          <w:rFonts w:ascii="Times New Roman" w:hAnsi="Times New Roman" w:cs="Times New Roman"/>
          <w:sz w:val="22"/>
          <w:szCs w:val="22"/>
        </w:rPr>
      </w:pPr>
      <w:r>
        <w:rPr>
          <w:rFonts w:ascii="Times New Roman" w:hAnsi="Times New Roman" w:cs="Times New Roman"/>
          <w:sz w:val="22"/>
          <w:szCs w:val="22"/>
        </w:rPr>
        <w:t xml:space="preserve">Supplementary Table </w:t>
      </w:r>
      <w:r w:rsidR="00B462B3">
        <w:rPr>
          <w:rFonts w:ascii="Times New Roman" w:hAnsi="Times New Roman" w:cs="Times New Roman"/>
          <w:sz w:val="22"/>
          <w:szCs w:val="22"/>
        </w:rPr>
        <w:t>4</w:t>
      </w:r>
      <w:r>
        <w:rPr>
          <w:rFonts w:ascii="Times New Roman" w:hAnsi="Times New Roman" w:cs="Times New Roman"/>
          <w:sz w:val="22"/>
          <w:szCs w:val="22"/>
        </w:rPr>
        <w:t>.</w:t>
      </w:r>
      <w:r w:rsidR="004A05FE">
        <w:rPr>
          <w:rFonts w:ascii="Times New Roman" w:hAnsi="Times New Roman" w:cs="Times New Roman"/>
          <w:sz w:val="22"/>
          <w:szCs w:val="22"/>
        </w:rPr>
        <w:t xml:space="preserve"> </w:t>
      </w:r>
      <w:r w:rsidR="00E5542F" w:rsidRPr="00E5542F">
        <w:rPr>
          <w:rFonts w:ascii="Times New Roman" w:hAnsi="Times New Roman" w:cs="Times New Roman"/>
          <w:sz w:val="22"/>
          <w:szCs w:val="22"/>
        </w:rPr>
        <w:t xml:space="preserve">Comparison of Methods for </w:t>
      </w:r>
      <w:r w:rsidR="001B6309">
        <w:rPr>
          <w:rFonts w:ascii="Times New Roman" w:hAnsi="Times New Roman" w:cs="Times New Roman"/>
          <w:sz w:val="22"/>
          <w:szCs w:val="22"/>
        </w:rPr>
        <w:t xml:space="preserve">characterizing </w:t>
      </w:r>
      <w:r w:rsidR="00517AEC" w:rsidRPr="00517AEC">
        <w:rPr>
          <w:rFonts w:ascii="Times New Roman" w:hAnsi="Times New Roman" w:cs="Times New Roman"/>
          <w:sz w:val="22"/>
          <w:szCs w:val="22"/>
        </w:rPr>
        <w:t>glomerular</w:t>
      </w:r>
      <w:r w:rsidR="00517AEC">
        <w:rPr>
          <w:rFonts w:ascii="Times New Roman" w:hAnsi="Times New Roman" w:cs="Times New Roman"/>
          <w:sz w:val="22"/>
          <w:szCs w:val="22"/>
        </w:rPr>
        <w:t xml:space="preserve"> in</w:t>
      </w:r>
      <w:r w:rsidR="00517AEC" w:rsidRPr="00517AEC">
        <w:rPr>
          <w:rFonts w:ascii="Times New Roman" w:hAnsi="Times New Roman" w:cs="Times New Roman"/>
          <w:sz w:val="22"/>
          <w:szCs w:val="22"/>
        </w:rPr>
        <w:t xml:space="preserve"> </w:t>
      </w:r>
      <w:r w:rsidR="00E5542F" w:rsidRPr="00E5542F">
        <w:rPr>
          <w:rFonts w:ascii="Times New Roman" w:hAnsi="Times New Roman" w:cs="Times New Roman"/>
          <w:sz w:val="22"/>
          <w:szCs w:val="22"/>
        </w:rPr>
        <w:t>Diabetic Kidney</w:t>
      </w:r>
      <w:r w:rsidR="00517AEC">
        <w:rPr>
          <w:rFonts w:ascii="Times New Roman" w:hAnsi="Times New Roman" w:cs="Times New Roman"/>
          <w:sz w:val="22"/>
          <w:szCs w:val="22"/>
        </w:rPr>
        <w:t xml:space="preserve"> </w:t>
      </w:r>
      <w:r w:rsidR="00E5542F" w:rsidRPr="00E5542F">
        <w:rPr>
          <w:rFonts w:ascii="Times New Roman" w:hAnsi="Times New Roman" w:cs="Times New Roman"/>
          <w:sz w:val="22"/>
          <w:szCs w:val="22"/>
        </w:rPr>
        <w:t>Disease</w:t>
      </w:r>
    </w:p>
    <w:tbl>
      <w:tblPr>
        <w:tblStyle w:val="TableGrid"/>
        <w:tblW w:w="9355" w:type="dxa"/>
        <w:tblLook w:val="04A0" w:firstRow="1" w:lastRow="0" w:firstColumn="1" w:lastColumn="0" w:noHBand="0" w:noVBand="1"/>
      </w:tblPr>
      <w:tblGrid>
        <w:gridCol w:w="2335"/>
        <w:gridCol w:w="3600"/>
        <w:gridCol w:w="3420"/>
      </w:tblGrid>
      <w:tr w:rsidR="00453A86" w14:paraId="3562BC2C" w14:textId="77777777" w:rsidTr="00453A86">
        <w:tc>
          <w:tcPr>
            <w:tcW w:w="2335" w:type="dxa"/>
          </w:tcPr>
          <w:p w14:paraId="0598D6DD" w14:textId="77777777" w:rsidR="00453A86" w:rsidRPr="003744DD" w:rsidRDefault="00453A86" w:rsidP="00F725A4">
            <w:pPr>
              <w:jc w:val="center"/>
              <w:rPr>
                <w:rFonts w:ascii="Times New Roman" w:hAnsi="Times New Roman" w:cs="Times New Roman"/>
                <w:sz w:val="22"/>
                <w:szCs w:val="22"/>
              </w:rPr>
            </w:pPr>
          </w:p>
        </w:tc>
        <w:tc>
          <w:tcPr>
            <w:tcW w:w="3600" w:type="dxa"/>
          </w:tcPr>
          <w:p w14:paraId="537791EF" w14:textId="07005796"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Graph aware</w:t>
            </w:r>
          </w:p>
        </w:tc>
        <w:tc>
          <w:tcPr>
            <w:tcW w:w="3420" w:type="dxa"/>
          </w:tcPr>
          <w:p w14:paraId="2D2659C3" w14:textId="6B0C9686"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Model size</w:t>
            </w:r>
          </w:p>
        </w:tc>
      </w:tr>
      <w:tr w:rsidR="00453A86" w14:paraId="53B070C8" w14:textId="77777777" w:rsidTr="00453A86">
        <w:tc>
          <w:tcPr>
            <w:tcW w:w="2335" w:type="dxa"/>
          </w:tcPr>
          <w:p w14:paraId="27D9BE46" w14:textId="2F1B6A14" w:rsidR="00453A86" w:rsidRPr="003744DD" w:rsidRDefault="00453A86" w:rsidP="00F725A4">
            <w:pPr>
              <w:jc w:val="center"/>
              <w:rPr>
                <w:rFonts w:ascii="Times New Roman" w:hAnsi="Times New Roman" w:cs="Times New Roman"/>
                <w:sz w:val="22"/>
                <w:szCs w:val="22"/>
              </w:rPr>
            </w:pPr>
            <w:r w:rsidRPr="003744DD">
              <w:rPr>
                <w:rFonts w:ascii="Times New Roman" w:hAnsi="Times New Roman" w:cs="Times New Roman"/>
                <w:sz w:val="22"/>
                <w:szCs w:val="22"/>
              </w:rPr>
              <w:t>spaGFM-317M</w:t>
            </w:r>
          </w:p>
        </w:tc>
        <w:tc>
          <w:tcPr>
            <w:tcW w:w="3600" w:type="dxa"/>
          </w:tcPr>
          <w:p w14:paraId="6765588C" w14:textId="7C9A359E"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3420" w:type="dxa"/>
          </w:tcPr>
          <w:p w14:paraId="3602D9E3" w14:textId="3CC2C996"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317M</w:t>
            </w:r>
          </w:p>
        </w:tc>
      </w:tr>
      <w:tr w:rsidR="00453A86" w14:paraId="4F4D6D20" w14:textId="77777777" w:rsidTr="00453A86">
        <w:tc>
          <w:tcPr>
            <w:tcW w:w="2335" w:type="dxa"/>
          </w:tcPr>
          <w:p w14:paraId="32E38173" w14:textId="54D7438E"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spaGFM-36M</w:t>
            </w:r>
          </w:p>
        </w:tc>
        <w:tc>
          <w:tcPr>
            <w:tcW w:w="3600" w:type="dxa"/>
          </w:tcPr>
          <w:p w14:paraId="5CE9D59E" w14:textId="4307EF80"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3420" w:type="dxa"/>
          </w:tcPr>
          <w:p w14:paraId="11B4FB1F" w14:textId="17855813"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36M</w:t>
            </w:r>
          </w:p>
        </w:tc>
      </w:tr>
      <w:tr w:rsidR="00453A86" w14:paraId="044C1ED9" w14:textId="77777777" w:rsidTr="00453A86">
        <w:tc>
          <w:tcPr>
            <w:tcW w:w="2335" w:type="dxa"/>
          </w:tcPr>
          <w:p w14:paraId="68604608" w14:textId="12BF7C2B"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Novae</w:t>
            </w:r>
          </w:p>
        </w:tc>
        <w:tc>
          <w:tcPr>
            <w:tcW w:w="3600" w:type="dxa"/>
          </w:tcPr>
          <w:p w14:paraId="506B7FD7" w14:textId="227BDA24"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sym w:font="Symbol" w:char="F0D6"/>
            </w:r>
          </w:p>
        </w:tc>
        <w:tc>
          <w:tcPr>
            <w:tcW w:w="3420" w:type="dxa"/>
          </w:tcPr>
          <w:p w14:paraId="47143A44" w14:textId="2CE9AEE1" w:rsidR="00453A86" w:rsidRPr="003744DD" w:rsidRDefault="00453A86" w:rsidP="00F725A4">
            <w:pPr>
              <w:jc w:val="center"/>
              <w:rPr>
                <w:rFonts w:ascii="Times New Roman" w:hAnsi="Times New Roman" w:cs="Times New Roman"/>
                <w:sz w:val="22"/>
                <w:szCs w:val="22"/>
              </w:rPr>
            </w:pPr>
            <w:r>
              <w:rPr>
                <w:rFonts w:ascii="Times New Roman" w:hAnsi="Times New Roman" w:cs="Times New Roman"/>
                <w:sz w:val="22"/>
                <w:szCs w:val="22"/>
              </w:rPr>
              <w:t>33.6M</w:t>
            </w:r>
          </w:p>
        </w:tc>
      </w:tr>
    </w:tbl>
    <w:p w14:paraId="0F990BB4" w14:textId="4F54E9B2" w:rsidR="00AE4E60" w:rsidRDefault="00453A86" w:rsidP="00ED56B9">
      <w:pPr>
        <w:rPr>
          <w:rFonts w:ascii="Times New Roman" w:hAnsi="Times New Roman" w:cs="Times New Roman"/>
          <w:sz w:val="22"/>
          <w:szCs w:val="22"/>
        </w:rPr>
      </w:pPr>
      <w:r>
        <w:rPr>
          <w:rFonts w:ascii="Times New Roman" w:hAnsi="Times New Roman" w:cs="Times New Roman"/>
          <w:sz w:val="22"/>
          <w:szCs w:val="22"/>
        </w:rPr>
        <w:t>See the Supplementary Fig. 15</w:t>
      </w:r>
    </w:p>
    <w:p w14:paraId="632CDD14" w14:textId="77777777" w:rsidR="00ED56B9" w:rsidRPr="004F6CFC" w:rsidRDefault="00ED56B9" w:rsidP="004F6CFC">
      <w:pPr>
        <w:rPr>
          <w:rFonts w:ascii="Times New Roman" w:hAnsi="Times New Roman" w:cs="Times New Roman"/>
          <w:b/>
          <w:bCs/>
          <w:sz w:val="28"/>
          <w:szCs w:val="28"/>
        </w:rPr>
      </w:pPr>
    </w:p>
    <w:p w14:paraId="2A98ED40" w14:textId="23028558" w:rsidR="007B24F0" w:rsidRDefault="005F0255">
      <w:pP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32C2471A" wp14:editId="7C9D4E3E">
            <wp:extent cx="5943600" cy="5327650"/>
            <wp:effectExtent l="0" t="0" r="0" b="6350"/>
            <wp:docPr id="241138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38025" name="Picture 24113802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327650"/>
                    </a:xfrm>
                    <a:prstGeom prst="rect">
                      <a:avLst/>
                    </a:prstGeom>
                  </pic:spPr>
                </pic:pic>
              </a:graphicData>
            </a:graphic>
          </wp:inline>
        </w:drawing>
      </w:r>
    </w:p>
    <w:p w14:paraId="11453B8B" w14:textId="0ED6827D" w:rsidR="007941A3" w:rsidRDefault="007B24F0" w:rsidP="00F51CD3">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AD6FDB">
        <w:rPr>
          <w:rFonts w:ascii="Times New Roman" w:hAnsi="Times New Roman" w:cs="Times New Roman"/>
          <w:sz w:val="22"/>
          <w:szCs w:val="22"/>
        </w:rPr>
        <w:t>1</w:t>
      </w:r>
      <w:r>
        <w:rPr>
          <w:rFonts w:ascii="Times New Roman" w:hAnsi="Times New Roman" w:cs="Times New Roman"/>
          <w:sz w:val="22"/>
          <w:szCs w:val="22"/>
        </w:rPr>
        <w:t>.</w:t>
      </w:r>
      <w:r w:rsidR="00174C17">
        <w:rPr>
          <w:rFonts w:ascii="Times New Roman" w:hAnsi="Times New Roman" w:cs="Times New Roman"/>
          <w:sz w:val="22"/>
          <w:szCs w:val="22"/>
        </w:rPr>
        <w:t xml:space="preserve"> </w:t>
      </w:r>
      <w:r w:rsidR="00650644" w:rsidRPr="00650644">
        <w:rPr>
          <w:rFonts w:ascii="Times New Roman" w:hAnsi="Times New Roman" w:cs="Times New Roman"/>
          <w:sz w:val="22"/>
          <w:szCs w:val="22"/>
        </w:rPr>
        <w:t>Schematic overview of spaGFM</w:t>
      </w:r>
      <w:r w:rsidR="007B1756">
        <w:rPr>
          <w:rFonts w:ascii="Times New Roman" w:hAnsi="Times New Roman" w:cs="Times New Roman"/>
          <w:sz w:val="22"/>
          <w:szCs w:val="22"/>
        </w:rPr>
        <w:t>.</w:t>
      </w:r>
      <w:r w:rsidR="00175930">
        <w:rPr>
          <w:rFonts w:ascii="Times New Roman" w:hAnsi="Times New Roman" w:cs="Times New Roman"/>
          <w:sz w:val="22"/>
          <w:szCs w:val="22"/>
        </w:rPr>
        <w:t xml:space="preserve"> </w:t>
      </w:r>
      <w:r w:rsidR="00760588">
        <w:rPr>
          <w:rFonts w:ascii="Times New Roman" w:hAnsi="Times New Roman" w:cs="Times New Roman"/>
          <w:sz w:val="22"/>
          <w:szCs w:val="22"/>
        </w:rPr>
        <w:t>(</w:t>
      </w:r>
      <w:r w:rsidR="00760588" w:rsidRPr="00760588">
        <w:rPr>
          <w:rFonts w:ascii="Times New Roman" w:hAnsi="Times New Roman" w:cs="Times New Roman"/>
          <w:sz w:val="22"/>
          <w:szCs w:val="22"/>
        </w:rPr>
        <w:t>a</w:t>
      </w:r>
      <w:r w:rsidR="00760588">
        <w:rPr>
          <w:rFonts w:ascii="Times New Roman" w:hAnsi="Times New Roman" w:cs="Times New Roman"/>
          <w:sz w:val="22"/>
          <w:szCs w:val="22"/>
        </w:rPr>
        <w:t>)</w:t>
      </w:r>
      <w:r>
        <w:rPr>
          <w:rFonts w:ascii="Times New Roman" w:hAnsi="Times New Roman" w:cs="Times New Roman"/>
          <w:sz w:val="22"/>
          <w:szCs w:val="22"/>
        </w:rPr>
        <w:t xml:space="preserve"> </w:t>
      </w:r>
      <w:r w:rsidR="000F11E3" w:rsidRPr="000F11E3">
        <w:rPr>
          <w:rFonts w:ascii="Times New Roman" w:hAnsi="Times New Roman" w:cs="Times New Roman"/>
          <w:sz w:val="22"/>
          <w:szCs w:val="22"/>
        </w:rPr>
        <w:t xml:space="preserve">Detailed architecture of spaGFM. spaGFM takes gene expression profiles and graph structures as input. A random-walk sampler generates multiple walk sets for each source node (e.g., starting from the cell indicated by the red circle). Each walk set is tokenized into a graph token, as detailed in (b). spaGFM adopts a masked autoencoder architecture to reconstruct masked random-walk sets from the visible walk sets. In the illustrated example, the 3rd, 4th, and 6th graphs are randomly masked, while the 1st, 2nd, and 5th graphs remain visible. The overall objective is to optimize the model parameters such that the embeddings of the masked 3rd, 4th, and 6th graphs can be reconstructed from the visible 1st, 2nd, and 5th graphs. The Random-Walk Encoder, Subgraph Encoder, and Subgraph Decoder are all Transformer-based architectures. </w:t>
      </w:r>
      <w:r w:rsidR="00760588">
        <w:rPr>
          <w:rFonts w:ascii="Times New Roman" w:hAnsi="Times New Roman" w:cs="Times New Roman"/>
          <w:sz w:val="22"/>
          <w:szCs w:val="22"/>
        </w:rPr>
        <w:t>(</w:t>
      </w:r>
      <w:r w:rsidR="00760588" w:rsidRPr="00760588">
        <w:rPr>
          <w:rFonts w:ascii="Times New Roman" w:hAnsi="Times New Roman" w:cs="Times New Roman"/>
          <w:sz w:val="22"/>
          <w:szCs w:val="22"/>
        </w:rPr>
        <w:t>b</w:t>
      </w:r>
      <w:r w:rsidR="00760588">
        <w:rPr>
          <w:rFonts w:ascii="Times New Roman" w:hAnsi="Times New Roman" w:cs="Times New Roman"/>
          <w:sz w:val="22"/>
          <w:szCs w:val="22"/>
        </w:rPr>
        <w:t>)</w:t>
      </w:r>
      <w:r w:rsidR="00760588" w:rsidRPr="00760588">
        <w:rPr>
          <w:rFonts w:ascii="Times New Roman" w:hAnsi="Times New Roman" w:cs="Times New Roman"/>
          <w:sz w:val="22"/>
          <w:szCs w:val="22"/>
        </w:rPr>
        <w:t xml:space="preserve"> </w:t>
      </w:r>
      <w:r w:rsidR="007941A3" w:rsidRPr="007941A3">
        <w:rPr>
          <w:rFonts w:ascii="Times New Roman" w:hAnsi="Times New Roman" w:cs="Times New Roman"/>
          <w:sz w:val="22"/>
          <w:szCs w:val="22"/>
        </w:rPr>
        <w:t>Hierarchical encoder architecture for representing cell-level and neighborhood-level features within a unified framework. Each walk set is tokenized into a high-dimensional representation by the Random-Walk Encoder.</w:t>
      </w:r>
      <w:r w:rsidR="00E0626D">
        <w:rPr>
          <w:rFonts w:ascii="Times New Roman" w:hAnsi="Times New Roman" w:cs="Times New Roman" w:hint="eastAsia"/>
          <w:sz w:val="22"/>
          <w:szCs w:val="22"/>
        </w:rPr>
        <w:t xml:space="preserve"> </w:t>
      </w:r>
      <w:r w:rsidR="00E0626D" w:rsidRPr="007941A3">
        <w:rPr>
          <w:rFonts w:ascii="Times New Roman" w:hAnsi="Times New Roman" w:cs="Times New Roman"/>
          <w:sz w:val="22"/>
          <w:szCs w:val="22"/>
        </w:rPr>
        <w:t>Random-Walk Encoder</w:t>
      </w:r>
      <w:r w:rsidR="00E0626D">
        <w:rPr>
          <w:rFonts w:ascii="Times New Roman" w:hAnsi="Times New Roman" w:cs="Times New Roman" w:hint="eastAsia"/>
          <w:sz w:val="22"/>
          <w:szCs w:val="22"/>
        </w:rPr>
        <w:t xml:space="preserve"> is</w:t>
      </w:r>
      <w:r w:rsidR="00E0626D">
        <w:rPr>
          <w:rFonts w:ascii="Times New Roman" w:hAnsi="Times New Roman" w:cs="Times New Roman"/>
          <w:sz w:val="22"/>
          <w:szCs w:val="22"/>
        </w:rPr>
        <w:t xml:space="preserve"> a </w:t>
      </w:r>
      <w:r w:rsidR="007401CE">
        <w:rPr>
          <w:rFonts w:ascii="Times New Roman" w:hAnsi="Times New Roman" w:cs="Times New Roman"/>
          <w:sz w:val="22"/>
          <w:szCs w:val="22"/>
        </w:rPr>
        <w:t xml:space="preserve">set </w:t>
      </w:r>
      <w:r w:rsidR="00E0626D">
        <w:rPr>
          <w:rFonts w:ascii="Times New Roman" w:hAnsi="Times New Roman" w:cs="Times New Roman"/>
          <w:sz w:val="22"/>
          <w:szCs w:val="22"/>
        </w:rPr>
        <w:t xml:space="preserve">transformer encoder </w:t>
      </w:r>
      <w:r w:rsidR="00917131">
        <w:rPr>
          <w:rFonts w:ascii="Times New Roman" w:hAnsi="Times New Roman" w:cs="Times New Roman"/>
          <w:sz w:val="22"/>
          <w:szCs w:val="22"/>
        </w:rPr>
        <w:t xml:space="preserve">that </w:t>
      </w:r>
      <w:r w:rsidR="000F4C77">
        <w:rPr>
          <w:rFonts w:ascii="Times New Roman" w:hAnsi="Times New Roman" w:cs="Times New Roman"/>
          <w:sz w:val="22"/>
          <w:szCs w:val="22"/>
        </w:rPr>
        <w:t xml:space="preserve">models relationships among cells </w:t>
      </w:r>
      <w:r w:rsidR="000A0731">
        <w:rPr>
          <w:rFonts w:ascii="Times New Roman" w:hAnsi="Times New Roman" w:cs="Times New Roman"/>
          <w:sz w:val="22"/>
          <w:szCs w:val="22"/>
        </w:rPr>
        <w:t xml:space="preserve">(nodes) </w:t>
      </w:r>
      <w:r w:rsidR="000F4C77">
        <w:rPr>
          <w:rFonts w:ascii="Times New Roman" w:hAnsi="Times New Roman" w:cs="Times New Roman"/>
          <w:sz w:val="22"/>
          <w:szCs w:val="22"/>
        </w:rPr>
        <w:t>per walk set</w:t>
      </w:r>
      <w:r w:rsidR="000A0731">
        <w:rPr>
          <w:rFonts w:ascii="Times New Roman" w:hAnsi="Times New Roman" w:cs="Times New Roman"/>
          <w:sz w:val="22"/>
          <w:szCs w:val="22"/>
        </w:rPr>
        <w:t xml:space="preserve">. </w:t>
      </w:r>
      <w:r w:rsidR="007941A3" w:rsidRPr="007941A3">
        <w:rPr>
          <w:rFonts w:ascii="Times New Roman" w:hAnsi="Times New Roman" w:cs="Times New Roman"/>
          <w:sz w:val="22"/>
          <w:szCs w:val="22"/>
        </w:rPr>
        <w:t xml:space="preserve">The mean-pooled representation of all </w:t>
      </w:r>
      <w:r w:rsidR="00845ABC">
        <w:rPr>
          <w:rFonts w:ascii="Times New Roman" w:hAnsi="Times New Roman" w:cs="Times New Roman"/>
          <w:sz w:val="22"/>
          <w:szCs w:val="22"/>
        </w:rPr>
        <w:t>cells (</w:t>
      </w:r>
      <w:r w:rsidR="007941A3" w:rsidRPr="007941A3">
        <w:rPr>
          <w:rFonts w:ascii="Times New Roman" w:hAnsi="Times New Roman" w:cs="Times New Roman"/>
          <w:sz w:val="22"/>
          <w:szCs w:val="22"/>
        </w:rPr>
        <w:t>nodes</w:t>
      </w:r>
      <w:r w:rsidR="00845ABC">
        <w:rPr>
          <w:rFonts w:ascii="Times New Roman" w:hAnsi="Times New Roman" w:cs="Times New Roman"/>
          <w:sz w:val="22"/>
          <w:szCs w:val="22"/>
        </w:rPr>
        <w:t>)</w:t>
      </w:r>
      <w:r w:rsidR="007941A3" w:rsidRPr="007941A3">
        <w:rPr>
          <w:rFonts w:ascii="Times New Roman" w:hAnsi="Times New Roman" w:cs="Times New Roman"/>
          <w:sz w:val="22"/>
          <w:szCs w:val="22"/>
        </w:rPr>
        <w:t xml:space="preserve"> within a walk set serves as a subgraph token. The source-node embedding is interpreted as a spatially aware cell embedding that incorporates information from its spatial neighborhood. Dependencies among subgraphs are learned through the Subgraph Encoder.</w:t>
      </w:r>
      <w:r w:rsidR="00845ABC" w:rsidRPr="00845ABC">
        <w:rPr>
          <w:rFonts w:ascii="Times New Roman" w:hAnsi="Times New Roman" w:cs="Times New Roman"/>
          <w:sz w:val="22"/>
          <w:szCs w:val="22"/>
        </w:rPr>
        <w:t xml:space="preserve"> </w:t>
      </w:r>
      <w:r w:rsidR="00C7283A">
        <w:rPr>
          <w:rFonts w:ascii="Times New Roman" w:hAnsi="Times New Roman" w:cs="Times New Roman"/>
          <w:sz w:val="22"/>
          <w:szCs w:val="22"/>
        </w:rPr>
        <w:t xml:space="preserve">Similarly, </w:t>
      </w:r>
      <w:r w:rsidR="00845ABC" w:rsidRPr="007941A3">
        <w:rPr>
          <w:rFonts w:ascii="Times New Roman" w:hAnsi="Times New Roman" w:cs="Times New Roman"/>
          <w:sz w:val="22"/>
          <w:szCs w:val="22"/>
        </w:rPr>
        <w:lastRenderedPageBreak/>
        <w:t>Subgraph Encoder</w:t>
      </w:r>
      <w:r w:rsidR="00845ABC">
        <w:rPr>
          <w:rFonts w:ascii="Times New Roman" w:hAnsi="Times New Roman" w:cs="Times New Roman"/>
          <w:sz w:val="22"/>
          <w:szCs w:val="22"/>
        </w:rPr>
        <w:t xml:space="preserve"> is </w:t>
      </w:r>
      <w:r w:rsidR="00C7283A">
        <w:rPr>
          <w:rFonts w:ascii="Times New Roman" w:hAnsi="Times New Roman" w:cs="Times New Roman"/>
          <w:sz w:val="22"/>
          <w:szCs w:val="22"/>
        </w:rPr>
        <w:t xml:space="preserve">a set transformer encoder that models relationships among </w:t>
      </w:r>
      <w:r w:rsidR="00C4577C">
        <w:rPr>
          <w:rFonts w:ascii="Times New Roman" w:hAnsi="Times New Roman" w:cs="Times New Roman"/>
          <w:sz w:val="22"/>
          <w:szCs w:val="22"/>
        </w:rPr>
        <w:t>walk sets starting at the same source node.</w:t>
      </w:r>
      <w:r w:rsidR="007941A3" w:rsidRPr="007941A3">
        <w:rPr>
          <w:rFonts w:ascii="Times New Roman" w:hAnsi="Times New Roman" w:cs="Times New Roman"/>
          <w:sz w:val="22"/>
          <w:szCs w:val="22"/>
        </w:rPr>
        <w:t xml:space="preserve"> For each source node, the neighborhood representation is obtained by mean-pooling the representations of all associated subgraphs.</w:t>
      </w:r>
    </w:p>
    <w:p w14:paraId="219F6BCE" w14:textId="79857E25" w:rsidR="00D101FE" w:rsidRDefault="000B0B3C" w:rsidP="00F51CD3">
      <w:pPr>
        <w:jc w:val="both"/>
        <w:rPr>
          <w:rFonts w:ascii="Times New Roman" w:hAnsi="Times New Roman" w:cs="Times New Roman"/>
          <w:sz w:val="22"/>
          <w:szCs w:val="22"/>
        </w:rPr>
      </w:pPr>
      <w:r>
        <w:rPr>
          <w:rFonts w:ascii="Times New Roman" w:hAnsi="Times New Roman" w:cs="Times New Roman"/>
          <w:sz w:val="22"/>
          <w:szCs w:val="22"/>
        </w:rPr>
        <w:t xml:space="preserve"> </w:t>
      </w:r>
    </w:p>
    <w:p w14:paraId="7BF77B6C" w14:textId="77777777" w:rsidR="00D101FE" w:rsidRDefault="00D101FE" w:rsidP="00D101FE">
      <w:pPr>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611E9219" wp14:editId="6CD7AA43">
            <wp:extent cx="5943600" cy="3061970"/>
            <wp:effectExtent l="0" t="0" r="0" b="0"/>
            <wp:docPr id="1554303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03077" name="Picture 155430307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061970"/>
                    </a:xfrm>
                    <a:prstGeom prst="rect">
                      <a:avLst/>
                    </a:prstGeom>
                  </pic:spPr>
                </pic:pic>
              </a:graphicData>
            </a:graphic>
          </wp:inline>
        </w:drawing>
      </w:r>
    </w:p>
    <w:p w14:paraId="6046EA46" w14:textId="069A53E3" w:rsidR="00D101FE" w:rsidRPr="007B24F0" w:rsidRDefault="00D101FE" w:rsidP="00D101FE">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BB17B6">
        <w:rPr>
          <w:rFonts w:ascii="Times New Roman" w:hAnsi="Times New Roman" w:cs="Times New Roman"/>
          <w:sz w:val="22"/>
          <w:szCs w:val="22"/>
        </w:rPr>
        <w:t>2</w:t>
      </w:r>
      <w:r>
        <w:rPr>
          <w:rFonts w:ascii="Times New Roman" w:hAnsi="Times New Roman" w:cs="Times New Roman"/>
          <w:sz w:val="22"/>
          <w:szCs w:val="22"/>
        </w:rPr>
        <w:t xml:space="preserve">. </w:t>
      </w:r>
      <w:r w:rsidR="00B97510">
        <w:rPr>
          <w:rFonts w:ascii="Times New Roman" w:hAnsi="Times New Roman" w:cs="Times New Roman"/>
          <w:sz w:val="22"/>
          <w:szCs w:val="22"/>
        </w:rPr>
        <w:t>Adding v</w:t>
      </w:r>
      <w:r w:rsidRPr="005E59EC">
        <w:rPr>
          <w:rFonts w:ascii="Times New Roman" w:hAnsi="Times New Roman" w:cs="Times New Roman"/>
          <w:sz w:val="22"/>
          <w:szCs w:val="22"/>
        </w:rPr>
        <w:t xml:space="preserve">ariance loss </w:t>
      </w:r>
      <w:r w:rsidR="00222F2C">
        <w:rPr>
          <w:rFonts w:ascii="Times New Roman" w:hAnsi="Times New Roman" w:cs="Times New Roman"/>
          <w:sz w:val="22"/>
          <w:szCs w:val="22"/>
        </w:rPr>
        <w:t xml:space="preserve">effectively </w:t>
      </w:r>
      <w:r w:rsidRPr="005E59EC">
        <w:rPr>
          <w:rFonts w:ascii="Times New Roman" w:hAnsi="Times New Roman" w:cs="Times New Roman"/>
          <w:sz w:val="22"/>
          <w:szCs w:val="22"/>
        </w:rPr>
        <w:t>stabilizes pre-training and prevents embedding collapse to trivial solutions.</w:t>
      </w:r>
      <w:r>
        <w:rPr>
          <w:rFonts w:ascii="Times New Roman" w:hAnsi="Times New Roman" w:cs="Times New Roman"/>
          <w:sz w:val="22"/>
          <w:szCs w:val="22"/>
        </w:rPr>
        <w:t xml:space="preserve"> </w:t>
      </w:r>
      <w:r w:rsidRPr="00810421">
        <w:rPr>
          <w:rFonts w:ascii="Times New Roman" w:hAnsi="Times New Roman" w:cs="Times New Roman"/>
          <w:sz w:val="22"/>
          <w:szCs w:val="22"/>
        </w:rPr>
        <w:t>The model was pre-trained on the CosMx Human Lung dataset for demonstration using two different learning rates; walk length was set to 8.</w:t>
      </w:r>
      <w:r>
        <w:rPr>
          <w:rFonts w:ascii="Times New Roman" w:hAnsi="Times New Roman" w:cs="Times New Roman"/>
          <w:sz w:val="22"/>
          <w:szCs w:val="22"/>
        </w:rPr>
        <w:t xml:space="preserve"> (</w:t>
      </w:r>
      <w:r w:rsidRPr="00D23A37">
        <w:rPr>
          <w:rFonts w:ascii="Times New Roman" w:hAnsi="Times New Roman" w:cs="Times New Roman"/>
          <w:sz w:val="22"/>
          <w:szCs w:val="22"/>
        </w:rPr>
        <w:t>a</w:t>
      </w:r>
      <w:r>
        <w:rPr>
          <w:rFonts w:ascii="Times New Roman" w:hAnsi="Times New Roman" w:cs="Times New Roman"/>
          <w:sz w:val="22"/>
          <w:szCs w:val="22"/>
        </w:rPr>
        <w:t>)</w:t>
      </w:r>
      <w:r w:rsidRPr="00D23A37">
        <w:rPr>
          <w:rFonts w:ascii="Times New Roman" w:hAnsi="Times New Roman" w:cs="Times New Roman"/>
          <w:sz w:val="22"/>
          <w:szCs w:val="22"/>
        </w:rPr>
        <w:t xml:space="preserve"> Total loss over pre-training steps. </w:t>
      </w:r>
      <w:r>
        <w:rPr>
          <w:rFonts w:ascii="Times New Roman" w:hAnsi="Times New Roman" w:cs="Times New Roman"/>
          <w:sz w:val="22"/>
          <w:szCs w:val="22"/>
        </w:rPr>
        <w:t>(</w:t>
      </w:r>
      <w:r w:rsidRPr="00D23A37">
        <w:rPr>
          <w:rFonts w:ascii="Times New Roman" w:hAnsi="Times New Roman" w:cs="Times New Roman"/>
          <w:sz w:val="22"/>
          <w:szCs w:val="22"/>
        </w:rPr>
        <w:t>b</w:t>
      </w:r>
      <w:r>
        <w:rPr>
          <w:rFonts w:ascii="Times New Roman" w:hAnsi="Times New Roman" w:cs="Times New Roman"/>
          <w:sz w:val="22"/>
          <w:szCs w:val="22"/>
        </w:rPr>
        <w:t>)</w:t>
      </w:r>
      <w:r w:rsidRPr="00D23A37">
        <w:rPr>
          <w:rFonts w:ascii="Times New Roman" w:hAnsi="Times New Roman" w:cs="Times New Roman"/>
          <w:sz w:val="22"/>
          <w:szCs w:val="22"/>
        </w:rPr>
        <w:t xml:space="preserve"> Embedding standard deviation across the batch dimension over pre-training steps.</w:t>
      </w:r>
      <w:r w:rsidR="009161AF">
        <w:rPr>
          <w:rFonts w:ascii="Times New Roman" w:hAnsi="Times New Roman" w:cs="Times New Roman"/>
          <w:sz w:val="22"/>
          <w:szCs w:val="22"/>
        </w:rPr>
        <w:t xml:space="preserve"> LR: </w:t>
      </w:r>
      <w:r w:rsidR="00CD2957">
        <w:rPr>
          <w:rFonts w:ascii="Times New Roman" w:hAnsi="Times New Roman" w:cs="Times New Roman"/>
          <w:sz w:val="22"/>
          <w:szCs w:val="22"/>
        </w:rPr>
        <w:t>learning rate</w:t>
      </w:r>
      <w:r w:rsidR="009161AF">
        <w:rPr>
          <w:rFonts w:ascii="Times New Roman" w:hAnsi="Times New Roman" w:cs="Times New Roman"/>
          <w:sz w:val="22"/>
          <w:szCs w:val="22"/>
        </w:rPr>
        <w:t>.</w:t>
      </w:r>
    </w:p>
    <w:p w14:paraId="1B966C01" w14:textId="77777777" w:rsidR="0097215C" w:rsidRDefault="00761931">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0B90C19" wp14:editId="61B0F8D1">
            <wp:extent cx="5943600" cy="5374640"/>
            <wp:effectExtent l="0" t="0" r="0" b="0"/>
            <wp:docPr id="1756693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693836" name="Picture 17566938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374640"/>
                    </a:xfrm>
                    <a:prstGeom prst="rect">
                      <a:avLst/>
                    </a:prstGeom>
                  </pic:spPr>
                </pic:pic>
              </a:graphicData>
            </a:graphic>
          </wp:inline>
        </w:drawing>
      </w:r>
    </w:p>
    <w:p w14:paraId="74BA1D67" w14:textId="408CE9F5" w:rsidR="003D643F" w:rsidRDefault="003D643F"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BB17B6">
        <w:rPr>
          <w:rFonts w:ascii="Times New Roman" w:hAnsi="Times New Roman" w:cs="Times New Roman"/>
          <w:sz w:val="22"/>
          <w:szCs w:val="22"/>
        </w:rPr>
        <w:t>3</w:t>
      </w:r>
      <w:r>
        <w:rPr>
          <w:rFonts w:ascii="Times New Roman" w:hAnsi="Times New Roman" w:cs="Times New Roman"/>
          <w:sz w:val="22"/>
          <w:szCs w:val="22"/>
        </w:rPr>
        <w:t>.</w:t>
      </w:r>
      <w:r w:rsidR="00C63A1B">
        <w:rPr>
          <w:rFonts w:ascii="Times New Roman" w:hAnsi="Times New Roman" w:cs="Times New Roman"/>
          <w:sz w:val="22"/>
          <w:szCs w:val="22"/>
        </w:rPr>
        <w:t xml:space="preserve"> </w:t>
      </w:r>
      <w:r w:rsidR="00C51E26" w:rsidRPr="00C51E26">
        <w:rPr>
          <w:rFonts w:ascii="Times New Roman" w:hAnsi="Times New Roman" w:cs="Times New Roman"/>
          <w:sz w:val="22"/>
          <w:szCs w:val="22"/>
        </w:rPr>
        <w:t>Illustration of random-walk parameterization in the CosMx Lung dataset</w:t>
      </w:r>
      <w:r w:rsidR="00C15897">
        <w:rPr>
          <w:rFonts w:ascii="Times New Roman" w:hAnsi="Times New Roman" w:cs="Times New Roman"/>
          <w:sz w:val="22"/>
          <w:szCs w:val="22"/>
        </w:rPr>
        <w:t xml:space="preserve">. </w:t>
      </w:r>
      <w:r w:rsidR="000D4856" w:rsidRPr="000D4856">
        <w:rPr>
          <w:rFonts w:ascii="Times New Roman" w:hAnsi="Times New Roman" w:cs="Times New Roman"/>
          <w:sz w:val="22"/>
          <w:szCs w:val="22"/>
        </w:rPr>
        <w:t>A small patch region subsampled from the original tissue section is shown for demonstration. Each dot represents a cell at its spatial location. The red star denotes an example cell used as the source node during random-walk sampling. p/q, return/in</w:t>
      </w:r>
      <w:r w:rsidR="00FF1AB8">
        <w:rPr>
          <w:rFonts w:ascii="Times New Roman" w:hAnsi="Times New Roman" w:cs="Times New Roman"/>
          <w:sz w:val="22"/>
          <w:szCs w:val="22"/>
        </w:rPr>
        <w:t>-</w:t>
      </w:r>
      <w:r w:rsidR="000D4856" w:rsidRPr="000D4856">
        <w:rPr>
          <w:rFonts w:ascii="Times New Roman" w:hAnsi="Times New Roman" w:cs="Times New Roman"/>
          <w:sz w:val="22"/>
          <w:szCs w:val="22"/>
        </w:rPr>
        <w:t xml:space="preserve">out parameters; </w:t>
      </w:r>
      <w:proofErr w:type="spellStart"/>
      <w:r w:rsidR="000D4856" w:rsidRPr="000D4856">
        <w:rPr>
          <w:rFonts w:ascii="Times New Roman" w:hAnsi="Times New Roman" w:cs="Times New Roman"/>
          <w:sz w:val="22"/>
          <w:szCs w:val="22"/>
        </w:rPr>
        <w:t>wl</w:t>
      </w:r>
      <w:proofErr w:type="spellEnd"/>
      <w:r w:rsidR="000D4856" w:rsidRPr="000D4856">
        <w:rPr>
          <w:rFonts w:ascii="Times New Roman" w:hAnsi="Times New Roman" w:cs="Times New Roman"/>
          <w:sz w:val="22"/>
          <w:szCs w:val="22"/>
        </w:rPr>
        <w:t xml:space="preserve">, walk length used by the random-walk sampler. </w:t>
      </w:r>
    </w:p>
    <w:p w14:paraId="2306FDB8" w14:textId="77777777" w:rsidR="0037457F" w:rsidRDefault="00072953"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479BCE1D" wp14:editId="1D7F6ED3">
            <wp:extent cx="5943600" cy="5995035"/>
            <wp:effectExtent l="0" t="0" r="0" b="0"/>
            <wp:docPr id="1188760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60699" name="Picture 1188760699"/>
                    <pic:cNvPicPr/>
                  </pic:nvPicPr>
                  <pic:blipFill>
                    <a:blip r:embed="rId8">
                      <a:extLst>
                        <a:ext uri="{28A0092B-C50C-407E-A947-70E740481C1C}">
                          <a14:useLocalDpi xmlns:a14="http://schemas.microsoft.com/office/drawing/2010/main" val="0"/>
                        </a:ext>
                      </a:extLst>
                    </a:blip>
                    <a:stretch>
                      <a:fillRect/>
                    </a:stretch>
                  </pic:blipFill>
                  <pic:spPr>
                    <a:xfrm>
                      <a:off x="0" y="0"/>
                      <a:ext cx="5943600" cy="5995035"/>
                    </a:xfrm>
                    <a:prstGeom prst="rect">
                      <a:avLst/>
                    </a:prstGeom>
                  </pic:spPr>
                </pic:pic>
              </a:graphicData>
            </a:graphic>
          </wp:inline>
        </w:drawing>
      </w:r>
    </w:p>
    <w:p w14:paraId="5E4034B6" w14:textId="761E4B3F" w:rsidR="007E7504" w:rsidRDefault="007E7504"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BE1651">
        <w:rPr>
          <w:rFonts w:ascii="Times New Roman" w:hAnsi="Times New Roman" w:cs="Times New Roman"/>
          <w:sz w:val="22"/>
          <w:szCs w:val="22"/>
        </w:rPr>
        <w:t>4</w:t>
      </w:r>
      <w:r>
        <w:rPr>
          <w:rFonts w:ascii="Times New Roman" w:hAnsi="Times New Roman" w:cs="Times New Roman"/>
          <w:sz w:val="22"/>
          <w:szCs w:val="22"/>
        </w:rPr>
        <w:t>.</w:t>
      </w:r>
      <w:r w:rsidR="007C1488">
        <w:rPr>
          <w:rFonts w:ascii="Times New Roman" w:hAnsi="Times New Roman" w:cs="Times New Roman"/>
          <w:sz w:val="22"/>
          <w:szCs w:val="22"/>
        </w:rPr>
        <w:t xml:space="preserve"> </w:t>
      </w:r>
      <w:r w:rsidR="001A7F82">
        <w:rPr>
          <w:rFonts w:ascii="Times New Roman" w:hAnsi="Times New Roman" w:cs="Times New Roman"/>
          <w:sz w:val="22"/>
          <w:szCs w:val="22"/>
        </w:rPr>
        <w:t>Z</w:t>
      </w:r>
      <w:r w:rsidR="007D7927" w:rsidRPr="007D7927">
        <w:rPr>
          <w:rFonts w:ascii="Times New Roman" w:hAnsi="Times New Roman" w:cs="Times New Roman"/>
          <w:sz w:val="22"/>
          <w:szCs w:val="22"/>
        </w:rPr>
        <w:t>ero-shot embedding representations in the CosMx Human Lung datasets.</w:t>
      </w:r>
      <w:r w:rsidR="00327119">
        <w:rPr>
          <w:rFonts w:ascii="Times New Roman" w:hAnsi="Times New Roman" w:cs="Times New Roman"/>
          <w:sz w:val="22"/>
          <w:szCs w:val="22"/>
        </w:rPr>
        <w:t xml:space="preserve"> (a) </w:t>
      </w:r>
      <w:r w:rsidR="00554D90" w:rsidRPr="00554D90">
        <w:rPr>
          <w:rFonts w:ascii="Times New Roman" w:hAnsi="Times New Roman" w:cs="Times New Roman"/>
          <w:sz w:val="22"/>
          <w:szCs w:val="22"/>
        </w:rPr>
        <w:t>Linear-probing evaluation using two levels of embeddings for niche- and cell type</w:t>
      </w:r>
      <w:r w:rsidR="00CD04D3">
        <w:rPr>
          <w:rFonts w:ascii="Times New Roman" w:hAnsi="Times New Roman" w:cs="Times New Roman"/>
          <w:sz w:val="22"/>
          <w:szCs w:val="22"/>
        </w:rPr>
        <w:t>-</w:t>
      </w:r>
      <w:r w:rsidR="00554D90" w:rsidRPr="00554D90">
        <w:rPr>
          <w:rFonts w:ascii="Times New Roman" w:hAnsi="Times New Roman" w:cs="Times New Roman"/>
          <w:sz w:val="22"/>
          <w:szCs w:val="22"/>
        </w:rPr>
        <w:t>prediction tasks, respectively.</w:t>
      </w:r>
      <w:r w:rsidR="00324F44">
        <w:rPr>
          <w:rFonts w:ascii="Times New Roman" w:hAnsi="Times New Roman" w:cs="Times New Roman"/>
          <w:sz w:val="22"/>
          <w:szCs w:val="22"/>
        </w:rPr>
        <w:t xml:space="preserve"> (b) </w:t>
      </w:r>
      <w:r w:rsidR="004153DC" w:rsidRPr="004153DC">
        <w:rPr>
          <w:rFonts w:ascii="Times New Roman" w:hAnsi="Times New Roman" w:cs="Times New Roman"/>
          <w:sz w:val="22"/>
          <w:szCs w:val="22"/>
        </w:rPr>
        <w:t>Zero-shot embedding inference time for spaGFM as a function of the number of cells across datasets.</w:t>
      </w:r>
      <w:r w:rsidR="00140B22">
        <w:rPr>
          <w:rFonts w:ascii="Times New Roman" w:hAnsi="Times New Roman" w:cs="Times New Roman"/>
          <w:sz w:val="22"/>
          <w:szCs w:val="22"/>
        </w:rPr>
        <w:t xml:space="preserve"> </w:t>
      </w:r>
      <w:r w:rsidR="00E75432" w:rsidRPr="00E75432">
        <w:rPr>
          <w:rFonts w:ascii="Times New Roman" w:hAnsi="Times New Roman" w:cs="Times New Roman"/>
          <w:sz w:val="22"/>
          <w:szCs w:val="22"/>
        </w:rPr>
        <w:t xml:space="preserve">Walk length was set to 8 for both </w:t>
      </w:r>
      <w:r w:rsidR="00E75432">
        <w:rPr>
          <w:rFonts w:ascii="Times New Roman" w:hAnsi="Times New Roman" w:cs="Times New Roman"/>
          <w:sz w:val="22"/>
          <w:szCs w:val="22"/>
        </w:rPr>
        <w:t>(</w:t>
      </w:r>
      <w:r w:rsidR="00E75432" w:rsidRPr="00E75432">
        <w:rPr>
          <w:rFonts w:ascii="Times New Roman" w:hAnsi="Times New Roman" w:cs="Times New Roman"/>
          <w:sz w:val="22"/>
          <w:szCs w:val="22"/>
        </w:rPr>
        <w:t>a</w:t>
      </w:r>
      <w:r w:rsidR="00E75432">
        <w:rPr>
          <w:rFonts w:ascii="Times New Roman" w:hAnsi="Times New Roman" w:cs="Times New Roman"/>
          <w:sz w:val="22"/>
          <w:szCs w:val="22"/>
        </w:rPr>
        <w:t>)</w:t>
      </w:r>
      <w:r w:rsidR="00E75432" w:rsidRPr="00E75432">
        <w:rPr>
          <w:rFonts w:ascii="Times New Roman" w:hAnsi="Times New Roman" w:cs="Times New Roman"/>
          <w:sz w:val="22"/>
          <w:szCs w:val="22"/>
        </w:rPr>
        <w:t xml:space="preserve"> and </w:t>
      </w:r>
      <w:r w:rsidR="00E75432">
        <w:rPr>
          <w:rFonts w:ascii="Times New Roman" w:hAnsi="Times New Roman" w:cs="Times New Roman"/>
          <w:sz w:val="22"/>
          <w:szCs w:val="22"/>
        </w:rPr>
        <w:t>(</w:t>
      </w:r>
      <w:r w:rsidR="00E75432" w:rsidRPr="00E75432">
        <w:rPr>
          <w:rFonts w:ascii="Times New Roman" w:hAnsi="Times New Roman" w:cs="Times New Roman"/>
          <w:sz w:val="22"/>
          <w:szCs w:val="22"/>
        </w:rPr>
        <w:t>b</w:t>
      </w:r>
      <w:r w:rsidR="00E75432">
        <w:rPr>
          <w:rFonts w:ascii="Times New Roman" w:hAnsi="Times New Roman" w:cs="Times New Roman"/>
          <w:sz w:val="22"/>
          <w:szCs w:val="22"/>
        </w:rPr>
        <w:t>)</w:t>
      </w:r>
      <w:r w:rsidR="00E75432" w:rsidRPr="00E75432">
        <w:rPr>
          <w:rFonts w:ascii="Times New Roman" w:hAnsi="Times New Roman" w:cs="Times New Roman"/>
          <w:sz w:val="22"/>
          <w:szCs w:val="22"/>
        </w:rPr>
        <w:t>.</w:t>
      </w:r>
    </w:p>
    <w:p w14:paraId="60332526" w14:textId="77777777" w:rsidR="00DA1031" w:rsidRDefault="00DA1031" w:rsidP="00DA1031">
      <w:pPr>
        <w:jc w:val="both"/>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53C6DEC9" wp14:editId="0F5DB531">
            <wp:extent cx="5943600" cy="2727325"/>
            <wp:effectExtent l="0" t="0" r="0" b="3175"/>
            <wp:docPr id="500443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43542" name="Picture 5004435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727325"/>
                    </a:xfrm>
                    <a:prstGeom prst="rect">
                      <a:avLst/>
                    </a:prstGeom>
                  </pic:spPr>
                </pic:pic>
              </a:graphicData>
            </a:graphic>
          </wp:inline>
        </w:drawing>
      </w:r>
    </w:p>
    <w:p w14:paraId="25250663" w14:textId="0AEC98B9" w:rsidR="00DA1031" w:rsidRDefault="00DA1031" w:rsidP="00EA0420">
      <w:pPr>
        <w:jc w:val="both"/>
        <w:rPr>
          <w:rFonts w:ascii="Times New Roman" w:hAnsi="Times New Roman" w:cs="Times New Roman"/>
          <w:sz w:val="22"/>
          <w:szCs w:val="22"/>
        </w:rPr>
      </w:pPr>
      <w:r>
        <w:rPr>
          <w:rFonts w:ascii="Times New Roman" w:hAnsi="Times New Roman" w:cs="Times New Roman"/>
          <w:sz w:val="22"/>
          <w:szCs w:val="22"/>
        </w:rPr>
        <w:t>Supplementary Fig. 5. Unsupervised</w:t>
      </w:r>
      <w:r w:rsidRPr="00234DE8">
        <w:rPr>
          <w:rFonts w:ascii="Times New Roman" w:hAnsi="Times New Roman" w:cs="Times New Roman"/>
          <w:sz w:val="22"/>
          <w:szCs w:val="22"/>
        </w:rPr>
        <w:t xml:space="preserve"> evaluation of niche representations in the </w:t>
      </w:r>
      <w:r>
        <w:rPr>
          <w:rFonts w:ascii="Times New Roman" w:hAnsi="Times New Roman" w:cs="Times New Roman"/>
          <w:sz w:val="22"/>
          <w:szCs w:val="22"/>
        </w:rPr>
        <w:t>CosMx</w:t>
      </w:r>
      <w:r w:rsidRPr="00234DE8">
        <w:rPr>
          <w:rFonts w:ascii="Times New Roman" w:hAnsi="Times New Roman" w:cs="Times New Roman"/>
          <w:sz w:val="22"/>
          <w:szCs w:val="22"/>
        </w:rPr>
        <w:t xml:space="preserve"> Brain datasets. </w:t>
      </w:r>
      <w:r w:rsidRPr="00724BCC">
        <w:rPr>
          <w:rFonts w:ascii="Times New Roman" w:hAnsi="Times New Roman" w:cs="Times New Roman"/>
          <w:sz w:val="22"/>
          <w:szCs w:val="22"/>
        </w:rPr>
        <w:t>Spatial annotations of two CosMx Mouse Brain samples generated using reference labels, Novae, and spaGFM: Run5642 (top left) and Run1000 (bottom left). Corresponding ARI, NMI, and Moran’s I scores are shown on the right.</w:t>
      </w:r>
      <w:r w:rsidR="00BB17C2">
        <w:rPr>
          <w:rFonts w:ascii="Times New Roman" w:hAnsi="Times New Roman" w:cs="Times New Roman"/>
          <w:sz w:val="22"/>
          <w:szCs w:val="22"/>
        </w:rPr>
        <w:t xml:space="preserve"> ARI: Adjusted Rand Index. NMI: Normalized </w:t>
      </w:r>
      <w:r w:rsidR="00E33952">
        <w:rPr>
          <w:rFonts w:ascii="Times New Roman" w:hAnsi="Times New Roman" w:cs="Times New Roman"/>
          <w:sz w:val="22"/>
          <w:szCs w:val="22"/>
        </w:rPr>
        <w:t>Mutual Information.</w:t>
      </w:r>
    </w:p>
    <w:p w14:paraId="1872C6CE" w14:textId="77777777" w:rsidR="00DA1031" w:rsidRDefault="00DA1031" w:rsidP="00EA0420">
      <w:pPr>
        <w:jc w:val="both"/>
        <w:rPr>
          <w:rFonts w:ascii="Times New Roman" w:hAnsi="Times New Roman" w:cs="Times New Roman"/>
          <w:sz w:val="22"/>
          <w:szCs w:val="22"/>
        </w:rPr>
      </w:pPr>
    </w:p>
    <w:p w14:paraId="06418137" w14:textId="77777777" w:rsidR="00016743" w:rsidRDefault="00BB067F" w:rsidP="00EA0420">
      <w:pPr>
        <w:jc w:val="both"/>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5735A392" wp14:editId="3BED2CD0">
            <wp:extent cx="5943600" cy="2646045"/>
            <wp:effectExtent l="0" t="0" r="0" b="0"/>
            <wp:docPr id="9233778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377869" name="Picture 92337786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646045"/>
                    </a:xfrm>
                    <a:prstGeom prst="rect">
                      <a:avLst/>
                    </a:prstGeom>
                  </pic:spPr>
                </pic:pic>
              </a:graphicData>
            </a:graphic>
          </wp:inline>
        </w:drawing>
      </w:r>
    </w:p>
    <w:p w14:paraId="1A06CD2F" w14:textId="77777777" w:rsidR="00CB1F01" w:rsidRDefault="00CB1F01"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DA1031">
        <w:rPr>
          <w:rFonts w:ascii="Times New Roman" w:hAnsi="Times New Roman" w:cs="Times New Roman"/>
          <w:sz w:val="22"/>
          <w:szCs w:val="22"/>
        </w:rPr>
        <w:t>6</w:t>
      </w:r>
      <w:r>
        <w:rPr>
          <w:rFonts w:ascii="Times New Roman" w:hAnsi="Times New Roman" w:cs="Times New Roman"/>
          <w:sz w:val="22"/>
          <w:szCs w:val="22"/>
        </w:rPr>
        <w:t>.</w:t>
      </w:r>
      <w:r w:rsidR="00901038">
        <w:rPr>
          <w:rFonts w:ascii="Times New Roman" w:hAnsi="Times New Roman" w:cs="Times New Roman"/>
          <w:sz w:val="22"/>
          <w:szCs w:val="22"/>
        </w:rPr>
        <w:t xml:space="preserve"> </w:t>
      </w:r>
      <w:r w:rsidR="00567E94">
        <w:rPr>
          <w:rFonts w:ascii="Times New Roman" w:hAnsi="Times New Roman" w:cs="Times New Roman"/>
          <w:sz w:val="22"/>
          <w:szCs w:val="22"/>
        </w:rPr>
        <w:t>Cross</w:t>
      </w:r>
      <w:r w:rsidR="0079338A">
        <w:rPr>
          <w:rFonts w:ascii="Times New Roman" w:hAnsi="Times New Roman" w:cs="Times New Roman"/>
          <w:sz w:val="22"/>
          <w:szCs w:val="22"/>
        </w:rPr>
        <w:t>-</w:t>
      </w:r>
      <w:r w:rsidR="00DD5CC9">
        <w:rPr>
          <w:rFonts w:ascii="Times New Roman" w:hAnsi="Times New Roman" w:cs="Times New Roman"/>
          <w:sz w:val="22"/>
          <w:szCs w:val="22"/>
        </w:rPr>
        <w:t>patient evaluation of niche</w:t>
      </w:r>
      <w:r w:rsidR="00901038" w:rsidRPr="003F4592">
        <w:rPr>
          <w:rFonts w:ascii="Times New Roman" w:hAnsi="Times New Roman" w:cs="Times New Roman"/>
          <w:sz w:val="22"/>
          <w:szCs w:val="22"/>
        </w:rPr>
        <w:t xml:space="preserve"> representations in the </w:t>
      </w:r>
      <w:r w:rsidR="00901038">
        <w:rPr>
          <w:rFonts w:ascii="Times New Roman" w:hAnsi="Times New Roman" w:cs="Times New Roman"/>
          <w:sz w:val="22"/>
          <w:szCs w:val="22"/>
        </w:rPr>
        <w:t>Xenium</w:t>
      </w:r>
      <w:r w:rsidR="00901038" w:rsidRPr="003F4592">
        <w:rPr>
          <w:rFonts w:ascii="Times New Roman" w:hAnsi="Times New Roman" w:cs="Times New Roman"/>
          <w:sz w:val="22"/>
          <w:szCs w:val="22"/>
        </w:rPr>
        <w:t xml:space="preserve"> </w:t>
      </w:r>
      <w:r w:rsidR="00901038">
        <w:rPr>
          <w:rFonts w:ascii="Times New Roman" w:hAnsi="Times New Roman" w:cs="Times New Roman"/>
          <w:sz w:val="22"/>
          <w:szCs w:val="22"/>
        </w:rPr>
        <w:t>Human</w:t>
      </w:r>
      <w:r w:rsidR="00901038" w:rsidRPr="003F4592">
        <w:rPr>
          <w:rFonts w:ascii="Times New Roman" w:hAnsi="Times New Roman" w:cs="Times New Roman"/>
          <w:sz w:val="22"/>
          <w:szCs w:val="22"/>
        </w:rPr>
        <w:t xml:space="preserve"> </w:t>
      </w:r>
      <w:r w:rsidR="00901038">
        <w:rPr>
          <w:rFonts w:ascii="Times New Roman" w:hAnsi="Times New Roman" w:cs="Times New Roman"/>
          <w:sz w:val="22"/>
          <w:szCs w:val="22"/>
        </w:rPr>
        <w:t>Lung and Brain</w:t>
      </w:r>
      <w:r w:rsidR="00901038" w:rsidRPr="003F4592">
        <w:rPr>
          <w:rFonts w:ascii="Times New Roman" w:hAnsi="Times New Roman" w:cs="Times New Roman"/>
          <w:sz w:val="22"/>
          <w:szCs w:val="22"/>
        </w:rPr>
        <w:t xml:space="preserve"> datasets.</w:t>
      </w:r>
      <w:r w:rsidR="003B3C02">
        <w:rPr>
          <w:rFonts w:ascii="Times New Roman" w:hAnsi="Times New Roman" w:cs="Times New Roman"/>
          <w:sz w:val="22"/>
          <w:szCs w:val="22"/>
        </w:rPr>
        <w:t xml:space="preserve"> (a)</w:t>
      </w:r>
      <w:r w:rsidR="000873B8">
        <w:rPr>
          <w:rFonts w:ascii="Times New Roman" w:hAnsi="Times New Roman" w:cs="Times New Roman"/>
          <w:sz w:val="22"/>
          <w:szCs w:val="22"/>
        </w:rPr>
        <w:t xml:space="preserve"> </w:t>
      </w:r>
      <w:r w:rsidR="0079338A" w:rsidRPr="0079338A">
        <w:rPr>
          <w:rFonts w:ascii="Times New Roman" w:hAnsi="Times New Roman" w:cs="Times New Roman"/>
          <w:sz w:val="22"/>
          <w:szCs w:val="22"/>
        </w:rPr>
        <w:t>Evaluation scheme for zero-shot niche-label transfer using embeddings derived from spaGFM or Novae in the Human Lung (top) and Brain (bottom) datasets.</w:t>
      </w:r>
      <w:r w:rsidR="004B5A84">
        <w:rPr>
          <w:rFonts w:ascii="Times New Roman" w:hAnsi="Times New Roman" w:cs="Times New Roman"/>
          <w:sz w:val="22"/>
          <w:szCs w:val="22"/>
        </w:rPr>
        <w:t xml:space="preserve"> (b) </w:t>
      </w:r>
      <w:r w:rsidR="000C3C76" w:rsidRPr="000C3C76">
        <w:rPr>
          <w:rFonts w:ascii="Times New Roman" w:hAnsi="Times New Roman" w:cs="Times New Roman"/>
          <w:sz w:val="22"/>
          <w:szCs w:val="22"/>
        </w:rPr>
        <w:t>Spatial visualization of niche predictions for representative samples across methods.</w:t>
      </w:r>
    </w:p>
    <w:p w14:paraId="11FA5261" w14:textId="77777777" w:rsidR="000C3C76" w:rsidRDefault="000C3C76" w:rsidP="00EA0420">
      <w:pPr>
        <w:jc w:val="both"/>
        <w:rPr>
          <w:rFonts w:ascii="Times New Roman" w:hAnsi="Times New Roman" w:cs="Times New Roman"/>
          <w:sz w:val="22"/>
          <w:szCs w:val="22"/>
        </w:rPr>
      </w:pPr>
    </w:p>
    <w:p w14:paraId="4B36FF98" w14:textId="77777777" w:rsidR="001008EB" w:rsidRDefault="00814CB3" w:rsidP="001C1AEA">
      <w:pP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D2188FD" wp14:editId="595592FE">
            <wp:extent cx="5943600" cy="4799330"/>
            <wp:effectExtent l="0" t="0" r="0" b="1270"/>
            <wp:docPr id="150142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27680" name="Picture 15014276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799330"/>
                    </a:xfrm>
                    <a:prstGeom prst="rect">
                      <a:avLst/>
                    </a:prstGeom>
                  </pic:spPr>
                </pic:pic>
              </a:graphicData>
            </a:graphic>
          </wp:inline>
        </w:drawing>
      </w:r>
    </w:p>
    <w:p w14:paraId="17F85871" w14:textId="77777777" w:rsidR="00C115C2" w:rsidRDefault="001008EB"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5D52B0">
        <w:rPr>
          <w:rFonts w:ascii="Times New Roman" w:hAnsi="Times New Roman" w:cs="Times New Roman"/>
          <w:sz w:val="22"/>
          <w:szCs w:val="22"/>
        </w:rPr>
        <w:t>7</w:t>
      </w:r>
      <w:r>
        <w:rPr>
          <w:rFonts w:ascii="Times New Roman" w:hAnsi="Times New Roman" w:cs="Times New Roman"/>
          <w:sz w:val="22"/>
          <w:szCs w:val="22"/>
        </w:rPr>
        <w:t>.</w:t>
      </w:r>
      <w:r w:rsidR="00A50C1F">
        <w:rPr>
          <w:rFonts w:ascii="Times New Roman" w:hAnsi="Times New Roman" w:cs="Times New Roman" w:hint="eastAsia"/>
          <w:sz w:val="22"/>
          <w:szCs w:val="22"/>
        </w:rPr>
        <w:t xml:space="preserve"> </w:t>
      </w:r>
      <w:r w:rsidR="009E1895" w:rsidRPr="009E1895">
        <w:rPr>
          <w:rFonts w:ascii="Times New Roman" w:hAnsi="Times New Roman" w:cs="Times New Roman"/>
          <w:sz w:val="22"/>
          <w:szCs w:val="22"/>
        </w:rPr>
        <w:t>Ablation study comparing non-graph foundation models with spaGFM for niche-task embedding representations.</w:t>
      </w:r>
      <w:r w:rsidR="001236A9">
        <w:rPr>
          <w:rFonts w:ascii="Times New Roman" w:hAnsi="Times New Roman" w:cs="Times New Roman"/>
          <w:sz w:val="22"/>
          <w:szCs w:val="22"/>
        </w:rPr>
        <w:t xml:space="preserve"> (a) </w:t>
      </w:r>
      <w:r w:rsidR="002938C7" w:rsidRPr="002938C7">
        <w:rPr>
          <w:rFonts w:ascii="Times New Roman" w:hAnsi="Times New Roman" w:cs="Times New Roman"/>
          <w:sz w:val="22"/>
          <w:szCs w:val="22"/>
        </w:rPr>
        <w:t>Schematic of the strategy used to incorporate graph information into non-graph foundation models for neighborhood characterization. Cell embeddings from non-graph foundation models were pooled over random walks. spaGFM-derived embeddings were extracted in a zero-shot manner. Walk length was set to 8.</w:t>
      </w:r>
      <w:r w:rsidR="00074378">
        <w:rPr>
          <w:rFonts w:ascii="Times New Roman" w:hAnsi="Times New Roman" w:cs="Times New Roman"/>
          <w:sz w:val="22"/>
          <w:szCs w:val="22"/>
        </w:rPr>
        <w:t xml:space="preserve"> </w:t>
      </w:r>
      <w:r w:rsidR="009E264A">
        <w:rPr>
          <w:rFonts w:ascii="Times New Roman" w:hAnsi="Times New Roman" w:cs="Times New Roman"/>
          <w:sz w:val="22"/>
          <w:szCs w:val="22"/>
        </w:rPr>
        <w:t xml:space="preserve">(b) </w:t>
      </w:r>
      <w:r w:rsidR="002938C7" w:rsidRPr="002938C7">
        <w:rPr>
          <w:rFonts w:ascii="Times New Roman" w:hAnsi="Times New Roman" w:cs="Times New Roman"/>
          <w:sz w:val="22"/>
          <w:szCs w:val="22"/>
        </w:rPr>
        <w:t>Linear-probing evaluation on the CosMx Human Lung dataset for the niche-prediction task.</w:t>
      </w:r>
    </w:p>
    <w:p w14:paraId="2D65A1F2" w14:textId="77777777" w:rsidR="00C115C2" w:rsidRDefault="00C115C2" w:rsidP="001C1AEA">
      <w:pPr>
        <w:rPr>
          <w:rFonts w:ascii="Times New Roman" w:hAnsi="Times New Roman" w:cs="Times New Roman"/>
          <w:sz w:val="22"/>
          <w:szCs w:val="22"/>
        </w:rPr>
      </w:pPr>
    </w:p>
    <w:p w14:paraId="2F0291EA" w14:textId="77777777" w:rsidR="00A346D8" w:rsidRDefault="00A346D8" w:rsidP="001C1AEA">
      <w:pP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8321506" wp14:editId="3FC2399E">
            <wp:extent cx="5943600" cy="3944620"/>
            <wp:effectExtent l="0" t="0" r="0" b="5080"/>
            <wp:docPr id="617907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07208" name="Picture 6179072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44620"/>
                    </a:xfrm>
                    <a:prstGeom prst="rect">
                      <a:avLst/>
                    </a:prstGeom>
                  </pic:spPr>
                </pic:pic>
              </a:graphicData>
            </a:graphic>
          </wp:inline>
        </w:drawing>
      </w:r>
    </w:p>
    <w:p w14:paraId="10A47F0C" w14:textId="06A52B6F" w:rsidR="00A346D8" w:rsidRDefault="00A346D8"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5D52B0">
        <w:rPr>
          <w:rFonts w:ascii="Times New Roman" w:hAnsi="Times New Roman" w:cs="Times New Roman"/>
          <w:sz w:val="22"/>
          <w:szCs w:val="22"/>
        </w:rPr>
        <w:t>8</w:t>
      </w:r>
      <w:r>
        <w:rPr>
          <w:rFonts w:ascii="Times New Roman" w:hAnsi="Times New Roman" w:cs="Times New Roman"/>
          <w:sz w:val="22"/>
          <w:szCs w:val="22"/>
        </w:rPr>
        <w:t>.</w:t>
      </w:r>
      <w:r w:rsidR="001F5EE0">
        <w:rPr>
          <w:rFonts w:ascii="Times New Roman" w:hAnsi="Times New Roman" w:cs="Times New Roman"/>
          <w:sz w:val="22"/>
          <w:szCs w:val="22"/>
        </w:rPr>
        <w:t xml:space="preserve"> </w:t>
      </w:r>
      <w:r w:rsidR="00340F74" w:rsidRPr="00340F74">
        <w:rPr>
          <w:rFonts w:ascii="Times New Roman" w:hAnsi="Times New Roman" w:cs="Times New Roman"/>
          <w:sz w:val="22"/>
          <w:szCs w:val="22"/>
        </w:rPr>
        <w:t>Domain adaptation of spaGFM for niche- and cell type</w:t>
      </w:r>
      <w:r w:rsidR="00CD04D3">
        <w:rPr>
          <w:rFonts w:ascii="Times New Roman" w:hAnsi="Times New Roman" w:cs="Times New Roman"/>
          <w:sz w:val="22"/>
          <w:szCs w:val="22"/>
        </w:rPr>
        <w:t>-</w:t>
      </w:r>
      <w:r w:rsidR="00340F74" w:rsidRPr="00340F74">
        <w:rPr>
          <w:rFonts w:ascii="Times New Roman" w:hAnsi="Times New Roman" w:cs="Times New Roman"/>
          <w:sz w:val="22"/>
          <w:szCs w:val="22"/>
        </w:rPr>
        <w:t>prediction tasks in CosMx Human Lung, Liver and Cortex datasets.</w:t>
      </w:r>
      <w:r w:rsidR="00DC5376">
        <w:rPr>
          <w:rFonts w:ascii="Times New Roman" w:hAnsi="Times New Roman" w:cs="Times New Roman"/>
          <w:sz w:val="22"/>
          <w:szCs w:val="22"/>
        </w:rPr>
        <w:t xml:space="preserve"> </w:t>
      </w:r>
      <w:r w:rsidR="00340F74" w:rsidRPr="00340F74">
        <w:rPr>
          <w:rFonts w:ascii="Times New Roman" w:hAnsi="Times New Roman" w:cs="Times New Roman"/>
          <w:sz w:val="22"/>
          <w:szCs w:val="22"/>
        </w:rPr>
        <w:t>Linear-probing evaluation for the niche-prediction task (top) and cell type</w:t>
      </w:r>
      <w:r w:rsidR="00CD04D3">
        <w:rPr>
          <w:rFonts w:ascii="Times New Roman" w:hAnsi="Times New Roman" w:cs="Times New Roman"/>
          <w:sz w:val="22"/>
          <w:szCs w:val="22"/>
        </w:rPr>
        <w:t>-</w:t>
      </w:r>
      <w:r w:rsidR="00340F74" w:rsidRPr="00340F74">
        <w:rPr>
          <w:rFonts w:ascii="Times New Roman" w:hAnsi="Times New Roman" w:cs="Times New Roman"/>
          <w:sz w:val="22"/>
          <w:szCs w:val="22"/>
        </w:rPr>
        <w:t>prediction task (bottom). spaGFM, zero-shot embedding representations; spaGFM+, pre-trained spaGFM adapted to specific datasets for a few epochs.</w:t>
      </w:r>
    </w:p>
    <w:p w14:paraId="11AABC50" w14:textId="77777777" w:rsidR="00A346D8" w:rsidRDefault="00A346D8" w:rsidP="001C1AEA">
      <w:pPr>
        <w:rPr>
          <w:rFonts w:ascii="Times New Roman" w:hAnsi="Times New Roman" w:cs="Times New Roman"/>
          <w:sz w:val="22"/>
          <w:szCs w:val="22"/>
        </w:rPr>
      </w:pPr>
    </w:p>
    <w:p w14:paraId="5E071171" w14:textId="77777777" w:rsidR="00C115C2" w:rsidRDefault="00C115C2" w:rsidP="001C1AEA">
      <w:pPr>
        <w:rPr>
          <w:rFonts w:ascii="Times New Roman" w:hAnsi="Times New Roman" w:cs="Times New Roman"/>
          <w:sz w:val="22"/>
          <w:szCs w:val="22"/>
        </w:rPr>
      </w:pPr>
    </w:p>
    <w:p w14:paraId="503507B9" w14:textId="77777777" w:rsidR="001008EB" w:rsidRDefault="00B34FF7" w:rsidP="001C1AEA">
      <w:pPr>
        <w:rPr>
          <w:rFonts w:ascii="Times New Roman" w:hAnsi="Times New Roman" w:cs="Times New Roman"/>
          <w:sz w:val="22"/>
          <w:szCs w:val="22"/>
        </w:rPr>
      </w:pPr>
      <w:r>
        <w:rPr>
          <w:rFonts w:ascii="Times New Roman" w:hAnsi="Times New Roman" w:cs="Times New Roman"/>
          <w:sz w:val="22"/>
          <w:szCs w:val="22"/>
        </w:rPr>
        <w:t xml:space="preserve"> </w:t>
      </w:r>
      <w:r w:rsidR="00147B52">
        <w:rPr>
          <w:rFonts w:ascii="Times New Roman" w:hAnsi="Times New Roman" w:cs="Times New Roman"/>
          <w:sz w:val="22"/>
          <w:szCs w:val="22"/>
        </w:rPr>
        <w:t xml:space="preserve"> </w:t>
      </w:r>
    </w:p>
    <w:p w14:paraId="1D761EB9" w14:textId="77777777" w:rsidR="001008EB" w:rsidRDefault="001008EB" w:rsidP="001C1AEA">
      <w:pPr>
        <w:rPr>
          <w:rFonts w:ascii="Times New Roman" w:hAnsi="Times New Roman" w:cs="Times New Roman"/>
          <w:sz w:val="22"/>
          <w:szCs w:val="22"/>
        </w:rPr>
      </w:pPr>
    </w:p>
    <w:p w14:paraId="578562DE" w14:textId="77777777" w:rsidR="00124954" w:rsidRDefault="009F4BAA"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0AEACAA" wp14:editId="5B566FEA">
            <wp:extent cx="5943600" cy="3605530"/>
            <wp:effectExtent l="0" t="0" r="0" b="1270"/>
            <wp:docPr id="19185294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29454" name="Picture 19185294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605530"/>
                    </a:xfrm>
                    <a:prstGeom prst="rect">
                      <a:avLst/>
                    </a:prstGeom>
                  </pic:spPr>
                </pic:pic>
              </a:graphicData>
            </a:graphic>
          </wp:inline>
        </w:drawing>
      </w:r>
    </w:p>
    <w:p w14:paraId="332EB950" w14:textId="23607039" w:rsidR="009F4BAA" w:rsidRDefault="009F4BAA"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5D52B0">
        <w:rPr>
          <w:rFonts w:ascii="Times New Roman" w:hAnsi="Times New Roman" w:cs="Times New Roman"/>
          <w:sz w:val="22"/>
          <w:szCs w:val="22"/>
        </w:rPr>
        <w:t>9</w:t>
      </w:r>
      <w:r>
        <w:rPr>
          <w:rFonts w:ascii="Times New Roman" w:hAnsi="Times New Roman" w:cs="Times New Roman"/>
          <w:sz w:val="22"/>
          <w:szCs w:val="22"/>
        </w:rPr>
        <w:t>.</w:t>
      </w:r>
      <w:r w:rsidR="00980241">
        <w:rPr>
          <w:rFonts w:ascii="Times New Roman" w:hAnsi="Times New Roman" w:cs="Times New Roman"/>
          <w:sz w:val="22"/>
          <w:szCs w:val="22"/>
        </w:rPr>
        <w:t xml:space="preserve"> </w:t>
      </w:r>
      <w:r w:rsidR="00B46F4B" w:rsidRPr="00B46F4B">
        <w:rPr>
          <w:rFonts w:ascii="Times New Roman" w:hAnsi="Times New Roman" w:cs="Times New Roman"/>
          <w:sz w:val="22"/>
          <w:szCs w:val="22"/>
        </w:rPr>
        <w:t xml:space="preserve">Large graph contexts in random walks enable accurate capture of cell type composition per niche in CosMx Human Lung datasets. </w:t>
      </w:r>
      <w:r w:rsidR="000D3E37">
        <w:rPr>
          <w:rFonts w:ascii="Times New Roman" w:hAnsi="Times New Roman" w:cs="Times New Roman"/>
          <w:sz w:val="22"/>
          <w:szCs w:val="22"/>
        </w:rPr>
        <w:t xml:space="preserve">(a) </w:t>
      </w:r>
      <w:r w:rsidR="00B46F4B" w:rsidRPr="00B46F4B">
        <w:rPr>
          <w:rFonts w:ascii="Times New Roman" w:hAnsi="Times New Roman" w:cs="Times New Roman"/>
          <w:sz w:val="22"/>
          <w:szCs w:val="22"/>
        </w:rPr>
        <w:t>Spatial locations of cells colored by cell type or niche.</w:t>
      </w:r>
      <w:r w:rsidR="00673706">
        <w:rPr>
          <w:rFonts w:ascii="Times New Roman" w:hAnsi="Times New Roman" w:cs="Times New Roman"/>
          <w:sz w:val="22"/>
          <w:szCs w:val="22"/>
        </w:rPr>
        <w:t xml:space="preserve"> (b) </w:t>
      </w:r>
      <w:r w:rsidR="00372EB5" w:rsidRPr="00372EB5">
        <w:rPr>
          <w:rFonts w:ascii="Times New Roman" w:hAnsi="Times New Roman" w:cs="Times New Roman"/>
          <w:sz w:val="22"/>
          <w:szCs w:val="22"/>
        </w:rPr>
        <w:t>Estimated errors between ground-truth cell type composition and cell type composition captured per walk as a function of walk length (top) and number of walks (bottom).</w:t>
      </w:r>
      <w:r w:rsidR="00643835">
        <w:rPr>
          <w:rFonts w:ascii="Times New Roman" w:hAnsi="Times New Roman" w:cs="Times New Roman"/>
          <w:sz w:val="22"/>
          <w:szCs w:val="22"/>
        </w:rPr>
        <w:t xml:space="preserve"> (c) </w:t>
      </w:r>
      <w:r w:rsidR="00372EB5" w:rsidRPr="00372EB5">
        <w:rPr>
          <w:rFonts w:ascii="Times New Roman" w:hAnsi="Times New Roman" w:cs="Times New Roman"/>
          <w:sz w:val="22"/>
          <w:szCs w:val="22"/>
        </w:rPr>
        <w:t xml:space="preserve">Estimated cell type composition errors stratified by niche across samples. Heatmap panels show estimated errors across niches. The top bar plot shows cell frequency, and the bottom panel shows the degree of heterogeneity in </w:t>
      </w:r>
      <w:r w:rsidR="00CC6AF3" w:rsidRPr="00372EB5">
        <w:rPr>
          <w:rFonts w:ascii="Times New Roman" w:hAnsi="Times New Roman" w:cs="Times New Roman"/>
          <w:sz w:val="22"/>
          <w:szCs w:val="22"/>
        </w:rPr>
        <w:t>cell</w:t>
      </w:r>
      <w:r w:rsidR="00CC6AF3">
        <w:rPr>
          <w:rFonts w:ascii="Times New Roman" w:hAnsi="Times New Roman" w:cs="Times New Roman"/>
          <w:sz w:val="22"/>
          <w:szCs w:val="22"/>
        </w:rPr>
        <w:t>-</w:t>
      </w:r>
      <w:r w:rsidR="00372EB5" w:rsidRPr="00372EB5">
        <w:rPr>
          <w:rFonts w:ascii="Times New Roman" w:hAnsi="Times New Roman" w:cs="Times New Roman"/>
          <w:sz w:val="22"/>
          <w:szCs w:val="22"/>
        </w:rPr>
        <w:t>type composition across niches.</w:t>
      </w:r>
      <w:r w:rsidR="00527310">
        <w:rPr>
          <w:rFonts w:ascii="Times New Roman" w:hAnsi="Times New Roman" w:cs="Times New Roman"/>
          <w:sz w:val="22"/>
          <w:szCs w:val="22"/>
        </w:rPr>
        <w:t xml:space="preserve"> </w:t>
      </w:r>
      <w:r w:rsidR="00D86688">
        <w:rPr>
          <w:rFonts w:ascii="Times New Roman" w:hAnsi="Times New Roman" w:cs="Times New Roman"/>
          <w:sz w:val="22"/>
          <w:szCs w:val="22"/>
        </w:rPr>
        <w:t xml:space="preserve"> </w:t>
      </w:r>
      <w:r w:rsidR="00976C4E">
        <w:rPr>
          <w:rFonts w:ascii="Times New Roman" w:hAnsi="Times New Roman" w:cs="Times New Roman"/>
          <w:sz w:val="22"/>
          <w:szCs w:val="22"/>
        </w:rPr>
        <w:t xml:space="preserve"> </w:t>
      </w:r>
      <w:r w:rsidR="00184B84">
        <w:rPr>
          <w:rFonts w:ascii="Times New Roman" w:hAnsi="Times New Roman" w:cs="Times New Roman"/>
          <w:sz w:val="22"/>
          <w:szCs w:val="22"/>
        </w:rPr>
        <w:t xml:space="preserve"> </w:t>
      </w:r>
    </w:p>
    <w:p w14:paraId="228803A9" w14:textId="77777777" w:rsidR="00FF6463" w:rsidRDefault="00FF6463" w:rsidP="003D643F">
      <w:pPr>
        <w:jc w:val="center"/>
        <w:rPr>
          <w:rFonts w:ascii="Times New Roman" w:hAnsi="Times New Roman" w:cs="Times New Roman"/>
          <w:sz w:val="22"/>
          <w:szCs w:val="22"/>
        </w:rPr>
      </w:pPr>
    </w:p>
    <w:p w14:paraId="57013CD1" w14:textId="77777777" w:rsidR="00FF6463" w:rsidRDefault="00FF6463"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548346EE" wp14:editId="649C0C8A">
            <wp:extent cx="5943600" cy="5488940"/>
            <wp:effectExtent l="0" t="0" r="0" b="0"/>
            <wp:docPr id="100355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5123" name="Picture 10035551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488940"/>
                    </a:xfrm>
                    <a:prstGeom prst="rect">
                      <a:avLst/>
                    </a:prstGeom>
                  </pic:spPr>
                </pic:pic>
              </a:graphicData>
            </a:graphic>
          </wp:inline>
        </w:drawing>
      </w:r>
    </w:p>
    <w:p w14:paraId="6586F045" w14:textId="77777777" w:rsidR="006A1637" w:rsidRDefault="006A1637" w:rsidP="00EA0420">
      <w:pPr>
        <w:jc w:val="both"/>
        <w:rPr>
          <w:rFonts w:ascii="Times New Roman" w:hAnsi="Times New Roman" w:cs="Times New Roman"/>
          <w:sz w:val="22"/>
          <w:szCs w:val="22"/>
        </w:rPr>
      </w:pPr>
      <w:r>
        <w:rPr>
          <w:rFonts w:ascii="Times New Roman" w:hAnsi="Times New Roman" w:cs="Times New Roman"/>
          <w:sz w:val="22"/>
          <w:szCs w:val="22"/>
        </w:rPr>
        <w:t>Supplementary Fig.</w:t>
      </w:r>
      <w:r w:rsidR="003441DB">
        <w:rPr>
          <w:rFonts w:ascii="Times New Roman" w:hAnsi="Times New Roman" w:cs="Times New Roman"/>
          <w:sz w:val="22"/>
          <w:szCs w:val="22"/>
        </w:rPr>
        <w:t xml:space="preserve"> </w:t>
      </w:r>
      <w:r w:rsidR="005D52B0">
        <w:rPr>
          <w:rFonts w:ascii="Times New Roman" w:hAnsi="Times New Roman" w:cs="Times New Roman"/>
          <w:sz w:val="22"/>
          <w:szCs w:val="22"/>
        </w:rPr>
        <w:t>10</w:t>
      </w:r>
      <w:r w:rsidR="003441DB">
        <w:rPr>
          <w:rFonts w:ascii="Times New Roman" w:hAnsi="Times New Roman" w:cs="Times New Roman"/>
          <w:sz w:val="22"/>
          <w:szCs w:val="22"/>
        </w:rPr>
        <w:t>.</w:t>
      </w:r>
      <w:r>
        <w:rPr>
          <w:rFonts w:ascii="Times New Roman" w:hAnsi="Times New Roman" w:cs="Times New Roman"/>
          <w:sz w:val="22"/>
          <w:szCs w:val="22"/>
        </w:rPr>
        <w:t xml:space="preserve"> </w:t>
      </w:r>
      <w:r w:rsidR="00617615" w:rsidRPr="00617615">
        <w:rPr>
          <w:rFonts w:ascii="Times New Roman" w:hAnsi="Times New Roman" w:cs="Times New Roman"/>
          <w:sz w:val="22"/>
          <w:szCs w:val="22"/>
        </w:rPr>
        <w:t>Large graph contexts in random walks enable accurate capture of cell type composition per niche in CosMx Human Liver datasets.</w:t>
      </w:r>
      <w:r w:rsidR="000A1421">
        <w:rPr>
          <w:rFonts w:ascii="Times New Roman" w:hAnsi="Times New Roman" w:cs="Times New Roman"/>
          <w:sz w:val="22"/>
          <w:szCs w:val="22"/>
        </w:rPr>
        <w:t xml:space="preserve"> (a) </w:t>
      </w:r>
      <w:r w:rsidR="00221EE0" w:rsidRPr="00221EE0">
        <w:rPr>
          <w:rFonts w:ascii="Times New Roman" w:hAnsi="Times New Roman" w:cs="Times New Roman"/>
          <w:sz w:val="22"/>
          <w:szCs w:val="22"/>
        </w:rPr>
        <w:t>Spatial locations of cells colored by cell type or niche.</w:t>
      </w:r>
      <w:r w:rsidR="000A1421">
        <w:rPr>
          <w:rFonts w:ascii="Times New Roman" w:hAnsi="Times New Roman" w:cs="Times New Roman"/>
          <w:sz w:val="22"/>
          <w:szCs w:val="22"/>
        </w:rPr>
        <w:t xml:space="preserve"> (b) </w:t>
      </w:r>
      <w:r w:rsidR="00221EE0" w:rsidRPr="00221EE0">
        <w:rPr>
          <w:rFonts w:ascii="Times New Roman" w:hAnsi="Times New Roman" w:cs="Times New Roman"/>
          <w:sz w:val="22"/>
          <w:szCs w:val="22"/>
        </w:rPr>
        <w:t xml:space="preserve">Estimated errors between ground-truth cell type composition and cell type composition captured per walk as a function of walk length (top) and number of walks (bottom). </w:t>
      </w:r>
      <w:r w:rsidR="000A1421">
        <w:rPr>
          <w:rFonts w:ascii="Times New Roman" w:hAnsi="Times New Roman" w:cs="Times New Roman"/>
          <w:sz w:val="22"/>
          <w:szCs w:val="22"/>
        </w:rPr>
        <w:t xml:space="preserve">(c) </w:t>
      </w:r>
      <w:r w:rsidR="00221EE0" w:rsidRPr="00221EE0">
        <w:rPr>
          <w:rFonts w:ascii="Times New Roman" w:hAnsi="Times New Roman" w:cs="Times New Roman"/>
          <w:sz w:val="22"/>
          <w:szCs w:val="22"/>
        </w:rPr>
        <w:t>Estimated cell type composition errors stratified by niche across samples. Heatmap panels show estimated errors across niches. The top bar plot shows cell frequency, and the bottom panel shows the degree of heterogeneity in cell type composition across niches.</w:t>
      </w:r>
    </w:p>
    <w:p w14:paraId="04BC78D0" w14:textId="77777777" w:rsidR="00C00B25" w:rsidRDefault="00B72C13"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68FC3FD" wp14:editId="27631553">
            <wp:extent cx="5943600" cy="3512820"/>
            <wp:effectExtent l="0" t="0" r="0" b="5080"/>
            <wp:docPr id="2080776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76424" name="Picture 208077642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512820"/>
                    </a:xfrm>
                    <a:prstGeom prst="rect">
                      <a:avLst/>
                    </a:prstGeom>
                  </pic:spPr>
                </pic:pic>
              </a:graphicData>
            </a:graphic>
          </wp:inline>
        </w:drawing>
      </w:r>
    </w:p>
    <w:p w14:paraId="4D736CB3" w14:textId="783D12D3" w:rsidR="00B72C13" w:rsidRDefault="002062FB" w:rsidP="00EA0420">
      <w:pPr>
        <w:jc w:val="both"/>
        <w:rPr>
          <w:rFonts w:ascii="Times New Roman" w:hAnsi="Times New Roman" w:cs="Times New Roman"/>
          <w:sz w:val="22"/>
          <w:szCs w:val="22"/>
        </w:rPr>
      </w:pPr>
      <w:r>
        <w:rPr>
          <w:rFonts w:ascii="Times New Roman" w:hAnsi="Times New Roman" w:cs="Times New Roman"/>
          <w:sz w:val="22"/>
          <w:szCs w:val="22"/>
        </w:rPr>
        <w:t>Supplementary Fig.</w:t>
      </w:r>
      <w:r w:rsidR="00985F38">
        <w:rPr>
          <w:rFonts w:ascii="Times New Roman" w:hAnsi="Times New Roman" w:cs="Times New Roman"/>
          <w:sz w:val="22"/>
          <w:szCs w:val="22"/>
        </w:rPr>
        <w:t xml:space="preserve"> </w:t>
      </w:r>
      <w:r w:rsidR="005D52B0">
        <w:rPr>
          <w:rFonts w:ascii="Times New Roman" w:hAnsi="Times New Roman" w:cs="Times New Roman"/>
          <w:sz w:val="22"/>
          <w:szCs w:val="22"/>
        </w:rPr>
        <w:t>11</w:t>
      </w:r>
      <w:r w:rsidR="00985F38">
        <w:rPr>
          <w:rFonts w:ascii="Times New Roman" w:hAnsi="Times New Roman" w:cs="Times New Roman"/>
          <w:sz w:val="22"/>
          <w:szCs w:val="22"/>
        </w:rPr>
        <w:t>.</w:t>
      </w:r>
      <w:r>
        <w:rPr>
          <w:rFonts w:ascii="Times New Roman" w:hAnsi="Times New Roman" w:cs="Times New Roman"/>
          <w:sz w:val="22"/>
          <w:szCs w:val="22"/>
        </w:rPr>
        <w:t xml:space="preserve"> </w:t>
      </w:r>
      <w:r w:rsidR="00985F38" w:rsidRPr="00985F38">
        <w:rPr>
          <w:rFonts w:ascii="Times New Roman" w:hAnsi="Times New Roman" w:cs="Times New Roman"/>
          <w:sz w:val="22"/>
          <w:szCs w:val="22"/>
        </w:rPr>
        <w:t>Large graph contexts in random walks enable accurate capture of cell type composition per niche in CosMx Human Cortex datasets.</w:t>
      </w:r>
      <w:r>
        <w:rPr>
          <w:rFonts w:ascii="Times New Roman" w:hAnsi="Times New Roman" w:cs="Times New Roman"/>
          <w:sz w:val="22"/>
          <w:szCs w:val="22"/>
        </w:rPr>
        <w:t xml:space="preserve"> (a) </w:t>
      </w:r>
      <w:r w:rsidR="00CF5FF7" w:rsidRPr="00CF5FF7">
        <w:rPr>
          <w:rFonts w:ascii="Times New Roman" w:hAnsi="Times New Roman" w:cs="Times New Roman"/>
          <w:sz w:val="22"/>
          <w:szCs w:val="22"/>
        </w:rPr>
        <w:t xml:space="preserve">Spatial locations of cells colored by cell type or niche. </w:t>
      </w:r>
      <w:r>
        <w:rPr>
          <w:rFonts w:ascii="Times New Roman" w:hAnsi="Times New Roman" w:cs="Times New Roman"/>
          <w:sz w:val="22"/>
          <w:szCs w:val="22"/>
        </w:rPr>
        <w:t xml:space="preserve">(b) </w:t>
      </w:r>
      <w:r w:rsidR="00CF5FF7" w:rsidRPr="00CF5FF7">
        <w:rPr>
          <w:rFonts w:ascii="Times New Roman" w:hAnsi="Times New Roman" w:cs="Times New Roman"/>
          <w:sz w:val="22"/>
          <w:szCs w:val="22"/>
        </w:rPr>
        <w:t xml:space="preserve">Estimated errors between ground-truth cell type composition and cell type composition captured per walk as a function of walk length (top) and number of walks (bottom). </w:t>
      </w:r>
      <w:r>
        <w:rPr>
          <w:rFonts w:ascii="Times New Roman" w:hAnsi="Times New Roman" w:cs="Times New Roman"/>
          <w:sz w:val="22"/>
          <w:szCs w:val="22"/>
        </w:rPr>
        <w:t xml:space="preserve">(c) </w:t>
      </w:r>
      <w:r w:rsidR="00CF5FF7" w:rsidRPr="00CF5FF7">
        <w:rPr>
          <w:rFonts w:ascii="Times New Roman" w:hAnsi="Times New Roman" w:cs="Times New Roman"/>
          <w:sz w:val="22"/>
          <w:szCs w:val="22"/>
        </w:rPr>
        <w:t xml:space="preserve">Estimated cell type composition errors stratified by niche across samples. Heatmap panels show estimated errors across niches. The top bar plot shows cell frequency, and the bottom panel shows the degree of heterogeneity in </w:t>
      </w:r>
      <w:r w:rsidR="00CC6AF3" w:rsidRPr="00CF5FF7">
        <w:rPr>
          <w:rFonts w:ascii="Times New Roman" w:hAnsi="Times New Roman" w:cs="Times New Roman"/>
          <w:sz w:val="22"/>
          <w:szCs w:val="22"/>
        </w:rPr>
        <w:t>cell</w:t>
      </w:r>
      <w:r w:rsidR="00CC6AF3">
        <w:rPr>
          <w:rFonts w:ascii="Times New Roman" w:hAnsi="Times New Roman" w:cs="Times New Roman"/>
          <w:sz w:val="22"/>
          <w:szCs w:val="22"/>
        </w:rPr>
        <w:t>-</w:t>
      </w:r>
      <w:r w:rsidR="00CF5FF7" w:rsidRPr="00CF5FF7">
        <w:rPr>
          <w:rFonts w:ascii="Times New Roman" w:hAnsi="Times New Roman" w:cs="Times New Roman"/>
          <w:sz w:val="22"/>
          <w:szCs w:val="22"/>
        </w:rPr>
        <w:t>type composition across niches.</w:t>
      </w:r>
    </w:p>
    <w:p w14:paraId="601DDE26" w14:textId="77777777" w:rsidR="009F4BAA" w:rsidRDefault="00C00B25"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47BE5F4B" wp14:editId="489C2F17">
            <wp:extent cx="5943600" cy="3328670"/>
            <wp:effectExtent l="0" t="0" r="0" b="0"/>
            <wp:docPr id="12007424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42441" name="Picture 120074244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328670"/>
                    </a:xfrm>
                    <a:prstGeom prst="rect">
                      <a:avLst/>
                    </a:prstGeom>
                  </pic:spPr>
                </pic:pic>
              </a:graphicData>
            </a:graphic>
          </wp:inline>
        </w:drawing>
      </w:r>
    </w:p>
    <w:p w14:paraId="74E050D0" w14:textId="694654F4" w:rsidR="002062FB" w:rsidRDefault="002062FB" w:rsidP="00EA0420">
      <w:pPr>
        <w:jc w:val="both"/>
        <w:rPr>
          <w:rFonts w:ascii="Times New Roman" w:hAnsi="Times New Roman" w:cs="Times New Roman"/>
          <w:sz w:val="22"/>
          <w:szCs w:val="22"/>
        </w:rPr>
      </w:pPr>
      <w:r>
        <w:rPr>
          <w:rFonts w:ascii="Times New Roman" w:hAnsi="Times New Roman" w:cs="Times New Roman"/>
          <w:sz w:val="22"/>
          <w:szCs w:val="22"/>
        </w:rPr>
        <w:t>Supplementary Fig.</w:t>
      </w:r>
      <w:r w:rsidR="00CF5FF7">
        <w:rPr>
          <w:rFonts w:ascii="Times New Roman" w:hAnsi="Times New Roman" w:cs="Times New Roman"/>
          <w:sz w:val="22"/>
          <w:szCs w:val="22"/>
        </w:rPr>
        <w:t xml:space="preserve"> 1</w:t>
      </w:r>
      <w:r w:rsidR="005D52B0">
        <w:rPr>
          <w:rFonts w:ascii="Times New Roman" w:hAnsi="Times New Roman" w:cs="Times New Roman"/>
          <w:sz w:val="22"/>
          <w:szCs w:val="22"/>
        </w:rPr>
        <w:t>2</w:t>
      </w:r>
      <w:r w:rsidR="00CF5FF7">
        <w:rPr>
          <w:rFonts w:ascii="Times New Roman" w:hAnsi="Times New Roman" w:cs="Times New Roman"/>
          <w:sz w:val="22"/>
          <w:szCs w:val="22"/>
        </w:rPr>
        <w:t>.</w:t>
      </w:r>
      <w:r>
        <w:rPr>
          <w:rFonts w:ascii="Times New Roman" w:hAnsi="Times New Roman" w:cs="Times New Roman"/>
          <w:sz w:val="22"/>
          <w:szCs w:val="22"/>
        </w:rPr>
        <w:t xml:space="preserve"> </w:t>
      </w:r>
      <w:r w:rsidR="001962D6" w:rsidRPr="001962D6">
        <w:rPr>
          <w:rFonts w:ascii="Times New Roman" w:hAnsi="Times New Roman" w:cs="Times New Roman"/>
          <w:sz w:val="22"/>
          <w:szCs w:val="22"/>
        </w:rPr>
        <w:t>Large graph contexts in random walks enable accurate capture of cell type composition per niche in CosMx Mouse Brain datasets.</w:t>
      </w:r>
      <w:r>
        <w:rPr>
          <w:rFonts w:ascii="Times New Roman" w:hAnsi="Times New Roman" w:cs="Times New Roman"/>
          <w:sz w:val="22"/>
          <w:szCs w:val="22"/>
        </w:rPr>
        <w:t xml:space="preserve"> (a) </w:t>
      </w:r>
      <w:r w:rsidR="00E71CA3" w:rsidRPr="00E71CA3">
        <w:rPr>
          <w:rFonts w:ascii="Times New Roman" w:hAnsi="Times New Roman" w:cs="Times New Roman"/>
          <w:sz w:val="22"/>
          <w:szCs w:val="22"/>
        </w:rPr>
        <w:t>Spatial locations of cells colored by cell type or niche.</w:t>
      </w:r>
      <w:r>
        <w:rPr>
          <w:rFonts w:ascii="Times New Roman" w:hAnsi="Times New Roman" w:cs="Times New Roman"/>
          <w:sz w:val="22"/>
          <w:szCs w:val="22"/>
        </w:rPr>
        <w:t xml:space="preserve"> (b) </w:t>
      </w:r>
      <w:r w:rsidR="00E71CA3" w:rsidRPr="00E71CA3">
        <w:rPr>
          <w:rFonts w:ascii="Times New Roman" w:hAnsi="Times New Roman" w:cs="Times New Roman"/>
          <w:sz w:val="22"/>
          <w:szCs w:val="22"/>
        </w:rPr>
        <w:t>Estimated errors between ground-truth cell type composition and cell type composition captured per walk as a function of walk length (top) and number of walks (bottom).</w:t>
      </w:r>
      <w:r>
        <w:rPr>
          <w:rFonts w:ascii="Times New Roman" w:hAnsi="Times New Roman" w:cs="Times New Roman"/>
          <w:sz w:val="22"/>
          <w:szCs w:val="22"/>
        </w:rPr>
        <w:t xml:space="preserve"> (c) </w:t>
      </w:r>
      <w:r w:rsidR="00E71CA3" w:rsidRPr="00E71CA3">
        <w:rPr>
          <w:rFonts w:ascii="Times New Roman" w:hAnsi="Times New Roman" w:cs="Times New Roman"/>
          <w:sz w:val="22"/>
          <w:szCs w:val="22"/>
        </w:rPr>
        <w:t>Estimated cell type composition errors stratified by niche across samples. Heatmap panels show estimated errors across niches. The top bar plot shows cell frequency, and the bottom panel shows the degree of heterogeneity in cell</w:t>
      </w:r>
      <w:r w:rsidR="00AB3E00">
        <w:rPr>
          <w:rFonts w:ascii="Times New Roman" w:hAnsi="Times New Roman" w:cs="Times New Roman"/>
          <w:sz w:val="22"/>
          <w:szCs w:val="22"/>
        </w:rPr>
        <w:t>-</w:t>
      </w:r>
      <w:r w:rsidR="00E71CA3" w:rsidRPr="00E71CA3">
        <w:rPr>
          <w:rFonts w:ascii="Times New Roman" w:hAnsi="Times New Roman" w:cs="Times New Roman"/>
          <w:sz w:val="22"/>
          <w:szCs w:val="22"/>
        </w:rPr>
        <w:t>type composition across niches.</w:t>
      </w:r>
    </w:p>
    <w:p w14:paraId="5C8922D0" w14:textId="77777777" w:rsidR="00C80547" w:rsidRDefault="00C80547" w:rsidP="002062FB">
      <w:pPr>
        <w:rPr>
          <w:rFonts w:ascii="Times New Roman" w:hAnsi="Times New Roman" w:cs="Times New Roman"/>
          <w:sz w:val="22"/>
          <w:szCs w:val="22"/>
        </w:rPr>
      </w:pPr>
    </w:p>
    <w:p w14:paraId="14096AF2" w14:textId="77777777" w:rsidR="00640CBF" w:rsidRDefault="00C80547"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5813BB18" wp14:editId="03172AC2">
            <wp:extent cx="5943600" cy="3219450"/>
            <wp:effectExtent l="0" t="0" r="0" b="6350"/>
            <wp:docPr id="741980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8008" name="Picture 7419800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219450"/>
                    </a:xfrm>
                    <a:prstGeom prst="rect">
                      <a:avLst/>
                    </a:prstGeom>
                  </pic:spPr>
                </pic:pic>
              </a:graphicData>
            </a:graphic>
          </wp:inline>
        </w:drawing>
      </w:r>
    </w:p>
    <w:p w14:paraId="4858702C" w14:textId="7A24B6E4" w:rsidR="00892D2D" w:rsidRDefault="00892D2D"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F721DD">
        <w:rPr>
          <w:rFonts w:ascii="Times New Roman" w:hAnsi="Times New Roman" w:cs="Times New Roman"/>
          <w:sz w:val="22"/>
          <w:szCs w:val="22"/>
        </w:rPr>
        <w:t>1</w:t>
      </w:r>
      <w:r w:rsidR="005D52B0">
        <w:rPr>
          <w:rFonts w:ascii="Times New Roman" w:hAnsi="Times New Roman" w:cs="Times New Roman"/>
          <w:sz w:val="22"/>
          <w:szCs w:val="22"/>
        </w:rPr>
        <w:t>3</w:t>
      </w:r>
      <w:r>
        <w:rPr>
          <w:rFonts w:ascii="Times New Roman" w:hAnsi="Times New Roman" w:cs="Times New Roman"/>
          <w:sz w:val="22"/>
          <w:szCs w:val="22"/>
        </w:rPr>
        <w:t>.</w:t>
      </w:r>
      <w:r w:rsidR="00D81B28">
        <w:rPr>
          <w:rFonts w:ascii="Times New Roman" w:hAnsi="Times New Roman" w:cs="Times New Roman"/>
          <w:sz w:val="22"/>
          <w:szCs w:val="22"/>
        </w:rPr>
        <w:t xml:space="preserve"> </w:t>
      </w:r>
      <w:r w:rsidR="004B6BE1" w:rsidRPr="004B6BE1">
        <w:rPr>
          <w:rFonts w:ascii="Times New Roman" w:hAnsi="Times New Roman" w:cs="Times New Roman"/>
          <w:sz w:val="22"/>
          <w:szCs w:val="22"/>
        </w:rPr>
        <w:t>Heterogeneity of cell density across tissue contexts</w:t>
      </w:r>
      <w:r w:rsidR="009758F7">
        <w:rPr>
          <w:rFonts w:ascii="Times New Roman" w:hAnsi="Times New Roman" w:cs="Times New Roman"/>
          <w:sz w:val="22"/>
          <w:szCs w:val="22"/>
        </w:rPr>
        <w:t xml:space="preserve"> where</w:t>
      </w:r>
      <w:r w:rsidR="00F0669A">
        <w:rPr>
          <w:rFonts w:ascii="Times New Roman" w:hAnsi="Times New Roman" w:cs="Times New Roman"/>
          <w:sz w:val="22"/>
          <w:szCs w:val="22"/>
        </w:rPr>
        <w:t xml:space="preserve"> large neighborhoods contain more heterogeneous cell types</w:t>
      </w:r>
      <w:r w:rsidR="004B6BE1" w:rsidRPr="004B6BE1">
        <w:rPr>
          <w:rFonts w:ascii="Times New Roman" w:hAnsi="Times New Roman" w:cs="Times New Roman"/>
          <w:sz w:val="22"/>
          <w:szCs w:val="22"/>
        </w:rPr>
        <w:t>.</w:t>
      </w:r>
      <w:r w:rsidR="004B6BE1">
        <w:rPr>
          <w:rFonts w:ascii="Times New Roman" w:hAnsi="Times New Roman" w:cs="Times New Roman"/>
          <w:sz w:val="22"/>
          <w:szCs w:val="22"/>
        </w:rPr>
        <w:t xml:space="preserve"> </w:t>
      </w:r>
      <w:r w:rsidR="004B6BE1" w:rsidRPr="004B6BE1">
        <w:rPr>
          <w:rFonts w:ascii="Times New Roman" w:hAnsi="Times New Roman" w:cs="Times New Roman"/>
          <w:sz w:val="22"/>
          <w:szCs w:val="22"/>
        </w:rPr>
        <w:t>Median number of cells within 10-μm, 20-μm and 50-μm radii centered on each cell in Human Lung, Liver, Cortex and Mouse Brain datasets.</w:t>
      </w:r>
    </w:p>
    <w:p w14:paraId="03D432E9" w14:textId="77777777" w:rsidR="00C80547" w:rsidRDefault="00C80547" w:rsidP="0006753B">
      <w:pPr>
        <w:rPr>
          <w:rFonts w:ascii="Times New Roman" w:hAnsi="Times New Roman" w:cs="Times New Roman"/>
          <w:sz w:val="22"/>
          <w:szCs w:val="22"/>
        </w:rPr>
      </w:pPr>
    </w:p>
    <w:p w14:paraId="7EB1CFD6" w14:textId="77777777" w:rsidR="00C80547" w:rsidRDefault="00C80547" w:rsidP="0006753B">
      <w:pPr>
        <w:rPr>
          <w:rFonts w:ascii="Times New Roman" w:hAnsi="Times New Roman" w:cs="Times New Roman"/>
          <w:sz w:val="22"/>
          <w:szCs w:val="22"/>
        </w:rPr>
      </w:pPr>
    </w:p>
    <w:p w14:paraId="067F319E" w14:textId="77777777" w:rsidR="0021331F" w:rsidRDefault="0021331F" w:rsidP="0006753B">
      <w:pPr>
        <w:rPr>
          <w:rFonts w:ascii="Times New Roman" w:hAnsi="Times New Roman" w:cs="Times New Roman"/>
          <w:sz w:val="22"/>
          <w:szCs w:val="22"/>
        </w:rPr>
      </w:pPr>
    </w:p>
    <w:p w14:paraId="589F2B07" w14:textId="77777777" w:rsidR="0021331F" w:rsidRDefault="0021331F" w:rsidP="0006753B">
      <w:pPr>
        <w:rPr>
          <w:rFonts w:ascii="Times New Roman" w:hAnsi="Times New Roman" w:cs="Times New Roman"/>
          <w:sz w:val="22"/>
          <w:szCs w:val="22"/>
        </w:rPr>
      </w:pPr>
    </w:p>
    <w:p w14:paraId="6D4280F5" w14:textId="77777777" w:rsidR="0021331F" w:rsidRDefault="0021331F" w:rsidP="0006753B">
      <w:pPr>
        <w:rPr>
          <w:rFonts w:ascii="Times New Roman" w:hAnsi="Times New Roman" w:cs="Times New Roman"/>
          <w:sz w:val="22"/>
          <w:szCs w:val="22"/>
        </w:rPr>
      </w:pPr>
    </w:p>
    <w:p w14:paraId="2B5A39E8" w14:textId="77777777" w:rsidR="00C00B25" w:rsidRDefault="00C00B25" w:rsidP="003D643F">
      <w:pPr>
        <w:jc w:val="center"/>
        <w:rPr>
          <w:rFonts w:ascii="Times New Roman" w:hAnsi="Times New Roman" w:cs="Times New Roman"/>
          <w:sz w:val="22"/>
          <w:szCs w:val="22"/>
        </w:rPr>
      </w:pPr>
    </w:p>
    <w:p w14:paraId="3F6C3958" w14:textId="77777777" w:rsidR="00C00B25" w:rsidRDefault="00C00B25"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16585C9" wp14:editId="14A63DC3">
            <wp:extent cx="5943600" cy="2914015"/>
            <wp:effectExtent l="0" t="0" r="0" b="0"/>
            <wp:docPr id="3392401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40169" name="Picture 3392401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914015"/>
                    </a:xfrm>
                    <a:prstGeom prst="rect">
                      <a:avLst/>
                    </a:prstGeom>
                  </pic:spPr>
                </pic:pic>
              </a:graphicData>
            </a:graphic>
          </wp:inline>
        </w:drawing>
      </w:r>
    </w:p>
    <w:p w14:paraId="35E0CA6C" w14:textId="77777777" w:rsidR="00C00B25" w:rsidRDefault="00C00B25" w:rsidP="00EA0420">
      <w:pPr>
        <w:jc w:val="both"/>
        <w:rPr>
          <w:rFonts w:ascii="Times New Roman" w:hAnsi="Times New Roman" w:cs="Times New Roman"/>
          <w:sz w:val="22"/>
          <w:szCs w:val="22"/>
        </w:rPr>
      </w:pPr>
      <w:r>
        <w:rPr>
          <w:rFonts w:ascii="Times New Roman" w:hAnsi="Times New Roman" w:cs="Times New Roman"/>
          <w:sz w:val="22"/>
          <w:szCs w:val="22"/>
        </w:rPr>
        <w:t xml:space="preserve">Supplementary Fig. </w:t>
      </w:r>
      <w:r w:rsidR="00B8287F">
        <w:rPr>
          <w:rFonts w:ascii="Times New Roman" w:hAnsi="Times New Roman" w:cs="Times New Roman"/>
          <w:sz w:val="22"/>
          <w:szCs w:val="22"/>
        </w:rPr>
        <w:t>1</w:t>
      </w:r>
      <w:r w:rsidR="005D52B0">
        <w:rPr>
          <w:rFonts w:ascii="Times New Roman" w:hAnsi="Times New Roman" w:cs="Times New Roman"/>
          <w:sz w:val="22"/>
          <w:szCs w:val="22"/>
        </w:rPr>
        <w:t>4</w:t>
      </w:r>
      <w:r>
        <w:rPr>
          <w:rFonts w:ascii="Times New Roman" w:hAnsi="Times New Roman" w:cs="Times New Roman"/>
          <w:sz w:val="22"/>
          <w:szCs w:val="22"/>
        </w:rPr>
        <w:t>.</w:t>
      </w:r>
      <w:r w:rsidR="00BE3A15">
        <w:rPr>
          <w:rFonts w:ascii="Times New Roman" w:hAnsi="Times New Roman" w:cs="Times New Roman"/>
          <w:sz w:val="22"/>
          <w:szCs w:val="22"/>
        </w:rPr>
        <w:t xml:space="preserve"> </w:t>
      </w:r>
      <w:r w:rsidR="00347BD6" w:rsidRPr="00347BD6">
        <w:rPr>
          <w:rFonts w:ascii="Times New Roman" w:hAnsi="Times New Roman" w:cs="Times New Roman"/>
          <w:sz w:val="22"/>
          <w:szCs w:val="22"/>
        </w:rPr>
        <w:t>Illustration of shifted node positions in CosMx Human Lung datasets.</w:t>
      </w:r>
      <w:r w:rsidR="003A7287">
        <w:rPr>
          <w:rFonts w:ascii="Times New Roman" w:hAnsi="Times New Roman" w:cs="Times New Roman"/>
          <w:sz w:val="22"/>
          <w:szCs w:val="22"/>
        </w:rPr>
        <w:t xml:space="preserve"> </w:t>
      </w:r>
      <w:r w:rsidR="00347BD6" w:rsidRPr="00347BD6">
        <w:rPr>
          <w:rFonts w:ascii="Times New Roman" w:hAnsi="Times New Roman" w:cs="Times New Roman"/>
          <w:sz w:val="22"/>
          <w:szCs w:val="22"/>
        </w:rPr>
        <w:t>Spatial locations of cells with increasing levels of positional corruption, with the number of retained graph edges shown above each panel (top). Delaunay triangulation graphs are shown with the Jaccard similarity to the original graph indicated for each corruption level (bottom).</w:t>
      </w:r>
    </w:p>
    <w:p w14:paraId="43105588" w14:textId="41B38AC3" w:rsidR="00286C92" w:rsidRDefault="00806BD6" w:rsidP="00EA0420">
      <w:pPr>
        <w:jc w:val="both"/>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1FDF313C" wp14:editId="5264C9AC">
            <wp:extent cx="5943600" cy="6731635"/>
            <wp:effectExtent l="0" t="0" r="0" b="0"/>
            <wp:docPr id="1728168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68666" name="Picture 1728168666"/>
                    <pic:cNvPicPr/>
                  </pic:nvPicPr>
                  <pic:blipFill>
                    <a:blip r:embed="rId19">
                      <a:extLst>
                        <a:ext uri="{28A0092B-C50C-407E-A947-70E740481C1C}">
                          <a14:useLocalDpi xmlns:a14="http://schemas.microsoft.com/office/drawing/2010/main" val="0"/>
                        </a:ext>
                      </a:extLst>
                    </a:blip>
                    <a:stretch>
                      <a:fillRect/>
                    </a:stretch>
                  </pic:blipFill>
                  <pic:spPr>
                    <a:xfrm>
                      <a:off x="0" y="0"/>
                      <a:ext cx="5943600" cy="6731635"/>
                    </a:xfrm>
                    <a:prstGeom prst="rect">
                      <a:avLst/>
                    </a:prstGeom>
                  </pic:spPr>
                </pic:pic>
              </a:graphicData>
            </a:graphic>
          </wp:inline>
        </w:drawing>
      </w:r>
    </w:p>
    <w:p w14:paraId="55D895E2" w14:textId="756F5C44" w:rsidR="00461D15" w:rsidRPr="00311469" w:rsidRDefault="00461D15" w:rsidP="00461D15">
      <w:pPr>
        <w:jc w:val="both"/>
        <w:rPr>
          <w:rFonts w:ascii="Times New Roman" w:hAnsi="Times New Roman" w:cs="Times New Roman"/>
          <w:sz w:val="22"/>
          <w:szCs w:val="22"/>
        </w:rPr>
      </w:pPr>
      <w:r w:rsidRPr="00311469">
        <w:rPr>
          <w:rFonts w:ascii="Times New Roman" w:hAnsi="Times New Roman" w:cs="Times New Roman"/>
          <w:sz w:val="22"/>
          <w:szCs w:val="22"/>
        </w:rPr>
        <w:t>Supplementary Fig. 1</w:t>
      </w:r>
      <w:r>
        <w:rPr>
          <w:rFonts w:ascii="Times New Roman" w:hAnsi="Times New Roman" w:cs="Times New Roman"/>
          <w:sz w:val="22"/>
          <w:szCs w:val="22"/>
        </w:rPr>
        <w:t>5</w:t>
      </w:r>
      <w:r w:rsidRPr="00311469">
        <w:rPr>
          <w:rFonts w:ascii="Times New Roman" w:hAnsi="Times New Roman" w:cs="Times New Roman"/>
          <w:sz w:val="22"/>
          <w:szCs w:val="22"/>
        </w:rPr>
        <w:t>. Spatial-context analyses and perturbation benchmarking.</w:t>
      </w:r>
      <w:r>
        <w:rPr>
          <w:rFonts w:ascii="Times New Roman" w:hAnsi="Times New Roman" w:cs="Times New Roman" w:hint="eastAsia"/>
          <w:sz w:val="22"/>
          <w:szCs w:val="22"/>
        </w:rPr>
        <w:t xml:space="preserve"> </w:t>
      </w:r>
      <w:r w:rsidRPr="00311469">
        <w:rPr>
          <w:rFonts w:ascii="Times New Roman" w:hAnsi="Times New Roman" w:cs="Times New Roman"/>
          <w:sz w:val="22"/>
          <w:szCs w:val="22"/>
        </w:rPr>
        <w:t xml:space="preserve">(a) Spatial distribution of T cells, tumor cells with or without T-cell neighbors, and other cells in the Perturb-FISH tumor section. </w:t>
      </w:r>
      <w:r>
        <w:rPr>
          <w:rFonts w:ascii="Times New Roman" w:hAnsi="Times New Roman" w:cs="Times New Roman" w:hint="eastAsia"/>
          <w:sz w:val="22"/>
          <w:szCs w:val="22"/>
        </w:rPr>
        <w:t xml:space="preserve"> </w:t>
      </w:r>
      <w:r w:rsidRPr="00311469">
        <w:rPr>
          <w:rFonts w:ascii="Times New Roman" w:hAnsi="Times New Roman" w:cs="Times New Roman"/>
          <w:sz w:val="22"/>
          <w:szCs w:val="22"/>
        </w:rPr>
        <w:t>(b) UMAPs of tumor-cell embeddings from spaGFM (left) and scGPT (right), colored by T-cell-neighbor status.</w:t>
      </w:r>
      <w:r>
        <w:rPr>
          <w:rFonts w:ascii="Times New Roman" w:hAnsi="Times New Roman" w:cs="Times New Roman" w:hint="eastAsia"/>
          <w:sz w:val="22"/>
          <w:szCs w:val="22"/>
        </w:rPr>
        <w:t xml:space="preserve"> </w:t>
      </w:r>
      <w:r w:rsidRPr="00311469">
        <w:rPr>
          <w:rFonts w:ascii="Times New Roman" w:hAnsi="Times New Roman" w:cs="Times New Roman"/>
          <w:sz w:val="22"/>
          <w:szCs w:val="22"/>
        </w:rPr>
        <w:t xml:space="preserve">(c) Attention-weighted spatial reach for perturbed tumor cells with versus without T-cell neighbors (left; Cliff’s </w:t>
      </w:r>
      <m:oMath>
        <m:r>
          <w:rPr>
            <w:rFonts w:ascii="Cambria Math" w:hAnsi="Cambria Math" w:cs="Times New Roman"/>
            <w:sz w:val="22"/>
            <w:szCs w:val="22"/>
          </w:rPr>
          <m:t>δ=-0.084</m:t>
        </m:r>
      </m:oMath>
      <w:r w:rsidRPr="00311469">
        <w:rPr>
          <w:rFonts w:ascii="Times New Roman" w:hAnsi="Times New Roman" w:cs="Times New Roman"/>
          <w:sz w:val="22"/>
          <w:szCs w:val="22"/>
        </w:rPr>
        <w:t xml:space="preserve">, BH-adjusted </w:t>
      </w:r>
      <m:oMath>
        <m:r>
          <w:rPr>
            <w:rFonts w:ascii="Cambria Math" w:hAnsi="Cambria Math" w:cs="Times New Roman"/>
            <w:sz w:val="22"/>
            <w:szCs w:val="22"/>
          </w:rPr>
          <m:t>P=1.4×</m:t>
        </m:r>
        <m:sSup>
          <m:sSupPr>
            <m:ctrlPr>
              <w:rPr>
                <w:rFonts w:ascii="Cambria Math" w:hAnsi="Cambria Math" w:cs="Times New Roman"/>
                <w:sz w:val="22"/>
                <w:szCs w:val="22"/>
              </w:rPr>
            </m:ctrlPr>
          </m:sSupPr>
          <m:e>
            <m:r>
              <w:rPr>
                <w:rFonts w:ascii="Cambria Math" w:hAnsi="Cambria Math" w:cs="Times New Roman"/>
                <w:sz w:val="22"/>
                <w:szCs w:val="22"/>
              </w:rPr>
              <m:t>10</m:t>
            </m:r>
          </m:e>
          <m:sup>
            <m:r>
              <w:rPr>
                <w:rFonts w:ascii="Cambria Math" w:hAnsi="Cambria Math" w:cs="Times New Roman"/>
                <w:sz w:val="22"/>
                <w:szCs w:val="22"/>
              </w:rPr>
              <m:t>-5</m:t>
            </m:r>
          </m:sup>
        </m:sSup>
      </m:oMath>
      <w:r w:rsidRPr="00311469">
        <w:rPr>
          <w:rFonts w:ascii="Times New Roman" w:hAnsi="Times New Roman" w:cs="Times New Roman"/>
          <w:sz w:val="22"/>
          <w:szCs w:val="22"/>
        </w:rPr>
        <w:t xml:space="preserve">) and the corresponding label-permutation null distribution (right; </w:t>
      </w:r>
      <m:oMath>
        <m:r>
          <w:rPr>
            <w:rFonts w:ascii="Cambria Math" w:hAnsi="Cambria Math" w:cs="Times New Roman"/>
            <w:sz w:val="22"/>
            <w:szCs w:val="22"/>
          </w:rPr>
          <m:t>P=0.0005</m:t>
        </m:r>
      </m:oMath>
      <w:r w:rsidRPr="00311469">
        <w:rPr>
          <w:rFonts w:ascii="Times New Roman" w:hAnsi="Times New Roman" w:cs="Times New Roman"/>
          <w:sz w:val="22"/>
          <w:szCs w:val="22"/>
        </w:rPr>
        <w:t>).</w:t>
      </w:r>
      <w:r>
        <w:rPr>
          <w:rFonts w:ascii="Times New Roman" w:hAnsi="Times New Roman" w:cs="Times New Roman" w:hint="eastAsia"/>
          <w:sz w:val="22"/>
          <w:szCs w:val="22"/>
        </w:rPr>
        <w:t xml:space="preserve"> </w:t>
      </w:r>
      <w:r w:rsidR="0095688B">
        <w:rPr>
          <w:rFonts w:ascii="Times New Roman" w:hAnsi="Times New Roman" w:cs="Times New Roman"/>
          <w:sz w:val="22"/>
          <w:szCs w:val="22"/>
        </w:rPr>
        <w:t xml:space="preserve">Here, </w:t>
      </w:r>
      <w:r w:rsidR="0095688B" w:rsidRPr="0095688B">
        <w:rPr>
          <w:rFonts w:ascii="Times New Roman" w:hAnsi="Times New Roman" w:cs="Times New Roman"/>
          <w:sz w:val="22"/>
          <w:szCs w:val="22"/>
        </w:rPr>
        <w:t xml:space="preserve">reach was defined for each focal perturbed tumor cell as the attention-weighted mean Euclidean distance to its walk-reachable neighboring cells. </w:t>
      </w:r>
      <w:r w:rsidRPr="00311469">
        <w:rPr>
          <w:rFonts w:ascii="Times New Roman" w:hAnsi="Times New Roman" w:cs="Times New Roman"/>
          <w:sz w:val="22"/>
          <w:szCs w:val="22"/>
        </w:rPr>
        <w:t xml:space="preserve">(d) Representative </w:t>
      </w:r>
      <w:r w:rsidRPr="00311469">
        <w:rPr>
          <w:rFonts w:ascii="Times New Roman" w:hAnsi="Times New Roman" w:cs="Times New Roman"/>
          <w:sz w:val="22"/>
          <w:szCs w:val="22"/>
        </w:rPr>
        <w:lastRenderedPageBreak/>
        <w:t>attention fields for perturbed tumor cells with (left) and without (right) T-cell neighbors. Arrow width and opacity indicate attention weight.</w:t>
      </w:r>
      <w:r>
        <w:rPr>
          <w:rFonts w:ascii="Times New Roman" w:hAnsi="Times New Roman" w:cs="Times New Roman" w:hint="eastAsia"/>
          <w:sz w:val="22"/>
          <w:szCs w:val="22"/>
        </w:rPr>
        <w:t xml:space="preserve"> </w:t>
      </w:r>
      <w:r w:rsidRPr="00311469">
        <w:rPr>
          <w:rFonts w:ascii="Times New Roman" w:hAnsi="Times New Roman" w:cs="Times New Roman"/>
          <w:sz w:val="22"/>
          <w:szCs w:val="22"/>
        </w:rPr>
        <w:t>(e) Construction of the matched four-method benchmark used in Fig. 5d. Restricting to perturbations jointly supported by all methods yielded 24 split</w:t>
      </w:r>
      <w:r w:rsidR="00CD04D3">
        <w:rPr>
          <w:rFonts w:ascii="Times New Roman" w:hAnsi="Times New Roman" w:cs="Times New Roman"/>
          <w:sz w:val="22"/>
          <w:szCs w:val="22"/>
        </w:rPr>
        <w:t>-</w:t>
      </w:r>
      <w:r w:rsidRPr="00311469">
        <w:rPr>
          <w:rFonts w:ascii="Times New Roman" w:hAnsi="Times New Roman" w:cs="Times New Roman"/>
          <w:sz w:val="22"/>
          <w:szCs w:val="22"/>
        </w:rPr>
        <w:t>perturbation pairs across 10 eligible perturbations.</w:t>
      </w:r>
      <w:r>
        <w:rPr>
          <w:rFonts w:ascii="Times New Roman" w:hAnsi="Times New Roman" w:cs="Times New Roman" w:hint="eastAsia"/>
          <w:sz w:val="22"/>
          <w:szCs w:val="22"/>
        </w:rPr>
        <w:t xml:space="preserve"> </w:t>
      </w:r>
      <w:r w:rsidRPr="00311469">
        <w:rPr>
          <w:rFonts w:ascii="Times New Roman" w:hAnsi="Times New Roman" w:cs="Times New Roman"/>
          <w:sz w:val="22"/>
          <w:szCs w:val="22"/>
        </w:rPr>
        <w:t xml:space="preserve">(f) Prediction performance measured by balanced accuracy (left) and F1-macro (right). spaGFM and GenePT* were evaluated on 70 pairs, whereas GEARS and </w:t>
      </w:r>
      <w:proofErr w:type="spellStart"/>
      <w:r w:rsidRPr="00311469">
        <w:rPr>
          <w:rFonts w:ascii="Times New Roman" w:hAnsi="Times New Roman" w:cs="Times New Roman"/>
          <w:sz w:val="22"/>
          <w:szCs w:val="22"/>
        </w:rPr>
        <w:t>Celcomen</w:t>
      </w:r>
      <w:proofErr w:type="spellEnd"/>
      <w:r w:rsidRPr="00311469">
        <w:rPr>
          <w:rFonts w:ascii="Times New Roman" w:hAnsi="Times New Roman" w:cs="Times New Roman"/>
          <w:sz w:val="22"/>
          <w:szCs w:val="22"/>
        </w:rPr>
        <w:t xml:space="preserve"> were evaluated on 24 supported pairs. Significance was assessed by paired Wilcoxon signed-rank tests with Holm correction.</w:t>
      </w:r>
      <w:r>
        <w:rPr>
          <w:rFonts w:ascii="Times New Roman" w:hAnsi="Times New Roman" w:cs="Times New Roman" w:hint="eastAsia"/>
          <w:sz w:val="22"/>
          <w:szCs w:val="22"/>
        </w:rPr>
        <w:t xml:space="preserve"> </w:t>
      </w:r>
      <w:r w:rsidRPr="00311469">
        <w:rPr>
          <w:rFonts w:ascii="Times New Roman" w:hAnsi="Times New Roman" w:cs="Times New Roman"/>
          <w:sz w:val="22"/>
          <w:szCs w:val="22"/>
        </w:rPr>
        <w:t>(g) Spearman correlation between signed prediction confidence and observed LFC across low-, medium-, and high-effect perturbations for spaGFM (top) and GenePT* (bottom). Differences across tertiles were assessed by Kruskal</w:t>
      </w:r>
      <w:r w:rsidR="00CD04D3">
        <w:rPr>
          <w:rFonts w:ascii="Times New Roman" w:hAnsi="Times New Roman" w:cs="Times New Roman"/>
          <w:sz w:val="22"/>
          <w:szCs w:val="22"/>
        </w:rPr>
        <w:t>-</w:t>
      </w:r>
      <w:r w:rsidRPr="00311469">
        <w:rPr>
          <w:rFonts w:ascii="Times New Roman" w:hAnsi="Times New Roman" w:cs="Times New Roman"/>
          <w:sz w:val="22"/>
          <w:szCs w:val="22"/>
        </w:rPr>
        <w:t>Wallis tests.</w:t>
      </w:r>
    </w:p>
    <w:p w14:paraId="038E0507" w14:textId="2F3D1843" w:rsidR="00897504" w:rsidRDefault="00897504" w:rsidP="00EA0420">
      <w:pPr>
        <w:jc w:val="both"/>
        <w:rPr>
          <w:rFonts w:ascii="Times New Roman" w:hAnsi="Times New Roman" w:cs="Times New Roman"/>
          <w:sz w:val="22"/>
          <w:szCs w:val="22"/>
        </w:rPr>
      </w:pPr>
    </w:p>
    <w:p w14:paraId="0BC268D4" w14:textId="1DF226D7" w:rsidR="009F4BAA" w:rsidRDefault="00FD1AD9" w:rsidP="003D643F">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6DC8B78E" wp14:editId="344E7745">
            <wp:extent cx="5943600" cy="7859395"/>
            <wp:effectExtent l="0" t="0" r="0" b="1905"/>
            <wp:docPr id="182654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4846" name="Picture 182654846"/>
                    <pic:cNvPicPr/>
                  </pic:nvPicPr>
                  <pic:blipFill>
                    <a:blip r:embed="rId20">
                      <a:extLst>
                        <a:ext uri="{28A0092B-C50C-407E-A947-70E740481C1C}">
                          <a14:useLocalDpi xmlns:a14="http://schemas.microsoft.com/office/drawing/2010/main" val="0"/>
                        </a:ext>
                      </a:extLst>
                    </a:blip>
                    <a:stretch>
                      <a:fillRect/>
                    </a:stretch>
                  </pic:blipFill>
                  <pic:spPr>
                    <a:xfrm>
                      <a:off x="0" y="0"/>
                      <a:ext cx="5943600" cy="7859395"/>
                    </a:xfrm>
                    <a:prstGeom prst="rect">
                      <a:avLst/>
                    </a:prstGeom>
                  </pic:spPr>
                </pic:pic>
              </a:graphicData>
            </a:graphic>
          </wp:inline>
        </w:drawing>
      </w:r>
    </w:p>
    <w:p w14:paraId="3C3C4D74" w14:textId="056C10BC" w:rsidR="00F2635C" w:rsidRDefault="00F2635C" w:rsidP="00EA0420">
      <w:pPr>
        <w:jc w:val="both"/>
        <w:rPr>
          <w:rFonts w:ascii="Times New Roman" w:hAnsi="Times New Roman" w:cs="Times New Roman"/>
          <w:sz w:val="22"/>
          <w:szCs w:val="22"/>
        </w:rPr>
      </w:pPr>
      <w:r>
        <w:rPr>
          <w:rFonts w:ascii="Times New Roman" w:hAnsi="Times New Roman" w:cs="Times New Roman"/>
          <w:sz w:val="22"/>
          <w:szCs w:val="22"/>
        </w:rPr>
        <w:lastRenderedPageBreak/>
        <w:t xml:space="preserve">Supplementary Fig. </w:t>
      </w:r>
      <w:r w:rsidR="0094194C">
        <w:rPr>
          <w:rFonts w:ascii="Times New Roman" w:hAnsi="Times New Roman" w:cs="Times New Roman"/>
          <w:sz w:val="22"/>
          <w:szCs w:val="22"/>
        </w:rPr>
        <w:t>1</w:t>
      </w:r>
      <w:r w:rsidR="00D764CC">
        <w:rPr>
          <w:rFonts w:ascii="Times New Roman" w:hAnsi="Times New Roman" w:cs="Times New Roman"/>
          <w:sz w:val="22"/>
          <w:szCs w:val="22"/>
        </w:rPr>
        <w:t>6</w:t>
      </w:r>
      <w:r>
        <w:rPr>
          <w:rFonts w:ascii="Times New Roman" w:hAnsi="Times New Roman" w:cs="Times New Roman"/>
          <w:sz w:val="22"/>
          <w:szCs w:val="22"/>
        </w:rPr>
        <w:t>.</w:t>
      </w:r>
      <w:r w:rsidRPr="00F2635C">
        <w:rPr>
          <w:rFonts w:ascii="Times New Roman" w:hAnsi="Times New Roman" w:cs="Times New Roman"/>
          <w:sz w:val="22"/>
          <w:szCs w:val="22"/>
        </w:rPr>
        <w:t xml:space="preserve"> </w:t>
      </w:r>
      <w:r>
        <w:rPr>
          <w:rFonts w:ascii="Times New Roman" w:hAnsi="Times New Roman" w:cs="Times New Roman"/>
          <w:sz w:val="22"/>
          <w:szCs w:val="22"/>
        </w:rPr>
        <w:t>Zero-shot and fine-tuned spaGFM representations capture glomerular spatial organization and pathological grade.</w:t>
      </w:r>
      <w:r w:rsidR="00E71196" w:rsidRPr="00E71196">
        <w:rPr>
          <w:rFonts w:ascii="Times New Roman" w:hAnsi="Times New Roman" w:cs="Times New Roman"/>
          <w:sz w:val="22"/>
          <w:szCs w:val="22"/>
        </w:rPr>
        <w:t xml:space="preserve"> </w:t>
      </w:r>
      <w:r w:rsidR="00C15323" w:rsidRPr="00F2635C">
        <w:rPr>
          <w:rFonts w:ascii="Times New Roman" w:hAnsi="Times New Roman" w:cs="Times New Roman"/>
          <w:sz w:val="22"/>
          <w:szCs w:val="22"/>
        </w:rPr>
        <w:t>(</w:t>
      </w:r>
      <w:r w:rsidR="00C15323">
        <w:rPr>
          <w:rFonts w:ascii="Times New Roman" w:hAnsi="Times New Roman" w:cs="Times New Roman"/>
          <w:sz w:val="22"/>
          <w:szCs w:val="22"/>
        </w:rPr>
        <w:t>a</w:t>
      </w:r>
      <w:r w:rsidR="00C15323" w:rsidRPr="00F2635C">
        <w:rPr>
          <w:rFonts w:ascii="Times New Roman" w:hAnsi="Times New Roman" w:cs="Times New Roman"/>
          <w:sz w:val="22"/>
          <w:szCs w:val="22"/>
        </w:rPr>
        <w:t xml:space="preserve">) </w:t>
      </w:r>
      <w:r w:rsidR="00C15323" w:rsidRPr="00F724F0">
        <w:rPr>
          <w:rFonts w:ascii="Times New Roman" w:hAnsi="Times New Roman" w:cs="Times New Roman"/>
          <w:sz w:val="22"/>
          <w:szCs w:val="22"/>
        </w:rPr>
        <w:t>UMAP of glomerular-cell embeddings, including glomerulus cells only, colored by pathological grade (0</w:t>
      </w:r>
      <w:r w:rsidR="00FF1AB8">
        <w:rPr>
          <w:rFonts w:ascii="Times New Roman" w:hAnsi="Times New Roman" w:cs="Times New Roman"/>
          <w:sz w:val="22"/>
          <w:szCs w:val="22"/>
        </w:rPr>
        <w:t>-</w:t>
      </w:r>
      <w:r w:rsidR="00C15323" w:rsidRPr="00F724F0">
        <w:rPr>
          <w:rFonts w:ascii="Times New Roman" w:hAnsi="Times New Roman" w:cs="Times New Roman"/>
          <w:sz w:val="22"/>
          <w:szCs w:val="22"/>
        </w:rPr>
        <w:t>3) for Split 1, Split 2</w:t>
      </w:r>
      <w:r w:rsidR="00C15323">
        <w:rPr>
          <w:rFonts w:ascii="Times New Roman" w:hAnsi="Times New Roman" w:cs="Times New Roman"/>
          <w:sz w:val="22"/>
          <w:szCs w:val="22"/>
        </w:rPr>
        <w:t>,</w:t>
      </w:r>
      <w:r w:rsidR="00C15323" w:rsidRPr="00F724F0">
        <w:rPr>
          <w:rFonts w:ascii="Times New Roman" w:hAnsi="Times New Roman" w:cs="Times New Roman"/>
          <w:sz w:val="22"/>
          <w:szCs w:val="22"/>
        </w:rPr>
        <w:t xml:space="preserve"> and Split 4. Grade-3 cells concentrate at one extreme of the embedding space.</w:t>
      </w:r>
      <w:r w:rsidR="00C15323" w:rsidRPr="00F2635C">
        <w:rPr>
          <w:rFonts w:ascii="Times New Roman" w:hAnsi="Times New Roman" w:cs="Times New Roman"/>
          <w:sz w:val="22"/>
          <w:szCs w:val="22"/>
        </w:rPr>
        <w:t xml:space="preserve"> </w:t>
      </w:r>
      <w:r w:rsidRPr="00F2635C">
        <w:rPr>
          <w:rFonts w:ascii="Times New Roman" w:hAnsi="Times New Roman" w:cs="Times New Roman"/>
          <w:sz w:val="22"/>
          <w:szCs w:val="22"/>
        </w:rPr>
        <w:t>(</w:t>
      </w:r>
      <w:r w:rsidR="00C15323">
        <w:rPr>
          <w:rFonts w:ascii="Times New Roman" w:hAnsi="Times New Roman" w:cs="Times New Roman"/>
          <w:sz w:val="22"/>
          <w:szCs w:val="22"/>
        </w:rPr>
        <w:t>b</w:t>
      </w:r>
      <w:r w:rsidRPr="00F2635C">
        <w:rPr>
          <w:rFonts w:ascii="Times New Roman" w:hAnsi="Times New Roman" w:cs="Times New Roman"/>
          <w:sz w:val="22"/>
          <w:szCs w:val="22"/>
        </w:rPr>
        <w:t>-</w:t>
      </w:r>
      <w:r w:rsidR="00C15323">
        <w:rPr>
          <w:rFonts w:ascii="Times New Roman" w:hAnsi="Times New Roman" w:cs="Times New Roman"/>
          <w:sz w:val="22"/>
          <w:szCs w:val="22"/>
        </w:rPr>
        <w:t>e</w:t>
      </w:r>
      <w:r w:rsidRPr="00F2635C">
        <w:rPr>
          <w:rFonts w:ascii="Times New Roman" w:hAnsi="Times New Roman" w:cs="Times New Roman"/>
          <w:sz w:val="22"/>
          <w:szCs w:val="22"/>
        </w:rPr>
        <w:t xml:space="preserve">) </w:t>
      </w:r>
      <w:r>
        <w:rPr>
          <w:rFonts w:ascii="Times New Roman" w:hAnsi="Times New Roman" w:cs="Times New Roman"/>
          <w:sz w:val="22"/>
          <w:szCs w:val="22"/>
        </w:rPr>
        <w:t>Zero-shot spatial organization across four tissue sections. Spatial domains from spaGFM-36M, spaGFM-317M and Novae are plotted in tissue coordinates alongside the corresponding manual glomerular annotations (</w:t>
      </w:r>
      <w:r w:rsidR="00FF1AB8">
        <w:rPr>
          <w:rFonts w:ascii="Times New Roman" w:hAnsi="Times New Roman" w:cs="Times New Roman"/>
          <w:sz w:val="22"/>
          <w:szCs w:val="22"/>
        </w:rPr>
        <w:t>-</w:t>
      </w:r>
      <w:r>
        <w:rPr>
          <w:rFonts w:ascii="Times New Roman" w:hAnsi="Times New Roman" w:cs="Times New Roman"/>
          <w:sz w:val="22"/>
          <w:szCs w:val="22"/>
        </w:rPr>
        <w:t>1, non-glomerulus; 0</w:t>
      </w:r>
      <w:r w:rsidR="00FF1AB8">
        <w:rPr>
          <w:rFonts w:ascii="Times New Roman" w:hAnsi="Times New Roman" w:cs="Times New Roman"/>
          <w:sz w:val="22"/>
          <w:szCs w:val="22"/>
        </w:rPr>
        <w:t>-</w:t>
      </w:r>
      <w:r>
        <w:rPr>
          <w:rFonts w:ascii="Times New Roman" w:hAnsi="Times New Roman" w:cs="Times New Roman"/>
          <w:sz w:val="22"/>
          <w:szCs w:val="22"/>
        </w:rPr>
        <w:t xml:space="preserve">3, pathological grade). spaGFM </w:t>
      </w:r>
      <w:r w:rsidR="0081080B">
        <w:rPr>
          <w:rFonts w:ascii="Times New Roman" w:hAnsi="Times New Roman" w:cs="Times New Roman"/>
          <w:sz w:val="22"/>
          <w:szCs w:val="22"/>
        </w:rPr>
        <w:t xml:space="preserve">and Novae </w:t>
      </w:r>
      <w:r>
        <w:rPr>
          <w:rFonts w:ascii="Times New Roman" w:hAnsi="Times New Roman" w:cs="Times New Roman"/>
          <w:sz w:val="22"/>
          <w:szCs w:val="22"/>
        </w:rPr>
        <w:t>embeddings were partitioned by Leiden clustering, as described in Methods.</w:t>
      </w:r>
      <w:r w:rsidRPr="00F2635C">
        <w:rPr>
          <w:rFonts w:ascii="Times New Roman" w:hAnsi="Times New Roman" w:cs="Times New Roman"/>
          <w:sz w:val="22"/>
          <w:szCs w:val="22"/>
        </w:rPr>
        <w:t xml:space="preserve"> (f) </w:t>
      </w:r>
      <w:r w:rsidR="00F724F0" w:rsidRPr="00F724F0">
        <w:rPr>
          <w:rFonts w:ascii="Times New Roman" w:hAnsi="Times New Roman" w:cs="Times New Roman"/>
          <w:sz w:val="22"/>
          <w:szCs w:val="22"/>
        </w:rPr>
        <w:t>Per-cell binary glomerulus detection in tissue coordinates using fine-tuned spaGFM-36M and spaGFM-317M models.</w:t>
      </w:r>
      <w:r w:rsidRPr="00F2635C">
        <w:rPr>
          <w:rFonts w:ascii="Times New Roman" w:hAnsi="Times New Roman" w:cs="Times New Roman"/>
          <w:sz w:val="22"/>
          <w:szCs w:val="22"/>
        </w:rPr>
        <w:t xml:space="preserve"> </w:t>
      </w:r>
      <w:r w:rsidR="00DF630F" w:rsidRPr="00DF630F">
        <w:rPr>
          <w:rFonts w:ascii="Times New Roman" w:hAnsi="Times New Roman" w:cs="Times New Roman"/>
          <w:sz w:val="22"/>
          <w:szCs w:val="22"/>
        </w:rPr>
        <w:t xml:space="preserve">(g) Glomerulus detection by the fine-tuned model. Ground-truth </w:t>
      </w:r>
      <w:r w:rsidR="00E011F7" w:rsidRPr="00DF630F">
        <w:rPr>
          <w:rFonts w:ascii="Times New Roman" w:hAnsi="Times New Roman" w:cs="Times New Roman"/>
          <w:sz w:val="22"/>
          <w:szCs w:val="22"/>
        </w:rPr>
        <w:t>annotation,</w:t>
      </w:r>
      <w:r w:rsidR="00DF630F" w:rsidRPr="00DF630F">
        <w:rPr>
          <w:rFonts w:ascii="Times New Roman" w:hAnsi="Times New Roman" w:cs="Times New Roman"/>
          <w:sz w:val="22"/>
          <w:szCs w:val="22"/>
        </w:rPr>
        <w:t xml:space="preserve"> spaGFM-36M and spaGFM-317M model prediction</w:t>
      </w:r>
      <w:r w:rsidR="00D706D0">
        <w:rPr>
          <w:rFonts w:ascii="Times New Roman" w:hAnsi="Times New Roman" w:cs="Times New Roman"/>
          <w:sz w:val="22"/>
          <w:szCs w:val="22"/>
        </w:rPr>
        <w:t>. B</w:t>
      </w:r>
      <w:r w:rsidR="00DF630F" w:rsidRPr="00DF630F">
        <w:rPr>
          <w:rFonts w:ascii="Times New Roman" w:hAnsi="Times New Roman" w:cs="Times New Roman"/>
          <w:sz w:val="22"/>
          <w:szCs w:val="22"/>
        </w:rPr>
        <w:t xml:space="preserve">lue </w:t>
      </w:r>
      <w:r w:rsidR="00D706D0">
        <w:rPr>
          <w:rFonts w:ascii="Times New Roman" w:hAnsi="Times New Roman" w:cs="Times New Roman"/>
          <w:sz w:val="22"/>
          <w:szCs w:val="22"/>
        </w:rPr>
        <w:t>represents</w:t>
      </w:r>
      <w:r w:rsidR="00DF630F" w:rsidRPr="00DF630F">
        <w:rPr>
          <w:rFonts w:ascii="Times New Roman" w:hAnsi="Times New Roman" w:cs="Times New Roman"/>
          <w:sz w:val="22"/>
          <w:szCs w:val="22"/>
        </w:rPr>
        <w:t xml:space="preserve"> non</w:t>
      </w:r>
      <w:r w:rsidR="00F61856">
        <w:rPr>
          <w:rFonts w:ascii="Times New Roman" w:hAnsi="Times New Roman" w:cs="Times New Roman"/>
          <w:sz w:val="22"/>
          <w:szCs w:val="22"/>
        </w:rPr>
        <w:t>-glomeruli</w:t>
      </w:r>
      <w:r w:rsidR="00DF630F" w:rsidRPr="00DF630F">
        <w:rPr>
          <w:rFonts w:ascii="Times New Roman" w:hAnsi="Times New Roman" w:cs="Times New Roman"/>
          <w:sz w:val="22"/>
          <w:szCs w:val="22"/>
        </w:rPr>
        <w:t xml:space="preserve">, green </w:t>
      </w:r>
      <w:r w:rsidR="00CC6AF3">
        <w:rPr>
          <w:rFonts w:ascii="Times New Roman" w:hAnsi="Times New Roman" w:cs="Times New Roman"/>
          <w:sz w:val="22"/>
          <w:szCs w:val="22"/>
        </w:rPr>
        <w:t>re</w:t>
      </w:r>
      <w:r w:rsidR="00487226">
        <w:rPr>
          <w:rFonts w:ascii="Times New Roman" w:hAnsi="Times New Roman" w:cs="Times New Roman"/>
          <w:sz w:val="22"/>
          <w:szCs w:val="22"/>
        </w:rPr>
        <w:t>presents</w:t>
      </w:r>
      <w:r w:rsidR="00DF630F" w:rsidRPr="00DF630F">
        <w:rPr>
          <w:rFonts w:ascii="Times New Roman" w:hAnsi="Times New Roman" w:cs="Times New Roman"/>
          <w:sz w:val="22"/>
          <w:szCs w:val="22"/>
        </w:rPr>
        <w:t xml:space="preserve"> predicted </w:t>
      </w:r>
      <w:r w:rsidR="00487226" w:rsidRPr="00DF630F">
        <w:rPr>
          <w:rFonts w:ascii="Times New Roman" w:hAnsi="Times New Roman" w:cs="Times New Roman"/>
          <w:sz w:val="22"/>
          <w:szCs w:val="22"/>
        </w:rPr>
        <w:t>glomerul</w:t>
      </w:r>
      <w:r w:rsidR="00487226">
        <w:rPr>
          <w:rFonts w:ascii="Times New Roman" w:hAnsi="Times New Roman" w:cs="Times New Roman"/>
          <w:sz w:val="22"/>
          <w:szCs w:val="22"/>
        </w:rPr>
        <w:t>i</w:t>
      </w:r>
      <w:r w:rsidR="00DF630F" w:rsidRPr="00DF630F">
        <w:rPr>
          <w:rFonts w:ascii="Times New Roman" w:hAnsi="Times New Roman" w:cs="Times New Roman"/>
          <w:sz w:val="22"/>
          <w:szCs w:val="22"/>
        </w:rPr>
        <w:t xml:space="preserve">, red circles highlight additional glomerular regions detected beyond manual H&amp;E annotation, </w:t>
      </w:r>
      <w:r w:rsidR="00487226">
        <w:rPr>
          <w:rFonts w:ascii="Times New Roman" w:hAnsi="Times New Roman" w:cs="Times New Roman"/>
          <w:sz w:val="22"/>
          <w:szCs w:val="22"/>
        </w:rPr>
        <w:t xml:space="preserve">and </w:t>
      </w:r>
      <w:r w:rsidR="00DF630F" w:rsidRPr="00DF630F">
        <w:rPr>
          <w:rFonts w:ascii="Times New Roman" w:hAnsi="Times New Roman" w:cs="Times New Roman"/>
          <w:sz w:val="22"/>
          <w:szCs w:val="22"/>
        </w:rPr>
        <w:t>yellow circles highlight putative false-positive regions</w:t>
      </w:r>
      <w:r w:rsidR="00CD2FB0">
        <w:rPr>
          <w:rFonts w:ascii="Times New Roman" w:hAnsi="Times New Roman" w:cs="Times New Roman"/>
          <w:sz w:val="22"/>
          <w:szCs w:val="22"/>
        </w:rPr>
        <w:t xml:space="preserve"> due to edge artifact</w:t>
      </w:r>
      <w:r w:rsidR="00DF630F" w:rsidRPr="00DF630F">
        <w:rPr>
          <w:rFonts w:ascii="Times New Roman" w:hAnsi="Times New Roman" w:cs="Times New Roman"/>
          <w:sz w:val="22"/>
          <w:szCs w:val="22"/>
        </w:rPr>
        <w:t xml:space="preserve">. </w:t>
      </w:r>
      <w:r w:rsidRPr="00F2635C">
        <w:rPr>
          <w:rFonts w:ascii="Times New Roman" w:hAnsi="Times New Roman" w:cs="Times New Roman"/>
          <w:sz w:val="22"/>
          <w:szCs w:val="22"/>
        </w:rPr>
        <w:t>(</w:t>
      </w:r>
      <w:r w:rsidR="00DF630F">
        <w:rPr>
          <w:rFonts w:ascii="Times New Roman" w:hAnsi="Times New Roman" w:cs="Times New Roman"/>
          <w:sz w:val="22"/>
          <w:szCs w:val="22"/>
        </w:rPr>
        <w:t>h</w:t>
      </w:r>
      <w:r w:rsidRPr="00F2635C">
        <w:rPr>
          <w:rFonts w:ascii="Times New Roman" w:hAnsi="Times New Roman" w:cs="Times New Roman"/>
          <w:sz w:val="22"/>
          <w:szCs w:val="22"/>
        </w:rPr>
        <w:t xml:space="preserve">) </w:t>
      </w:r>
      <w:r w:rsidR="008204B2">
        <w:rPr>
          <w:rFonts w:ascii="Times New Roman" w:hAnsi="Times New Roman" w:cs="Times New Roman"/>
          <w:sz w:val="22"/>
          <w:szCs w:val="22"/>
        </w:rPr>
        <w:t>Prediction results of p</w:t>
      </w:r>
      <w:r>
        <w:rPr>
          <w:rFonts w:ascii="Times New Roman" w:hAnsi="Times New Roman" w:cs="Times New Roman"/>
          <w:sz w:val="22"/>
          <w:szCs w:val="22"/>
        </w:rPr>
        <w:t>er-glomerulus Grade 0-versus-Grades 1-3 classification in tissue coordinates (</w:t>
      </w:r>
      <w:r w:rsidR="000722B7">
        <w:rPr>
          <w:rFonts w:ascii="Times New Roman" w:hAnsi="Times New Roman" w:cs="Times New Roman"/>
          <w:sz w:val="22"/>
          <w:szCs w:val="22"/>
        </w:rPr>
        <w:t>-</w:t>
      </w:r>
      <w:r>
        <w:rPr>
          <w:rFonts w:ascii="Times New Roman" w:hAnsi="Times New Roman" w:cs="Times New Roman"/>
          <w:sz w:val="22"/>
          <w:szCs w:val="22"/>
        </w:rPr>
        <w:t>1, non-glomerulus; 0, Grade 0; 1, Grades 1-3).</w:t>
      </w:r>
    </w:p>
    <w:p w14:paraId="23302B29" w14:textId="77777777" w:rsidR="00051407" w:rsidRDefault="00051407" w:rsidP="00EA0420">
      <w:pPr>
        <w:jc w:val="both"/>
        <w:rPr>
          <w:rFonts w:ascii="Times New Roman" w:hAnsi="Times New Roman" w:cs="Times New Roman"/>
          <w:sz w:val="22"/>
          <w:szCs w:val="22"/>
        </w:rPr>
      </w:pPr>
    </w:p>
    <w:p w14:paraId="033DE18F" w14:textId="77777777" w:rsidR="00051407" w:rsidRDefault="00051407" w:rsidP="00EA0420">
      <w:pPr>
        <w:jc w:val="both"/>
        <w:rPr>
          <w:rFonts w:ascii="Times New Roman" w:hAnsi="Times New Roman" w:cs="Times New Roman"/>
          <w:sz w:val="22"/>
          <w:szCs w:val="22"/>
        </w:rPr>
      </w:pPr>
    </w:p>
    <w:p w14:paraId="1F19446C" w14:textId="77777777" w:rsidR="00051407" w:rsidRDefault="00051407" w:rsidP="00EA0420">
      <w:pPr>
        <w:jc w:val="both"/>
        <w:rPr>
          <w:rFonts w:ascii="Times New Roman" w:hAnsi="Times New Roman" w:cs="Times New Roman"/>
          <w:sz w:val="22"/>
          <w:szCs w:val="22"/>
        </w:rPr>
      </w:pPr>
    </w:p>
    <w:p w14:paraId="10EE1FBC" w14:textId="77777777" w:rsidR="00051407" w:rsidRDefault="00051407" w:rsidP="00EA0420">
      <w:pPr>
        <w:jc w:val="both"/>
        <w:rPr>
          <w:rFonts w:ascii="Times New Roman" w:hAnsi="Times New Roman" w:cs="Times New Roman"/>
          <w:sz w:val="22"/>
          <w:szCs w:val="22"/>
        </w:rPr>
      </w:pPr>
    </w:p>
    <w:p w14:paraId="437551E9" w14:textId="77777777" w:rsidR="00051407" w:rsidRDefault="00051407" w:rsidP="00EA0420">
      <w:pPr>
        <w:jc w:val="both"/>
        <w:rPr>
          <w:rFonts w:ascii="Times New Roman" w:hAnsi="Times New Roman" w:cs="Times New Roman"/>
          <w:sz w:val="22"/>
          <w:szCs w:val="22"/>
        </w:rPr>
      </w:pPr>
    </w:p>
    <w:p w14:paraId="16FC6264" w14:textId="77777777" w:rsidR="00051407" w:rsidRDefault="00051407" w:rsidP="00EA0420">
      <w:pPr>
        <w:jc w:val="both"/>
        <w:rPr>
          <w:rFonts w:ascii="Times New Roman" w:hAnsi="Times New Roman" w:cs="Times New Roman"/>
          <w:sz w:val="22"/>
          <w:szCs w:val="22"/>
        </w:rPr>
      </w:pPr>
    </w:p>
    <w:p w14:paraId="4C84B161" w14:textId="44D06A05" w:rsidR="00051407" w:rsidRDefault="00051407" w:rsidP="00EA0420">
      <w:pPr>
        <w:jc w:val="both"/>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0A8013DE" wp14:editId="6B576094">
            <wp:extent cx="5943600" cy="4066540"/>
            <wp:effectExtent l="0" t="0" r="0" b="0"/>
            <wp:docPr id="85963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35188" name="Picture 85963518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066540"/>
                    </a:xfrm>
                    <a:prstGeom prst="rect">
                      <a:avLst/>
                    </a:prstGeom>
                  </pic:spPr>
                </pic:pic>
              </a:graphicData>
            </a:graphic>
          </wp:inline>
        </w:drawing>
      </w:r>
    </w:p>
    <w:p w14:paraId="6300BC19" w14:textId="7A2B9607" w:rsidR="004E1E74" w:rsidRDefault="004E1E74" w:rsidP="00EA0420">
      <w:pPr>
        <w:jc w:val="both"/>
        <w:rPr>
          <w:rFonts w:ascii="Times New Roman" w:hAnsi="Times New Roman" w:cs="Times New Roman"/>
          <w:sz w:val="22"/>
          <w:szCs w:val="22"/>
        </w:rPr>
      </w:pPr>
      <w:r>
        <w:rPr>
          <w:rFonts w:ascii="Times New Roman" w:hAnsi="Times New Roman" w:cs="Times New Roman"/>
          <w:sz w:val="22"/>
          <w:szCs w:val="22"/>
        </w:rPr>
        <w:t>Supplementary Fig. 1</w:t>
      </w:r>
      <w:r>
        <w:rPr>
          <w:rFonts w:ascii="Times New Roman" w:hAnsi="Times New Roman" w:cs="Times New Roman"/>
          <w:sz w:val="22"/>
          <w:szCs w:val="22"/>
        </w:rPr>
        <w:t xml:space="preserve">7. </w:t>
      </w:r>
      <w:r w:rsidR="006D563C" w:rsidRPr="006D563C">
        <w:rPr>
          <w:rFonts w:ascii="Times New Roman" w:hAnsi="Times New Roman" w:cs="Times New Roman"/>
          <w:sz w:val="22"/>
          <w:szCs w:val="22"/>
        </w:rPr>
        <w:t>spaGFM enables more accurate identification of a disease-associated niche in kidney samples</w:t>
      </w:r>
      <w:r w:rsidR="006D563C">
        <w:rPr>
          <w:rFonts w:ascii="Times New Roman" w:hAnsi="Times New Roman" w:cs="Times New Roman"/>
          <w:sz w:val="22"/>
          <w:szCs w:val="22"/>
        </w:rPr>
        <w:t>.</w:t>
      </w:r>
      <w:r w:rsidR="003C2C05">
        <w:rPr>
          <w:rFonts w:ascii="Times New Roman" w:hAnsi="Times New Roman" w:cs="Times New Roman"/>
          <w:sz w:val="22"/>
          <w:szCs w:val="22"/>
        </w:rPr>
        <w:t xml:space="preserve"> (a) </w:t>
      </w:r>
      <w:r w:rsidR="00093F3D" w:rsidRPr="00093F3D">
        <w:rPr>
          <w:rFonts w:ascii="Times New Roman" w:hAnsi="Times New Roman" w:cs="Times New Roman"/>
          <w:sz w:val="22"/>
          <w:szCs w:val="22"/>
        </w:rPr>
        <w:t>Spatial distribution of niche 7 identified by spaGFM and the corresponding H&amp;E-stained tissue region.</w:t>
      </w:r>
      <w:r w:rsidR="00093F3D" w:rsidRPr="00093F3D">
        <w:rPr>
          <w:rFonts w:ascii="Times New Roman" w:hAnsi="Times New Roman" w:cs="Times New Roman"/>
          <w:sz w:val="22"/>
          <w:szCs w:val="22"/>
        </w:rPr>
        <w:t xml:space="preserve"> </w:t>
      </w:r>
      <w:r w:rsidR="003C2C05">
        <w:rPr>
          <w:rFonts w:ascii="Times New Roman" w:hAnsi="Times New Roman" w:cs="Times New Roman"/>
          <w:sz w:val="22"/>
          <w:szCs w:val="22"/>
        </w:rPr>
        <w:t xml:space="preserve">(b) </w:t>
      </w:r>
      <w:r w:rsidR="00B504F3" w:rsidRPr="00B504F3">
        <w:rPr>
          <w:rFonts w:ascii="Times New Roman" w:hAnsi="Times New Roman" w:cs="Times New Roman"/>
          <w:sz w:val="22"/>
          <w:szCs w:val="22"/>
        </w:rPr>
        <w:t>Spatial maps of niche 7 identified by Novae (left) and spaGFM (middle), alongside the spatial expression of the fibrosis marker genes ACTA2 and TAGLN (right).</w:t>
      </w:r>
      <w:r w:rsidR="00D4127C">
        <w:rPr>
          <w:rFonts w:ascii="Times New Roman" w:hAnsi="Times New Roman" w:cs="Times New Roman"/>
          <w:sz w:val="22"/>
          <w:szCs w:val="22"/>
        </w:rPr>
        <w:t xml:space="preserve"> (c) </w:t>
      </w:r>
      <w:r w:rsidR="007753F3" w:rsidRPr="007753F3">
        <w:rPr>
          <w:rFonts w:ascii="Times New Roman" w:hAnsi="Times New Roman" w:cs="Times New Roman"/>
          <w:sz w:val="22"/>
          <w:szCs w:val="22"/>
        </w:rPr>
        <w:t>Cell-type composition of the 11 spatial domains identified by spaGFM.</w:t>
      </w:r>
    </w:p>
    <w:p w14:paraId="70743D12" w14:textId="5C7C9FDB" w:rsidR="00135ECD" w:rsidRDefault="00D87E2A" w:rsidP="00F2635C">
      <w:pP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340D7837" wp14:editId="4ECF1E27">
            <wp:extent cx="5943600" cy="7049135"/>
            <wp:effectExtent l="0" t="0" r="0" b="0"/>
            <wp:docPr id="19035213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21351" name="Picture 1903521351"/>
                    <pic:cNvPicPr/>
                  </pic:nvPicPr>
                  <pic:blipFill>
                    <a:blip r:embed="rId22">
                      <a:extLst>
                        <a:ext uri="{28A0092B-C50C-407E-A947-70E740481C1C}">
                          <a14:useLocalDpi xmlns:a14="http://schemas.microsoft.com/office/drawing/2010/main" val="0"/>
                        </a:ext>
                      </a:extLst>
                    </a:blip>
                    <a:stretch>
                      <a:fillRect/>
                    </a:stretch>
                  </pic:blipFill>
                  <pic:spPr>
                    <a:xfrm>
                      <a:off x="0" y="0"/>
                      <a:ext cx="5943600" cy="7049135"/>
                    </a:xfrm>
                    <a:prstGeom prst="rect">
                      <a:avLst/>
                    </a:prstGeom>
                  </pic:spPr>
                </pic:pic>
              </a:graphicData>
            </a:graphic>
          </wp:inline>
        </w:drawing>
      </w:r>
    </w:p>
    <w:p w14:paraId="3657C4E4" w14:textId="71843337" w:rsidR="00135ECD" w:rsidRDefault="00680CA5" w:rsidP="00EA0420">
      <w:pPr>
        <w:jc w:val="both"/>
        <w:rPr>
          <w:rFonts w:ascii="Times New Roman" w:hAnsi="Times New Roman" w:cs="Times New Roman"/>
          <w:sz w:val="22"/>
          <w:szCs w:val="22"/>
        </w:rPr>
      </w:pPr>
      <w:r w:rsidRPr="00680CA5">
        <w:rPr>
          <w:rFonts w:ascii="Times New Roman" w:hAnsi="Times New Roman" w:cs="Times New Roman"/>
          <w:sz w:val="22"/>
          <w:szCs w:val="22"/>
        </w:rPr>
        <w:t xml:space="preserve">Supplementary Fig. </w:t>
      </w:r>
      <w:r w:rsidR="00F724F0">
        <w:rPr>
          <w:rFonts w:ascii="Times New Roman" w:hAnsi="Times New Roman" w:cs="Times New Roman"/>
          <w:sz w:val="22"/>
          <w:szCs w:val="22"/>
        </w:rPr>
        <w:t>1</w:t>
      </w:r>
      <w:r w:rsidR="00750C87">
        <w:rPr>
          <w:rFonts w:ascii="Times New Roman" w:hAnsi="Times New Roman" w:cs="Times New Roman"/>
          <w:sz w:val="22"/>
          <w:szCs w:val="22"/>
        </w:rPr>
        <w:t>8</w:t>
      </w:r>
      <w:r w:rsidRPr="00680CA5">
        <w:rPr>
          <w:rFonts w:ascii="Times New Roman" w:hAnsi="Times New Roman" w:cs="Times New Roman"/>
          <w:sz w:val="22"/>
          <w:szCs w:val="22"/>
        </w:rPr>
        <w:t xml:space="preserve">. </w:t>
      </w:r>
      <w:r>
        <w:rPr>
          <w:rFonts w:ascii="Times New Roman" w:hAnsi="Times New Roman" w:cs="Times New Roman"/>
          <w:sz w:val="22"/>
          <w:szCs w:val="22"/>
        </w:rPr>
        <w:t xml:space="preserve">Attention patterns and cell type composition vary with glomerulus pathological grade. </w:t>
      </w:r>
      <w:r w:rsidRPr="00680CA5">
        <w:rPr>
          <w:rFonts w:ascii="Times New Roman" w:hAnsi="Times New Roman" w:cs="Times New Roman"/>
          <w:sz w:val="22"/>
          <w:szCs w:val="22"/>
        </w:rPr>
        <w:t xml:space="preserve">(a) </w:t>
      </w:r>
      <w:r w:rsidR="005B0BB9" w:rsidRPr="005B0BB9">
        <w:rPr>
          <w:rFonts w:ascii="Times New Roman" w:hAnsi="Times New Roman" w:cs="Times New Roman"/>
          <w:sz w:val="22"/>
          <w:szCs w:val="22"/>
        </w:rPr>
        <w:t>Grade composition across attention values for all 20 heads. For each head, stacked proportions of cells from each glomerulus grade (0</w:t>
      </w:r>
      <w:r w:rsidR="00FF1AB8">
        <w:rPr>
          <w:rFonts w:ascii="Times New Roman" w:hAnsi="Times New Roman" w:cs="Times New Roman"/>
          <w:sz w:val="22"/>
          <w:szCs w:val="22"/>
        </w:rPr>
        <w:t>-</w:t>
      </w:r>
      <w:r w:rsidR="005B0BB9" w:rsidRPr="005B0BB9">
        <w:rPr>
          <w:rFonts w:ascii="Times New Roman" w:hAnsi="Times New Roman" w:cs="Times New Roman"/>
          <w:sz w:val="22"/>
          <w:szCs w:val="22"/>
        </w:rPr>
        <w:t>3) are plotted as a function of attention value. In Head 1, the proportion of Grade-3 cells increases sharply at high attention values.</w:t>
      </w:r>
      <w:r w:rsidRPr="00680CA5">
        <w:rPr>
          <w:rFonts w:ascii="Times New Roman" w:hAnsi="Times New Roman" w:cs="Times New Roman"/>
          <w:sz w:val="22"/>
          <w:szCs w:val="22"/>
        </w:rPr>
        <w:t xml:space="preserve"> </w:t>
      </w:r>
      <w:r w:rsidR="005B0BB9">
        <w:rPr>
          <w:rFonts w:ascii="Times New Roman" w:hAnsi="Times New Roman" w:cs="Times New Roman"/>
          <w:sz w:val="22"/>
          <w:szCs w:val="22"/>
        </w:rPr>
        <w:t>(b)</w:t>
      </w:r>
      <w:r w:rsidRPr="00680CA5">
        <w:rPr>
          <w:rFonts w:ascii="Times New Roman" w:hAnsi="Times New Roman" w:cs="Times New Roman"/>
          <w:sz w:val="22"/>
          <w:szCs w:val="22"/>
        </w:rPr>
        <w:t xml:space="preserve"> </w:t>
      </w:r>
      <w:r>
        <w:rPr>
          <w:rFonts w:ascii="Times New Roman" w:hAnsi="Times New Roman" w:cs="Times New Roman"/>
          <w:sz w:val="22"/>
          <w:szCs w:val="22"/>
        </w:rPr>
        <w:t>Cell type composition by glomerulus grade, shown as stacked proportions per grade (0</w:t>
      </w:r>
      <w:r w:rsidR="00FF1AB8">
        <w:rPr>
          <w:rFonts w:ascii="Times New Roman" w:hAnsi="Times New Roman" w:cs="Times New Roman"/>
          <w:sz w:val="22"/>
          <w:szCs w:val="22"/>
        </w:rPr>
        <w:t>-</w:t>
      </w:r>
      <w:r>
        <w:rPr>
          <w:rFonts w:ascii="Times New Roman" w:hAnsi="Times New Roman" w:cs="Times New Roman"/>
          <w:sz w:val="22"/>
          <w:szCs w:val="22"/>
        </w:rPr>
        <w:t xml:space="preserve">3) across glomeruli. Podocytes decrease </w:t>
      </w:r>
      <w:r w:rsidR="00B06363">
        <w:rPr>
          <w:rFonts w:ascii="Times New Roman" w:hAnsi="Times New Roman" w:cs="Times New Roman"/>
          <w:sz w:val="22"/>
          <w:szCs w:val="22"/>
        </w:rPr>
        <w:t xml:space="preserve">while </w:t>
      </w:r>
      <w:r w:rsidR="00B06363">
        <w:rPr>
          <w:rFonts w:ascii="Times New Roman" w:hAnsi="Times New Roman" w:cs="Times New Roman"/>
          <w:sz w:val="22"/>
          <w:szCs w:val="22"/>
        </w:rPr>
        <w:lastRenderedPageBreak/>
        <w:t>parietal epithelial cells, immune, and kidney interstitial cells increase with increasing pathological grade of severity.</w:t>
      </w:r>
    </w:p>
    <w:p w14:paraId="60292123" w14:textId="743F569A" w:rsidR="00680CA5" w:rsidRDefault="00913108" w:rsidP="007577A1">
      <w:pPr>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3CEA3F1E" wp14:editId="7A2555A9">
            <wp:extent cx="5074920" cy="8229600"/>
            <wp:effectExtent l="0" t="0" r="5080" b="0"/>
            <wp:docPr id="1610860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6076" name="Picture 161086076"/>
                    <pic:cNvPicPr/>
                  </pic:nvPicPr>
                  <pic:blipFill>
                    <a:blip r:embed="rId23">
                      <a:extLst>
                        <a:ext uri="{28A0092B-C50C-407E-A947-70E740481C1C}">
                          <a14:useLocalDpi xmlns:a14="http://schemas.microsoft.com/office/drawing/2010/main" val="0"/>
                        </a:ext>
                      </a:extLst>
                    </a:blip>
                    <a:stretch>
                      <a:fillRect/>
                    </a:stretch>
                  </pic:blipFill>
                  <pic:spPr>
                    <a:xfrm>
                      <a:off x="0" y="0"/>
                      <a:ext cx="5074920" cy="8229600"/>
                    </a:xfrm>
                    <a:prstGeom prst="rect">
                      <a:avLst/>
                    </a:prstGeom>
                  </pic:spPr>
                </pic:pic>
              </a:graphicData>
            </a:graphic>
          </wp:inline>
        </w:drawing>
      </w:r>
    </w:p>
    <w:p w14:paraId="18978F46" w14:textId="5DAC6DB0" w:rsidR="00254D95" w:rsidRPr="003D643F" w:rsidRDefault="00BC3792" w:rsidP="00DD1B0D">
      <w:pPr>
        <w:jc w:val="both"/>
        <w:rPr>
          <w:rFonts w:ascii="Times New Roman" w:hAnsi="Times New Roman" w:cs="Times New Roman"/>
          <w:sz w:val="22"/>
          <w:szCs w:val="22"/>
        </w:rPr>
      </w:pPr>
      <w:r w:rsidRPr="00BC3792">
        <w:rPr>
          <w:rFonts w:ascii="Times New Roman" w:hAnsi="Times New Roman" w:cs="Times New Roman"/>
          <w:sz w:val="22"/>
          <w:szCs w:val="22"/>
        </w:rPr>
        <w:lastRenderedPageBreak/>
        <w:t xml:space="preserve">Supplementary Fig. </w:t>
      </w:r>
      <w:r w:rsidR="004D215E">
        <w:rPr>
          <w:rFonts w:ascii="Times New Roman" w:hAnsi="Times New Roman" w:cs="Times New Roman"/>
          <w:sz w:val="22"/>
          <w:szCs w:val="22"/>
        </w:rPr>
        <w:t>1</w:t>
      </w:r>
      <w:r w:rsidR="00750C87">
        <w:rPr>
          <w:rFonts w:ascii="Times New Roman" w:hAnsi="Times New Roman" w:cs="Times New Roman"/>
          <w:sz w:val="22"/>
          <w:szCs w:val="22"/>
        </w:rPr>
        <w:t>9</w:t>
      </w:r>
      <w:r w:rsidRPr="00BC3792">
        <w:rPr>
          <w:rFonts w:ascii="Times New Roman" w:hAnsi="Times New Roman" w:cs="Times New Roman"/>
          <w:sz w:val="22"/>
          <w:szCs w:val="22"/>
        </w:rPr>
        <w:t xml:space="preserve">. </w:t>
      </w:r>
      <w:r>
        <w:rPr>
          <w:rFonts w:ascii="Times New Roman" w:hAnsi="Times New Roman" w:cs="Times New Roman"/>
          <w:sz w:val="22"/>
          <w:szCs w:val="22"/>
        </w:rPr>
        <w:t xml:space="preserve">Attention-field curl and divergence vary across glomerulus pathological grades. </w:t>
      </w:r>
      <w:r w:rsidRPr="00BC3792">
        <w:rPr>
          <w:rFonts w:ascii="Times New Roman" w:hAnsi="Times New Roman" w:cs="Times New Roman"/>
          <w:sz w:val="22"/>
          <w:szCs w:val="22"/>
        </w:rPr>
        <w:t xml:space="preserve">(a) </w:t>
      </w:r>
      <w:r w:rsidR="00D87190" w:rsidRPr="00D87190">
        <w:rPr>
          <w:rFonts w:ascii="Times New Roman" w:hAnsi="Times New Roman" w:cs="Times New Roman"/>
          <w:sz w:val="22"/>
          <w:szCs w:val="22"/>
        </w:rPr>
        <w:t>Curl of the attention field across glomerulus grades for all 20 heads, shown as violin plots with significance brackets. Curl quantifies the local rotational structure of each head’s attention flow and increases at Grade 3 in several heads, including Head 1.</w:t>
      </w:r>
      <w:r w:rsidRPr="00BC3792">
        <w:rPr>
          <w:rFonts w:ascii="Times New Roman" w:hAnsi="Times New Roman" w:cs="Times New Roman"/>
          <w:sz w:val="22"/>
          <w:szCs w:val="22"/>
        </w:rPr>
        <w:t xml:space="preserve"> (b) </w:t>
      </w:r>
      <w:r w:rsidR="00D87190" w:rsidRPr="00D87190">
        <w:rPr>
          <w:rFonts w:ascii="Times New Roman" w:hAnsi="Times New Roman" w:cs="Times New Roman"/>
          <w:sz w:val="22"/>
          <w:szCs w:val="22"/>
        </w:rPr>
        <w:t>Divergence of the attention field across glomerulus grades for all 20 heads, shown as violin plots. Divergence quantifies local attention concentration and broadens at Grade 3 across many heads.</w:t>
      </w:r>
    </w:p>
    <w:sectPr w:rsidR="00254D95" w:rsidRPr="003D64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x50z9w8dfttgewve7p9p0z9s2fwftr0fw9&quot;&gt;My EndNote Library&lt;record-ids&gt;&lt;item&gt;123&lt;/item&gt;&lt;item&gt;124&lt;/item&gt;&lt;item&gt;125&lt;/item&gt;&lt;item&gt;126&lt;/item&gt;&lt;/record-ids&gt;&lt;/item&gt;&lt;/Libraries&gt;"/>
  </w:docVars>
  <w:rsids>
    <w:rsidRoot w:val="003C19BA"/>
    <w:rsid w:val="00016743"/>
    <w:rsid w:val="00017E61"/>
    <w:rsid w:val="0004194E"/>
    <w:rsid w:val="00046071"/>
    <w:rsid w:val="0005051F"/>
    <w:rsid w:val="00051407"/>
    <w:rsid w:val="00052363"/>
    <w:rsid w:val="00061FA4"/>
    <w:rsid w:val="00062617"/>
    <w:rsid w:val="00065FF7"/>
    <w:rsid w:val="0006753B"/>
    <w:rsid w:val="00070B75"/>
    <w:rsid w:val="000722B7"/>
    <w:rsid w:val="00072953"/>
    <w:rsid w:val="00074378"/>
    <w:rsid w:val="00075912"/>
    <w:rsid w:val="00077F92"/>
    <w:rsid w:val="00080E7D"/>
    <w:rsid w:val="000873B8"/>
    <w:rsid w:val="00091A08"/>
    <w:rsid w:val="00093F3D"/>
    <w:rsid w:val="0009465E"/>
    <w:rsid w:val="000A0731"/>
    <w:rsid w:val="000A1421"/>
    <w:rsid w:val="000B0B3C"/>
    <w:rsid w:val="000C3C76"/>
    <w:rsid w:val="000C6CB1"/>
    <w:rsid w:val="000D3E37"/>
    <w:rsid w:val="000D4856"/>
    <w:rsid w:val="000D5681"/>
    <w:rsid w:val="000D6DF2"/>
    <w:rsid w:val="000E4033"/>
    <w:rsid w:val="000E70CA"/>
    <w:rsid w:val="000E786A"/>
    <w:rsid w:val="000F11E3"/>
    <w:rsid w:val="000F4C77"/>
    <w:rsid w:val="001008BB"/>
    <w:rsid w:val="001008EB"/>
    <w:rsid w:val="00106368"/>
    <w:rsid w:val="00111840"/>
    <w:rsid w:val="00113498"/>
    <w:rsid w:val="001236A9"/>
    <w:rsid w:val="00124954"/>
    <w:rsid w:val="00130D01"/>
    <w:rsid w:val="00135AB6"/>
    <w:rsid w:val="00135ECD"/>
    <w:rsid w:val="00140B22"/>
    <w:rsid w:val="00142548"/>
    <w:rsid w:val="00142599"/>
    <w:rsid w:val="00144B01"/>
    <w:rsid w:val="0014680A"/>
    <w:rsid w:val="00147B52"/>
    <w:rsid w:val="00152F2F"/>
    <w:rsid w:val="00162E85"/>
    <w:rsid w:val="001652A8"/>
    <w:rsid w:val="00165E78"/>
    <w:rsid w:val="00166168"/>
    <w:rsid w:val="001738DD"/>
    <w:rsid w:val="00174C17"/>
    <w:rsid w:val="00175930"/>
    <w:rsid w:val="00182B90"/>
    <w:rsid w:val="00184B84"/>
    <w:rsid w:val="00192F52"/>
    <w:rsid w:val="00194A3A"/>
    <w:rsid w:val="001962D6"/>
    <w:rsid w:val="001A1F13"/>
    <w:rsid w:val="001A4FD2"/>
    <w:rsid w:val="001A6D89"/>
    <w:rsid w:val="001A7F82"/>
    <w:rsid w:val="001B56CA"/>
    <w:rsid w:val="001B56FE"/>
    <w:rsid w:val="001B6309"/>
    <w:rsid w:val="001C1AEA"/>
    <w:rsid w:val="001C44F3"/>
    <w:rsid w:val="001C514D"/>
    <w:rsid w:val="001C6244"/>
    <w:rsid w:val="001C792F"/>
    <w:rsid w:val="001D0033"/>
    <w:rsid w:val="001E3FAE"/>
    <w:rsid w:val="001F1E2C"/>
    <w:rsid w:val="001F4226"/>
    <w:rsid w:val="001F5EE0"/>
    <w:rsid w:val="001F6560"/>
    <w:rsid w:val="002062FB"/>
    <w:rsid w:val="0021331F"/>
    <w:rsid w:val="00221EE0"/>
    <w:rsid w:val="00222F2C"/>
    <w:rsid w:val="00224F10"/>
    <w:rsid w:val="00230D6E"/>
    <w:rsid w:val="00234DE8"/>
    <w:rsid w:val="002454FC"/>
    <w:rsid w:val="00250921"/>
    <w:rsid w:val="00251977"/>
    <w:rsid w:val="00254D95"/>
    <w:rsid w:val="00254F0F"/>
    <w:rsid w:val="00257512"/>
    <w:rsid w:val="00262DBC"/>
    <w:rsid w:val="00280A6F"/>
    <w:rsid w:val="00282CBC"/>
    <w:rsid w:val="00285255"/>
    <w:rsid w:val="00286C92"/>
    <w:rsid w:val="002938C7"/>
    <w:rsid w:val="00296307"/>
    <w:rsid w:val="002A53BE"/>
    <w:rsid w:val="002E4CF2"/>
    <w:rsid w:val="002F74E0"/>
    <w:rsid w:val="003021E3"/>
    <w:rsid w:val="003060D2"/>
    <w:rsid w:val="0032340A"/>
    <w:rsid w:val="00324F44"/>
    <w:rsid w:val="003252BA"/>
    <w:rsid w:val="00327119"/>
    <w:rsid w:val="00340E61"/>
    <w:rsid w:val="00340F74"/>
    <w:rsid w:val="003441DB"/>
    <w:rsid w:val="003453C6"/>
    <w:rsid w:val="00347BD6"/>
    <w:rsid w:val="003533E7"/>
    <w:rsid w:val="00365382"/>
    <w:rsid w:val="003654E3"/>
    <w:rsid w:val="00372D1A"/>
    <w:rsid w:val="00372EB5"/>
    <w:rsid w:val="003744DD"/>
    <w:rsid w:val="0037457F"/>
    <w:rsid w:val="003A01E5"/>
    <w:rsid w:val="003A1F1A"/>
    <w:rsid w:val="003A467E"/>
    <w:rsid w:val="003A7287"/>
    <w:rsid w:val="003B2FEA"/>
    <w:rsid w:val="003B3627"/>
    <w:rsid w:val="003B3C02"/>
    <w:rsid w:val="003B4CC4"/>
    <w:rsid w:val="003B6ABF"/>
    <w:rsid w:val="003C19BA"/>
    <w:rsid w:val="003C2B1A"/>
    <w:rsid w:val="003C2C05"/>
    <w:rsid w:val="003D2ED2"/>
    <w:rsid w:val="003D3814"/>
    <w:rsid w:val="003D643F"/>
    <w:rsid w:val="003F4592"/>
    <w:rsid w:val="003F5116"/>
    <w:rsid w:val="003F6235"/>
    <w:rsid w:val="0040654F"/>
    <w:rsid w:val="00410CCE"/>
    <w:rsid w:val="004153DC"/>
    <w:rsid w:val="00421E41"/>
    <w:rsid w:val="00422E4A"/>
    <w:rsid w:val="00440557"/>
    <w:rsid w:val="00445251"/>
    <w:rsid w:val="00453A86"/>
    <w:rsid w:val="00456D2A"/>
    <w:rsid w:val="00461D15"/>
    <w:rsid w:val="0046649F"/>
    <w:rsid w:val="00487226"/>
    <w:rsid w:val="004901D3"/>
    <w:rsid w:val="00493F22"/>
    <w:rsid w:val="00496551"/>
    <w:rsid w:val="00496B50"/>
    <w:rsid w:val="004A05FE"/>
    <w:rsid w:val="004A6E2F"/>
    <w:rsid w:val="004B18CA"/>
    <w:rsid w:val="004B52B7"/>
    <w:rsid w:val="004B5A84"/>
    <w:rsid w:val="004B6BE1"/>
    <w:rsid w:val="004D215E"/>
    <w:rsid w:val="004D31B9"/>
    <w:rsid w:val="004D420E"/>
    <w:rsid w:val="004D72A7"/>
    <w:rsid w:val="004E025E"/>
    <w:rsid w:val="004E07DB"/>
    <w:rsid w:val="004E1139"/>
    <w:rsid w:val="004E1DD0"/>
    <w:rsid w:val="004E1E74"/>
    <w:rsid w:val="004E7D4B"/>
    <w:rsid w:val="004F0289"/>
    <w:rsid w:val="004F0BEA"/>
    <w:rsid w:val="004F130E"/>
    <w:rsid w:val="004F6CFC"/>
    <w:rsid w:val="005050D6"/>
    <w:rsid w:val="0050528A"/>
    <w:rsid w:val="00515EAC"/>
    <w:rsid w:val="00517AEC"/>
    <w:rsid w:val="00527310"/>
    <w:rsid w:val="0054291C"/>
    <w:rsid w:val="00554D90"/>
    <w:rsid w:val="00556898"/>
    <w:rsid w:val="00560A51"/>
    <w:rsid w:val="005635A9"/>
    <w:rsid w:val="00567E94"/>
    <w:rsid w:val="00571CA0"/>
    <w:rsid w:val="005821D4"/>
    <w:rsid w:val="005824EE"/>
    <w:rsid w:val="00584058"/>
    <w:rsid w:val="0058537F"/>
    <w:rsid w:val="00586AB9"/>
    <w:rsid w:val="005A14D7"/>
    <w:rsid w:val="005A43EF"/>
    <w:rsid w:val="005A620F"/>
    <w:rsid w:val="005B0BB9"/>
    <w:rsid w:val="005B299E"/>
    <w:rsid w:val="005B3F47"/>
    <w:rsid w:val="005D52B0"/>
    <w:rsid w:val="005E4AF0"/>
    <w:rsid w:val="005E59EC"/>
    <w:rsid w:val="005F0255"/>
    <w:rsid w:val="005F728A"/>
    <w:rsid w:val="00615B6F"/>
    <w:rsid w:val="00617615"/>
    <w:rsid w:val="00626E32"/>
    <w:rsid w:val="00633D7D"/>
    <w:rsid w:val="00640CBF"/>
    <w:rsid w:val="00643835"/>
    <w:rsid w:val="00644FBA"/>
    <w:rsid w:val="00645A91"/>
    <w:rsid w:val="00650644"/>
    <w:rsid w:val="00651180"/>
    <w:rsid w:val="0065741E"/>
    <w:rsid w:val="00661364"/>
    <w:rsid w:val="00673706"/>
    <w:rsid w:val="0067476C"/>
    <w:rsid w:val="00680CA5"/>
    <w:rsid w:val="00690ADF"/>
    <w:rsid w:val="0069460C"/>
    <w:rsid w:val="006A1637"/>
    <w:rsid w:val="006A5A08"/>
    <w:rsid w:val="006A5F64"/>
    <w:rsid w:val="006B0B5D"/>
    <w:rsid w:val="006B163E"/>
    <w:rsid w:val="006C07B2"/>
    <w:rsid w:val="006C15F6"/>
    <w:rsid w:val="006C2F6A"/>
    <w:rsid w:val="006C327A"/>
    <w:rsid w:val="006C3DB0"/>
    <w:rsid w:val="006D3028"/>
    <w:rsid w:val="006D563C"/>
    <w:rsid w:val="006D792C"/>
    <w:rsid w:val="006D7AD3"/>
    <w:rsid w:val="006E6017"/>
    <w:rsid w:val="006F63AD"/>
    <w:rsid w:val="00705F52"/>
    <w:rsid w:val="00706674"/>
    <w:rsid w:val="00706EFD"/>
    <w:rsid w:val="007113E1"/>
    <w:rsid w:val="007119F0"/>
    <w:rsid w:val="00713AE3"/>
    <w:rsid w:val="00715414"/>
    <w:rsid w:val="00715AF8"/>
    <w:rsid w:val="00721ECC"/>
    <w:rsid w:val="00724BCC"/>
    <w:rsid w:val="00725ECC"/>
    <w:rsid w:val="00733DE3"/>
    <w:rsid w:val="00736BAB"/>
    <w:rsid w:val="007401CE"/>
    <w:rsid w:val="007463DD"/>
    <w:rsid w:val="00750C87"/>
    <w:rsid w:val="007577A1"/>
    <w:rsid w:val="00760588"/>
    <w:rsid w:val="00761931"/>
    <w:rsid w:val="00764C7F"/>
    <w:rsid w:val="00767C8C"/>
    <w:rsid w:val="007711EE"/>
    <w:rsid w:val="00771B0A"/>
    <w:rsid w:val="00772DDE"/>
    <w:rsid w:val="007748F1"/>
    <w:rsid w:val="007753F3"/>
    <w:rsid w:val="00780217"/>
    <w:rsid w:val="0079338A"/>
    <w:rsid w:val="007941A3"/>
    <w:rsid w:val="007A2537"/>
    <w:rsid w:val="007A2F2D"/>
    <w:rsid w:val="007B1756"/>
    <w:rsid w:val="007B24F0"/>
    <w:rsid w:val="007B550C"/>
    <w:rsid w:val="007C0E21"/>
    <w:rsid w:val="007C1488"/>
    <w:rsid w:val="007D7927"/>
    <w:rsid w:val="007E1161"/>
    <w:rsid w:val="007E7504"/>
    <w:rsid w:val="007F2FA1"/>
    <w:rsid w:val="007F6687"/>
    <w:rsid w:val="007F7079"/>
    <w:rsid w:val="00804286"/>
    <w:rsid w:val="00806BD6"/>
    <w:rsid w:val="00807172"/>
    <w:rsid w:val="00807D11"/>
    <w:rsid w:val="00810421"/>
    <w:rsid w:val="0081080B"/>
    <w:rsid w:val="00814CB3"/>
    <w:rsid w:val="008204B2"/>
    <w:rsid w:val="00822A52"/>
    <w:rsid w:val="00825A10"/>
    <w:rsid w:val="00826871"/>
    <w:rsid w:val="0083575F"/>
    <w:rsid w:val="008407B5"/>
    <w:rsid w:val="00845ABC"/>
    <w:rsid w:val="00845F04"/>
    <w:rsid w:val="00846363"/>
    <w:rsid w:val="00847F3A"/>
    <w:rsid w:val="008565CE"/>
    <w:rsid w:val="008743C6"/>
    <w:rsid w:val="00886961"/>
    <w:rsid w:val="008903A1"/>
    <w:rsid w:val="00892D2D"/>
    <w:rsid w:val="00897504"/>
    <w:rsid w:val="008A36F9"/>
    <w:rsid w:val="008A3C36"/>
    <w:rsid w:val="008B0920"/>
    <w:rsid w:val="008B23A4"/>
    <w:rsid w:val="008B5B17"/>
    <w:rsid w:val="008C5E14"/>
    <w:rsid w:val="008D0C03"/>
    <w:rsid w:val="008D3894"/>
    <w:rsid w:val="008D4B52"/>
    <w:rsid w:val="008D4C46"/>
    <w:rsid w:val="008E3936"/>
    <w:rsid w:val="008E6777"/>
    <w:rsid w:val="008F1256"/>
    <w:rsid w:val="008F661B"/>
    <w:rsid w:val="008F753F"/>
    <w:rsid w:val="00900B93"/>
    <w:rsid w:val="00901038"/>
    <w:rsid w:val="00905C3B"/>
    <w:rsid w:val="00906E0D"/>
    <w:rsid w:val="0091190F"/>
    <w:rsid w:val="00913108"/>
    <w:rsid w:val="0091316A"/>
    <w:rsid w:val="00915034"/>
    <w:rsid w:val="009161AF"/>
    <w:rsid w:val="00917131"/>
    <w:rsid w:val="00917FA1"/>
    <w:rsid w:val="00920F67"/>
    <w:rsid w:val="00935320"/>
    <w:rsid w:val="0094194C"/>
    <w:rsid w:val="0095688B"/>
    <w:rsid w:val="00957706"/>
    <w:rsid w:val="00966C32"/>
    <w:rsid w:val="0097215C"/>
    <w:rsid w:val="00975367"/>
    <w:rsid w:val="009758F7"/>
    <w:rsid w:val="00976C4E"/>
    <w:rsid w:val="00980241"/>
    <w:rsid w:val="00984BAA"/>
    <w:rsid w:val="00985F38"/>
    <w:rsid w:val="00986C0F"/>
    <w:rsid w:val="00987280"/>
    <w:rsid w:val="00987416"/>
    <w:rsid w:val="009929CA"/>
    <w:rsid w:val="009A4604"/>
    <w:rsid w:val="009A6E5D"/>
    <w:rsid w:val="009B1591"/>
    <w:rsid w:val="009C2D9B"/>
    <w:rsid w:val="009C48FB"/>
    <w:rsid w:val="009C6C72"/>
    <w:rsid w:val="009D4C20"/>
    <w:rsid w:val="009E1895"/>
    <w:rsid w:val="009E264A"/>
    <w:rsid w:val="009E295E"/>
    <w:rsid w:val="009F0349"/>
    <w:rsid w:val="009F11FB"/>
    <w:rsid w:val="009F4BAA"/>
    <w:rsid w:val="00A07172"/>
    <w:rsid w:val="00A07F67"/>
    <w:rsid w:val="00A1041E"/>
    <w:rsid w:val="00A22455"/>
    <w:rsid w:val="00A3302B"/>
    <w:rsid w:val="00A346D8"/>
    <w:rsid w:val="00A45F4D"/>
    <w:rsid w:val="00A50C1F"/>
    <w:rsid w:val="00A53D6D"/>
    <w:rsid w:val="00A80449"/>
    <w:rsid w:val="00A95FA4"/>
    <w:rsid w:val="00AB3E00"/>
    <w:rsid w:val="00AD1AB6"/>
    <w:rsid w:val="00AD4E00"/>
    <w:rsid w:val="00AD5DD3"/>
    <w:rsid w:val="00AD6FDB"/>
    <w:rsid w:val="00AE4E60"/>
    <w:rsid w:val="00AF2757"/>
    <w:rsid w:val="00AF6952"/>
    <w:rsid w:val="00AF7D61"/>
    <w:rsid w:val="00B01203"/>
    <w:rsid w:val="00B0375C"/>
    <w:rsid w:val="00B06363"/>
    <w:rsid w:val="00B143AD"/>
    <w:rsid w:val="00B202C9"/>
    <w:rsid w:val="00B23B84"/>
    <w:rsid w:val="00B265F1"/>
    <w:rsid w:val="00B34FF7"/>
    <w:rsid w:val="00B428D8"/>
    <w:rsid w:val="00B43267"/>
    <w:rsid w:val="00B451AE"/>
    <w:rsid w:val="00B462B3"/>
    <w:rsid w:val="00B46F4B"/>
    <w:rsid w:val="00B504F3"/>
    <w:rsid w:val="00B609DE"/>
    <w:rsid w:val="00B72C13"/>
    <w:rsid w:val="00B8287F"/>
    <w:rsid w:val="00B946B4"/>
    <w:rsid w:val="00B97510"/>
    <w:rsid w:val="00BB067F"/>
    <w:rsid w:val="00BB17B6"/>
    <w:rsid w:val="00BB17C2"/>
    <w:rsid w:val="00BC3792"/>
    <w:rsid w:val="00BD70CE"/>
    <w:rsid w:val="00BE1651"/>
    <w:rsid w:val="00BE39A0"/>
    <w:rsid w:val="00BE3A15"/>
    <w:rsid w:val="00BE5736"/>
    <w:rsid w:val="00C00B25"/>
    <w:rsid w:val="00C05797"/>
    <w:rsid w:val="00C0781A"/>
    <w:rsid w:val="00C115C2"/>
    <w:rsid w:val="00C14772"/>
    <w:rsid w:val="00C14A68"/>
    <w:rsid w:val="00C15323"/>
    <w:rsid w:val="00C15897"/>
    <w:rsid w:val="00C24ABC"/>
    <w:rsid w:val="00C26513"/>
    <w:rsid w:val="00C301B9"/>
    <w:rsid w:val="00C444F2"/>
    <w:rsid w:val="00C44F02"/>
    <w:rsid w:val="00C4577C"/>
    <w:rsid w:val="00C46C0F"/>
    <w:rsid w:val="00C51E26"/>
    <w:rsid w:val="00C6212C"/>
    <w:rsid w:val="00C62B4B"/>
    <w:rsid w:val="00C63A1B"/>
    <w:rsid w:val="00C65E35"/>
    <w:rsid w:val="00C702B1"/>
    <w:rsid w:val="00C7283A"/>
    <w:rsid w:val="00C76C87"/>
    <w:rsid w:val="00C80547"/>
    <w:rsid w:val="00C82E57"/>
    <w:rsid w:val="00CA5A1B"/>
    <w:rsid w:val="00CB1F01"/>
    <w:rsid w:val="00CB2467"/>
    <w:rsid w:val="00CC5BBD"/>
    <w:rsid w:val="00CC6AF3"/>
    <w:rsid w:val="00CD04D3"/>
    <w:rsid w:val="00CD1051"/>
    <w:rsid w:val="00CD2957"/>
    <w:rsid w:val="00CD2FB0"/>
    <w:rsid w:val="00CF5FF7"/>
    <w:rsid w:val="00D03C2C"/>
    <w:rsid w:val="00D0400C"/>
    <w:rsid w:val="00D07147"/>
    <w:rsid w:val="00D07649"/>
    <w:rsid w:val="00D101FE"/>
    <w:rsid w:val="00D16E91"/>
    <w:rsid w:val="00D23A37"/>
    <w:rsid w:val="00D26D02"/>
    <w:rsid w:val="00D31A1B"/>
    <w:rsid w:val="00D4127C"/>
    <w:rsid w:val="00D4171A"/>
    <w:rsid w:val="00D45D7C"/>
    <w:rsid w:val="00D46DF6"/>
    <w:rsid w:val="00D52190"/>
    <w:rsid w:val="00D63F60"/>
    <w:rsid w:val="00D706D0"/>
    <w:rsid w:val="00D764CC"/>
    <w:rsid w:val="00D81B28"/>
    <w:rsid w:val="00D86688"/>
    <w:rsid w:val="00D87190"/>
    <w:rsid w:val="00D87E2A"/>
    <w:rsid w:val="00D92CEF"/>
    <w:rsid w:val="00DA1031"/>
    <w:rsid w:val="00DA4CFE"/>
    <w:rsid w:val="00DA69D5"/>
    <w:rsid w:val="00DB472D"/>
    <w:rsid w:val="00DC5376"/>
    <w:rsid w:val="00DD1B0D"/>
    <w:rsid w:val="00DD5CC9"/>
    <w:rsid w:val="00DD7471"/>
    <w:rsid w:val="00DE5020"/>
    <w:rsid w:val="00DF630F"/>
    <w:rsid w:val="00E011F7"/>
    <w:rsid w:val="00E0626D"/>
    <w:rsid w:val="00E06FE2"/>
    <w:rsid w:val="00E225A9"/>
    <w:rsid w:val="00E23394"/>
    <w:rsid w:val="00E23A31"/>
    <w:rsid w:val="00E25368"/>
    <w:rsid w:val="00E2615B"/>
    <w:rsid w:val="00E27AC0"/>
    <w:rsid w:val="00E33952"/>
    <w:rsid w:val="00E35953"/>
    <w:rsid w:val="00E37FAA"/>
    <w:rsid w:val="00E43C5D"/>
    <w:rsid w:val="00E51699"/>
    <w:rsid w:val="00E5337A"/>
    <w:rsid w:val="00E5542F"/>
    <w:rsid w:val="00E6477D"/>
    <w:rsid w:val="00E71196"/>
    <w:rsid w:val="00E71CA3"/>
    <w:rsid w:val="00E72411"/>
    <w:rsid w:val="00E75432"/>
    <w:rsid w:val="00E81B68"/>
    <w:rsid w:val="00E83E5F"/>
    <w:rsid w:val="00E85D6E"/>
    <w:rsid w:val="00E874D5"/>
    <w:rsid w:val="00E9062E"/>
    <w:rsid w:val="00E92BDA"/>
    <w:rsid w:val="00E96908"/>
    <w:rsid w:val="00EA0420"/>
    <w:rsid w:val="00EA2A45"/>
    <w:rsid w:val="00EB57C8"/>
    <w:rsid w:val="00ED56B9"/>
    <w:rsid w:val="00ED7766"/>
    <w:rsid w:val="00EE2F9D"/>
    <w:rsid w:val="00EE51A2"/>
    <w:rsid w:val="00EF24AF"/>
    <w:rsid w:val="00F014E9"/>
    <w:rsid w:val="00F033B0"/>
    <w:rsid w:val="00F0669A"/>
    <w:rsid w:val="00F12AF5"/>
    <w:rsid w:val="00F2635C"/>
    <w:rsid w:val="00F37C96"/>
    <w:rsid w:val="00F46417"/>
    <w:rsid w:val="00F4676F"/>
    <w:rsid w:val="00F4697D"/>
    <w:rsid w:val="00F51CD3"/>
    <w:rsid w:val="00F53640"/>
    <w:rsid w:val="00F57853"/>
    <w:rsid w:val="00F61856"/>
    <w:rsid w:val="00F678B7"/>
    <w:rsid w:val="00F7032A"/>
    <w:rsid w:val="00F721DD"/>
    <w:rsid w:val="00F724F0"/>
    <w:rsid w:val="00F725A4"/>
    <w:rsid w:val="00F72CF7"/>
    <w:rsid w:val="00F73E27"/>
    <w:rsid w:val="00F75028"/>
    <w:rsid w:val="00F81AE1"/>
    <w:rsid w:val="00F8527E"/>
    <w:rsid w:val="00F96075"/>
    <w:rsid w:val="00FA0759"/>
    <w:rsid w:val="00FA76F8"/>
    <w:rsid w:val="00FB06AD"/>
    <w:rsid w:val="00FC325D"/>
    <w:rsid w:val="00FC70DB"/>
    <w:rsid w:val="00FD1AD9"/>
    <w:rsid w:val="00FD665D"/>
    <w:rsid w:val="00FE1295"/>
    <w:rsid w:val="00FE4187"/>
    <w:rsid w:val="00FF1AB8"/>
    <w:rsid w:val="00FF4C4F"/>
    <w:rsid w:val="00FF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49F2"/>
  <w15:chartTrackingRefBased/>
  <w15:docId w15:val="{4841E64F-DF1C-5949-A2E2-84F64EF7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9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9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9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9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9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9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9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9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9BA"/>
    <w:rPr>
      <w:rFonts w:eastAsiaTheme="majorEastAsia" w:cstheme="majorBidi"/>
      <w:color w:val="272727" w:themeColor="text1" w:themeTint="D8"/>
    </w:rPr>
  </w:style>
  <w:style w:type="paragraph" w:styleId="Title">
    <w:name w:val="Title"/>
    <w:basedOn w:val="Normal"/>
    <w:next w:val="Normal"/>
    <w:link w:val="TitleChar"/>
    <w:uiPriority w:val="10"/>
    <w:qFormat/>
    <w:rsid w:val="003C1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9BA"/>
    <w:pPr>
      <w:spacing w:before="160"/>
      <w:jc w:val="center"/>
    </w:pPr>
    <w:rPr>
      <w:i/>
      <w:iCs/>
      <w:color w:val="404040" w:themeColor="text1" w:themeTint="BF"/>
    </w:rPr>
  </w:style>
  <w:style w:type="character" w:customStyle="1" w:styleId="QuoteChar">
    <w:name w:val="Quote Char"/>
    <w:basedOn w:val="DefaultParagraphFont"/>
    <w:link w:val="Quote"/>
    <w:uiPriority w:val="29"/>
    <w:rsid w:val="003C19BA"/>
    <w:rPr>
      <w:i/>
      <w:iCs/>
      <w:color w:val="404040" w:themeColor="text1" w:themeTint="BF"/>
    </w:rPr>
  </w:style>
  <w:style w:type="paragraph" w:styleId="ListParagraph">
    <w:name w:val="List Paragraph"/>
    <w:basedOn w:val="Normal"/>
    <w:uiPriority w:val="34"/>
    <w:qFormat/>
    <w:rsid w:val="003C19BA"/>
    <w:pPr>
      <w:ind w:left="720"/>
      <w:contextualSpacing/>
    </w:pPr>
  </w:style>
  <w:style w:type="character" w:styleId="IntenseEmphasis">
    <w:name w:val="Intense Emphasis"/>
    <w:basedOn w:val="DefaultParagraphFont"/>
    <w:uiPriority w:val="21"/>
    <w:qFormat/>
    <w:rsid w:val="003C19BA"/>
    <w:rPr>
      <w:i/>
      <w:iCs/>
      <w:color w:val="0F4761" w:themeColor="accent1" w:themeShade="BF"/>
    </w:rPr>
  </w:style>
  <w:style w:type="paragraph" w:styleId="IntenseQuote">
    <w:name w:val="Intense Quote"/>
    <w:basedOn w:val="Normal"/>
    <w:next w:val="Normal"/>
    <w:link w:val="IntenseQuoteChar"/>
    <w:uiPriority w:val="30"/>
    <w:qFormat/>
    <w:rsid w:val="003C1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9BA"/>
    <w:rPr>
      <w:i/>
      <w:iCs/>
      <w:color w:val="0F4761" w:themeColor="accent1" w:themeShade="BF"/>
    </w:rPr>
  </w:style>
  <w:style w:type="character" w:styleId="IntenseReference">
    <w:name w:val="Intense Reference"/>
    <w:basedOn w:val="DefaultParagraphFont"/>
    <w:uiPriority w:val="32"/>
    <w:qFormat/>
    <w:rsid w:val="003C19BA"/>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225A9"/>
    <w:pPr>
      <w:spacing w:after="0" w:line="240" w:lineRule="auto"/>
    </w:pPr>
  </w:style>
  <w:style w:type="paragraph" w:styleId="CommentSubject">
    <w:name w:val="annotation subject"/>
    <w:basedOn w:val="CommentText"/>
    <w:next w:val="CommentText"/>
    <w:link w:val="CommentSubjectChar"/>
    <w:uiPriority w:val="99"/>
    <w:semiHidden/>
    <w:unhideWhenUsed/>
    <w:rsid w:val="00E225A9"/>
    <w:rPr>
      <w:b/>
      <w:bCs/>
    </w:rPr>
  </w:style>
  <w:style w:type="character" w:customStyle="1" w:styleId="CommentSubjectChar">
    <w:name w:val="Comment Subject Char"/>
    <w:basedOn w:val="CommentTextChar"/>
    <w:link w:val="CommentSubject"/>
    <w:uiPriority w:val="99"/>
    <w:semiHidden/>
    <w:rsid w:val="00E225A9"/>
    <w:rPr>
      <w:b/>
      <w:bCs/>
      <w:sz w:val="20"/>
      <w:szCs w:val="20"/>
    </w:rPr>
  </w:style>
  <w:style w:type="table" w:styleId="TableGrid">
    <w:name w:val="Table Grid"/>
    <w:basedOn w:val="TableNormal"/>
    <w:uiPriority w:val="39"/>
    <w:rsid w:val="00165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43F595-79C6-1047-8769-459540662FA9}">
  <we:reference id="WA104382081" version="1.55.1.0" store="Omex" storeType="OMEX"/>
  <we:alternateReferences>
    <we:reference id="WA104382081" version="1.55.1.0" store="WA104382081" storeType="OMEX"/>
  </we:alternateReferences>
  <we:properties>
    <we:property name="MENDELEY_CITATIONS" valu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BAF1B-3EC0-5D4A-B3B3-FD3BDEDD9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23</Pages>
  <Words>2031</Words>
  <Characters>11579</Characters>
  <Application>Microsoft Office Word</Application>
  <DocSecurity>0</DocSecurity>
  <Lines>96</Lines>
  <Paragraphs>27</Paragraphs>
  <ScaleCrop>false</ScaleCrop>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 Yu</dc:creator>
  <cp:keywords/>
  <dc:description/>
  <cp:lastModifiedBy>Zhong, Yu</cp:lastModifiedBy>
  <cp:revision>510</cp:revision>
  <dcterms:created xsi:type="dcterms:W3CDTF">2026-05-09T01:17:00Z</dcterms:created>
  <dcterms:modified xsi:type="dcterms:W3CDTF">2026-09-11T14:14:00Z</dcterms:modified>
</cp:coreProperties>
</file>