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7CC26" w14:textId="77777777" w:rsidR="00E61930" w:rsidRDefault="00E61930" w:rsidP="00E61930">
      <w:pPr>
        <w:rPr>
          <w:b/>
          <w:bCs/>
        </w:rPr>
      </w:pPr>
      <w:bookmarkStart w:id="0" w:name="_Hlk240049800"/>
      <w:r w:rsidRPr="004C2A70">
        <w:rPr>
          <w:b/>
          <w:bCs/>
        </w:rPr>
        <w:t xml:space="preserve">Appendix </w:t>
      </w:r>
    </w:p>
    <w:p w14:paraId="4FFFB415" w14:textId="77777777" w:rsidR="00E61930" w:rsidRPr="004C2A70" w:rsidRDefault="00E61930" w:rsidP="00E61930">
      <w:pPr>
        <w:rPr>
          <w:b/>
          <w:bCs/>
        </w:rPr>
      </w:pPr>
      <w:r w:rsidRPr="004C2A70">
        <w:rPr>
          <w:b/>
          <w:bCs/>
        </w:rPr>
        <w:t>Appendix A. Data Sources and Variable Construction</w:t>
      </w:r>
    </w:p>
    <w:tbl>
      <w:tblPr>
        <w:tblStyle w:val="TableGridLight"/>
        <w:tblW w:w="0" w:type="auto"/>
        <w:tblLook w:val="04A0" w:firstRow="1" w:lastRow="0" w:firstColumn="1" w:lastColumn="0" w:noHBand="0" w:noVBand="1"/>
      </w:tblPr>
      <w:tblGrid>
        <w:gridCol w:w="858"/>
        <w:gridCol w:w="655"/>
        <w:gridCol w:w="963"/>
        <w:gridCol w:w="1077"/>
        <w:gridCol w:w="1463"/>
        <w:gridCol w:w="782"/>
        <w:gridCol w:w="1145"/>
        <w:gridCol w:w="774"/>
        <w:gridCol w:w="836"/>
        <w:gridCol w:w="797"/>
      </w:tblGrid>
      <w:tr w:rsidR="00E61930" w:rsidRPr="004C2A70" w14:paraId="3BFE90DF" w14:textId="77777777" w:rsidTr="00EA49E9">
        <w:tc>
          <w:tcPr>
            <w:tcW w:w="0" w:type="auto"/>
            <w:hideMark/>
          </w:tcPr>
          <w:p w14:paraId="1FAC6139" w14:textId="77777777" w:rsidR="00E61930" w:rsidRPr="004C2A70" w:rsidRDefault="00E61930" w:rsidP="00EA49E9">
            <w:pPr>
              <w:jc w:val="both"/>
              <w:rPr>
                <w:b/>
                <w:bCs/>
              </w:rPr>
            </w:pPr>
            <w:r w:rsidRPr="004C2A70">
              <w:rPr>
                <w:b/>
                <w:bCs/>
              </w:rPr>
              <w:t>Variable</w:t>
            </w:r>
          </w:p>
        </w:tc>
        <w:tc>
          <w:tcPr>
            <w:tcW w:w="0" w:type="auto"/>
            <w:hideMark/>
          </w:tcPr>
          <w:p w14:paraId="331A8825" w14:textId="77777777" w:rsidR="00E61930" w:rsidRPr="004C2A70" w:rsidRDefault="00E61930" w:rsidP="00EA49E9">
            <w:pPr>
              <w:jc w:val="both"/>
              <w:rPr>
                <w:b/>
                <w:bCs/>
              </w:rPr>
            </w:pPr>
            <w:r w:rsidRPr="004C2A70">
              <w:rPr>
                <w:b/>
                <w:bCs/>
              </w:rPr>
              <w:t>Symbol</w:t>
            </w:r>
          </w:p>
        </w:tc>
        <w:tc>
          <w:tcPr>
            <w:tcW w:w="0" w:type="auto"/>
            <w:hideMark/>
          </w:tcPr>
          <w:p w14:paraId="1BE5D560" w14:textId="77777777" w:rsidR="00E61930" w:rsidRPr="004C2A70" w:rsidRDefault="00E61930" w:rsidP="00EA49E9">
            <w:pPr>
              <w:jc w:val="both"/>
              <w:rPr>
                <w:b/>
                <w:bCs/>
              </w:rPr>
            </w:pPr>
            <w:r w:rsidRPr="004C2A70">
              <w:rPr>
                <w:b/>
                <w:bCs/>
              </w:rPr>
              <w:t>Definition</w:t>
            </w:r>
          </w:p>
        </w:tc>
        <w:tc>
          <w:tcPr>
            <w:tcW w:w="0" w:type="auto"/>
            <w:hideMark/>
          </w:tcPr>
          <w:p w14:paraId="5B3786DC" w14:textId="77777777" w:rsidR="00E61930" w:rsidRPr="004C2A70" w:rsidRDefault="00E61930" w:rsidP="00EA49E9">
            <w:pPr>
              <w:jc w:val="both"/>
              <w:rPr>
                <w:b/>
                <w:bCs/>
              </w:rPr>
            </w:pPr>
            <w:r w:rsidRPr="004C2A70">
              <w:rPr>
                <w:b/>
                <w:bCs/>
              </w:rPr>
              <w:t>Primary Source</w:t>
            </w:r>
          </w:p>
        </w:tc>
        <w:tc>
          <w:tcPr>
            <w:tcW w:w="0" w:type="auto"/>
            <w:hideMark/>
          </w:tcPr>
          <w:p w14:paraId="7C3D8E98" w14:textId="77777777" w:rsidR="00E61930" w:rsidRPr="004C2A70" w:rsidRDefault="00E61930" w:rsidP="00EA49E9">
            <w:pPr>
              <w:jc w:val="both"/>
              <w:rPr>
                <w:b/>
                <w:bCs/>
              </w:rPr>
            </w:pPr>
            <w:r w:rsidRPr="004C2A70">
              <w:rPr>
                <w:b/>
                <w:bCs/>
              </w:rPr>
              <w:t>Table/Series Code</w:t>
            </w:r>
          </w:p>
        </w:tc>
        <w:tc>
          <w:tcPr>
            <w:tcW w:w="0" w:type="auto"/>
            <w:hideMark/>
          </w:tcPr>
          <w:p w14:paraId="609453E7" w14:textId="77777777" w:rsidR="00E61930" w:rsidRPr="004C2A70" w:rsidRDefault="00E61930" w:rsidP="00EA49E9">
            <w:pPr>
              <w:jc w:val="both"/>
              <w:rPr>
                <w:b/>
                <w:bCs/>
              </w:rPr>
            </w:pPr>
            <w:r w:rsidRPr="004C2A70">
              <w:rPr>
                <w:b/>
                <w:bCs/>
              </w:rPr>
              <w:t>Unit</w:t>
            </w:r>
          </w:p>
        </w:tc>
        <w:tc>
          <w:tcPr>
            <w:tcW w:w="0" w:type="auto"/>
            <w:hideMark/>
          </w:tcPr>
          <w:p w14:paraId="3563BA55" w14:textId="77777777" w:rsidR="00E61930" w:rsidRPr="004C2A70" w:rsidRDefault="00E61930" w:rsidP="00EA49E9">
            <w:pPr>
              <w:jc w:val="both"/>
              <w:rPr>
                <w:b/>
                <w:bCs/>
              </w:rPr>
            </w:pPr>
            <w:r w:rsidRPr="004C2A70">
              <w:rPr>
                <w:b/>
                <w:bCs/>
              </w:rPr>
              <w:t>Transformation / Construction</w:t>
            </w:r>
          </w:p>
        </w:tc>
        <w:tc>
          <w:tcPr>
            <w:tcW w:w="0" w:type="auto"/>
            <w:hideMark/>
          </w:tcPr>
          <w:p w14:paraId="4DF01A8E" w14:textId="77777777" w:rsidR="00E61930" w:rsidRPr="004C2A70" w:rsidRDefault="00E61930" w:rsidP="00EA49E9">
            <w:pPr>
              <w:jc w:val="both"/>
              <w:rPr>
                <w:b/>
                <w:bCs/>
              </w:rPr>
            </w:pPr>
            <w:r w:rsidRPr="004C2A70">
              <w:rPr>
                <w:b/>
                <w:bCs/>
              </w:rPr>
              <w:t>Base Year</w:t>
            </w:r>
          </w:p>
        </w:tc>
        <w:tc>
          <w:tcPr>
            <w:tcW w:w="0" w:type="auto"/>
            <w:hideMark/>
          </w:tcPr>
          <w:p w14:paraId="0F37A4F6" w14:textId="77777777" w:rsidR="00E61930" w:rsidRPr="004C2A70" w:rsidRDefault="00E61930" w:rsidP="00EA49E9">
            <w:pPr>
              <w:jc w:val="both"/>
              <w:rPr>
                <w:b/>
                <w:bCs/>
              </w:rPr>
            </w:pPr>
            <w:r w:rsidRPr="004C2A70">
              <w:rPr>
                <w:b/>
                <w:bCs/>
              </w:rPr>
              <w:t>Frequency</w:t>
            </w:r>
          </w:p>
        </w:tc>
        <w:tc>
          <w:tcPr>
            <w:tcW w:w="0" w:type="auto"/>
            <w:hideMark/>
          </w:tcPr>
          <w:p w14:paraId="64C03001" w14:textId="77777777" w:rsidR="00E61930" w:rsidRPr="004C2A70" w:rsidRDefault="00E61930" w:rsidP="00EA49E9">
            <w:pPr>
              <w:jc w:val="both"/>
              <w:rPr>
                <w:b/>
                <w:bCs/>
              </w:rPr>
            </w:pPr>
            <w:r w:rsidRPr="004C2A70">
              <w:rPr>
                <w:b/>
                <w:bCs/>
              </w:rPr>
              <w:t>Retrieval Date</w:t>
            </w:r>
          </w:p>
        </w:tc>
      </w:tr>
      <w:tr w:rsidR="00E61930" w:rsidRPr="004C2A70" w14:paraId="0C152533" w14:textId="77777777" w:rsidTr="00EA49E9">
        <w:tc>
          <w:tcPr>
            <w:tcW w:w="0" w:type="auto"/>
            <w:hideMark/>
          </w:tcPr>
          <w:p w14:paraId="3008942D" w14:textId="77777777" w:rsidR="00E61930" w:rsidRPr="004C2A70" w:rsidRDefault="00E61930" w:rsidP="00EA49E9">
            <w:pPr>
              <w:jc w:val="both"/>
            </w:pPr>
            <w:r w:rsidRPr="004C2A70">
              <w:t>Private Investment</w:t>
            </w:r>
          </w:p>
        </w:tc>
        <w:tc>
          <w:tcPr>
            <w:tcW w:w="0" w:type="auto"/>
            <w:hideMark/>
          </w:tcPr>
          <w:p w14:paraId="54296208" w14:textId="77777777" w:rsidR="00E61930" w:rsidRPr="004C2A70" w:rsidRDefault="00E61930" w:rsidP="00EA49E9">
            <w:pPr>
              <w:jc w:val="both"/>
            </w:pPr>
            <w:r w:rsidRPr="004C2A70">
              <w:t>PI</w:t>
            </w:r>
          </w:p>
        </w:tc>
        <w:tc>
          <w:tcPr>
            <w:tcW w:w="0" w:type="auto"/>
            <w:hideMark/>
          </w:tcPr>
          <w:p w14:paraId="52A2A505" w14:textId="77777777" w:rsidR="00E61930" w:rsidRPr="004C2A70" w:rsidRDefault="00E61930" w:rsidP="00EA49E9">
            <w:pPr>
              <w:jc w:val="both"/>
            </w:pPr>
            <w:r w:rsidRPr="004C2A70">
              <w:t>Gross Fixed Capital Formation (GFCF) of Private Non-Financial Corporations; used as the study's proxy for aggregate private corporate investment in India</w:t>
            </w:r>
          </w:p>
        </w:tc>
        <w:tc>
          <w:tcPr>
            <w:tcW w:w="0" w:type="auto"/>
            <w:hideMark/>
          </w:tcPr>
          <w:p w14:paraId="44A1A208" w14:textId="77777777" w:rsidR="00E61930" w:rsidRPr="004C2A70" w:rsidRDefault="00E61930" w:rsidP="00EA49E9">
            <w:pPr>
              <w:jc w:val="both"/>
            </w:pPr>
            <w:r w:rsidRPr="004C2A70">
              <w:t>Ministry of Statistics and Programme Implementation (MoSPI), Government of India, National Accounts Statistics</w:t>
            </w:r>
          </w:p>
        </w:tc>
        <w:tc>
          <w:tcPr>
            <w:tcW w:w="0" w:type="auto"/>
            <w:hideMark/>
          </w:tcPr>
          <w:p w14:paraId="07D1F85B" w14:textId="77777777" w:rsidR="00E61930" w:rsidRPr="004C2A70" w:rsidRDefault="00E61930" w:rsidP="00EA49E9">
            <w:pPr>
              <w:jc w:val="both"/>
            </w:pPr>
            <w:r w:rsidRPr="004C2A70">
              <w:t>Statement 1.11: Gross Fixed Capital Formation by Asset and Institutional Sector at Current and Constant Prices</w:t>
            </w:r>
          </w:p>
        </w:tc>
        <w:tc>
          <w:tcPr>
            <w:tcW w:w="0" w:type="auto"/>
            <w:hideMark/>
          </w:tcPr>
          <w:p w14:paraId="1D3180AB" w14:textId="77777777" w:rsidR="00E61930" w:rsidRPr="004C2A70" w:rsidRDefault="00E61930" w:rsidP="00EA49E9">
            <w:pPr>
              <w:jc w:val="both"/>
            </w:pPr>
            <w:r w:rsidRPr="004C2A70">
              <w:t>₹ crore</w:t>
            </w:r>
          </w:p>
        </w:tc>
        <w:tc>
          <w:tcPr>
            <w:tcW w:w="0" w:type="auto"/>
            <w:hideMark/>
          </w:tcPr>
          <w:p w14:paraId="0F21F026" w14:textId="77777777" w:rsidR="00E61930" w:rsidRPr="004C2A70" w:rsidRDefault="00E61930" w:rsidP="00EA49E9">
            <w:pPr>
              <w:jc w:val="both"/>
            </w:pPr>
            <w:r w:rsidRPr="004C2A70">
              <w:t>Constant-price level series; no logarithmic or ratio transformation in descriptive analysis unless otherwise specified in the empirical methodology</w:t>
            </w:r>
          </w:p>
        </w:tc>
        <w:tc>
          <w:tcPr>
            <w:tcW w:w="0" w:type="auto"/>
            <w:hideMark/>
          </w:tcPr>
          <w:p w14:paraId="240694FC" w14:textId="77777777" w:rsidR="00E61930" w:rsidRPr="004C2A70" w:rsidRDefault="00E61930" w:rsidP="00EA49E9">
            <w:pPr>
              <w:jc w:val="both"/>
            </w:pPr>
            <w:r w:rsidRPr="004C2A70">
              <w:t>2011–12</w:t>
            </w:r>
          </w:p>
        </w:tc>
        <w:tc>
          <w:tcPr>
            <w:tcW w:w="0" w:type="auto"/>
            <w:hideMark/>
          </w:tcPr>
          <w:p w14:paraId="2B8E3D59" w14:textId="77777777" w:rsidR="00E61930" w:rsidRPr="004C2A70" w:rsidRDefault="00E61930" w:rsidP="00EA49E9">
            <w:pPr>
              <w:jc w:val="both"/>
            </w:pPr>
            <w:r w:rsidRPr="004C2A70">
              <w:t>Annual / Financial Year (April–March)</w:t>
            </w:r>
          </w:p>
        </w:tc>
        <w:tc>
          <w:tcPr>
            <w:tcW w:w="0" w:type="auto"/>
            <w:hideMark/>
          </w:tcPr>
          <w:p w14:paraId="0AD442D9" w14:textId="77777777" w:rsidR="00E61930" w:rsidRPr="004C2A70" w:rsidRDefault="00E61930" w:rsidP="00EA49E9">
            <w:pPr>
              <w:jc w:val="both"/>
            </w:pPr>
            <w:r w:rsidRPr="004C2A70">
              <w:t>11 September 2026</w:t>
            </w:r>
          </w:p>
        </w:tc>
      </w:tr>
      <w:tr w:rsidR="00E61930" w:rsidRPr="004C2A70" w14:paraId="7799AF3E" w14:textId="77777777" w:rsidTr="00EA49E9">
        <w:tc>
          <w:tcPr>
            <w:tcW w:w="0" w:type="auto"/>
            <w:hideMark/>
          </w:tcPr>
          <w:p w14:paraId="2240C901" w14:textId="77777777" w:rsidR="00E61930" w:rsidRPr="004C2A70" w:rsidRDefault="00E61930" w:rsidP="00EA49E9">
            <w:pPr>
              <w:jc w:val="both"/>
            </w:pPr>
            <w:r w:rsidRPr="004C2A70">
              <w:t>Economic Policy Uncertainty</w:t>
            </w:r>
          </w:p>
        </w:tc>
        <w:tc>
          <w:tcPr>
            <w:tcW w:w="0" w:type="auto"/>
            <w:hideMark/>
          </w:tcPr>
          <w:p w14:paraId="2A6BFD09" w14:textId="77777777" w:rsidR="00E61930" w:rsidRPr="004C2A70" w:rsidRDefault="00E61930" w:rsidP="00EA49E9">
            <w:pPr>
              <w:jc w:val="both"/>
            </w:pPr>
            <w:r w:rsidRPr="004C2A70">
              <w:t>EPU</w:t>
            </w:r>
          </w:p>
        </w:tc>
        <w:tc>
          <w:tcPr>
            <w:tcW w:w="0" w:type="auto"/>
            <w:hideMark/>
          </w:tcPr>
          <w:p w14:paraId="0BD71BAA" w14:textId="77777777" w:rsidR="00E61930" w:rsidRPr="004C2A70" w:rsidRDefault="00E61930" w:rsidP="00EA49E9">
            <w:pPr>
              <w:jc w:val="both"/>
            </w:pPr>
            <w:r w:rsidRPr="004C2A70">
              <w:t xml:space="preserve">India Economic Policy Uncertainty Index, </w:t>
            </w:r>
            <w:r w:rsidRPr="004C2A70">
              <w:lastRenderedPageBreak/>
              <w:t>measuring newspaper-based economic policy uncertainty</w:t>
            </w:r>
          </w:p>
        </w:tc>
        <w:tc>
          <w:tcPr>
            <w:tcW w:w="0" w:type="auto"/>
            <w:hideMark/>
          </w:tcPr>
          <w:p w14:paraId="564CF09E" w14:textId="77777777" w:rsidR="00E61930" w:rsidRPr="004C2A70" w:rsidRDefault="00E61930" w:rsidP="00EA49E9">
            <w:pPr>
              <w:jc w:val="both"/>
            </w:pPr>
            <w:r w:rsidRPr="004C2A70">
              <w:lastRenderedPageBreak/>
              <w:t xml:space="preserve">Baker, Bloom and Davis; accessed through the </w:t>
            </w:r>
            <w:r w:rsidRPr="004C2A70">
              <w:lastRenderedPageBreak/>
              <w:t>Federal Reserve Bank of St. Louis (FRED)</w:t>
            </w:r>
          </w:p>
        </w:tc>
        <w:tc>
          <w:tcPr>
            <w:tcW w:w="0" w:type="auto"/>
            <w:hideMark/>
          </w:tcPr>
          <w:p w14:paraId="60B7CF83" w14:textId="77777777" w:rsidR="00E61930" w:rsidRPr="004C2A70" w:rsidRDefault="00E61930" w:rsidP="00EA49E9">
            <w:pPr>
              <w:jc w:val="both"/>
            </w:pPr>
            <w:r w:rsidRPr="004C2A70">
              <w:lastRenderedPageBreak/>
              <w:t>INDEPUINDXM</w:t>
            </w:r>
          </w:p>
        </w:tc>
        <w:tc>
          <w:tcPr>
            <w:tcW w:w="0" w:type="auto"/>
            <w:hideMark/>
          </w:tcPr>
          <w:p w14:paraId="06A0C6EF" w14:textId="77777777" w:rsidR="00E61930" w:rsidRPr="004C2A70" w:rsidRDefault="00E61930" w:rsidP="00EA49E9">
            <w:pPr>
              <w:jc w:val="both"/>
            </w:pPr>
            <w:r w:rsidRPr="004C2A70">
              <w:t>Index, not seasonally adjusted</w:t>
            </w:r>
          </w:p>
        </w:tc>
        <w:tc>
          <w:tcPr>
            <w:tcW w:w="0" w:type="auto"/>
            <w:hideMark/>
          </w:tcPr>
          <w:p w14:paraId="60FC7957" w14:textId="77777777" w:rsidR="00E61930" w:rsidRPr="004C2A70" w:rsidRDefault="00E61930" w:rsidP="00EA49E9">
            <w:pPr>
              <w:jc w:val="both"/>
            </w:pPr>
            <w:r w:rsidRPr="004C2A70">
              <w:t xml:space="preserve">Monthly observations were aggregated into April–March </w:t>
            </w:r>
            <w:r w:rsidRPr="004C2A70">
              <w:lastRenderedPageBreak/>
              <w:t>financial-year averages to align the EPU series with India's National Accounts financial-year convention</w:t>
            </w:r>
            <w:r>
              <w:t>.</w:t>
            </w:r>
          </w:p>
        </w:tc>
        <w:tc>
          <w:tcPr>
            <w:tcW w:w="0" w:type="auto"/>
            <w:hideMark/>
          </w:tcPr>
          <w:p w14:paraId="50C7F97D" w14:textId="77777777" w:rsidR="00E61930" w:rsidRPr="004C2A70" w:rsidRDefault="00E61930" w:rsidP="00EA49E9">
            <w:pPr>
              <w:jc w:val="both"/>
            </w:pPr>
            <w:r w:rsidRPr="004C2A70">
              <w:lastRenderedPageBreak/>
              <w:t xml:space="preserve">Index series; no National Accounts </w:t>
            </w:r>
            <w:r w:rsidRPr="004C2A70">
              <w:lastRenderedPageBreak/>
              <w:t>price base applicable</w:t>
            </w:r>
          </w:p>
        </w:tc>
        <w:tc>
          <w:tcPr>
            <w:tcW w:w="0" w:type="auto"/>
            <w:hideMark/>
          </w:tcPr>
          <w:p w14:paraId="22BB060E" w14:textId="77777777" w:rsidR="00E61930" w:rsidRPr="004C2A70" w:rsidRDefault="00E61930" w:rsidP="00EA49E9">
            <w:pPr>
              <w:jc w:val="both"/>
            </w:pPr>
            <w:r w:rsidRPr="004C2A70">
              <w:lastRenderedPageBreak/>
              <w:t>Monthly → Annual / Financ</w:t>
            </w:r>
            <w:r w:rsidRPr="004C2A70">
              <w:lastRenderedPageBreak/>
              <w:t>ial Year</w:t>
            </w:r>
          </w:p>
        </w:tc>
        <w:tc>
          <w:tcPr>
            <w:tcW w:w="0" w:type="auto"/>
            <w:hideMark/>
          </w:tcPr>
          <w:p w14:paraId="7BE41229" w14:textId="77777777" w:rsidR="00E61930" w:rsidRPr="004C2A70" w:rsidRDefault="00E61930" w:rsidP="00EA49E9">
            <w:pPr>
              <w:jc w:val="both"/>
            </w:pPr>
            <w:r w:rsidRPr="004C2A70">
              <w:lastRenderedPageBreak/>
              <w:t>11 September 2026</w:t>
            </w:r>
          </w:p>
        </w:tc>
      </w:tr>
      <w:tr w:rsidR="00E61930" w:rsidRPr="004C2A70" w14:paraId="3E311EF9" w14:textId="77777777" w:rsidTr="00EA49E9">
        <w:tc>
          <w:tcPr>
            <w:tcW w:w="0" w:type="auto"/>
            <w:hideMark/>
          </w:tcPr>
          <w:p w14:paraId="5DE4E392" w14:textId="77777777" w:rsidR="00E61930" w:rsidRPr="004C2A70" w:rsidRDefault="00E61930" w:rsidP="00EA49E9">
            <w:pPr>
              <w:jc w:val="both"/>
            </w:pPr>
            <w:r w:rsidRPr="004C2A70">
              <w:t>Real Gross Domestic Product</w:t>
            </w:r>
          </w:p>
        </w:tc>
        <w:tc>
          <w:tcPr>
            <w:tcW w:w="0" w:type="auto"/>
            <w:hideMark/>
          </w:tcPr>
          <w:p w14:paraId="30FB303B" w14:textId="77777777" w:rsidR="00E61930" w:rsidRPr="004C2A70" w:rsidRDefault="00E61930" w:rsidP="00EA49E9">
            <w:pPr>
              <w:jc w:val="both"/>
            </w:pPr>
            <w:r w:rsidRPr="004C2A70">
              <w:t>GDP</w:t>
            </w:r>
          </w:p>
        </w:tc>
        <w:tc>
          <w:tcPr>
            <w:tcW w:w="0" w:type="auto"/>
            <w:hideMark/>
          </w:tcPr>
          <w:p w14:paraId="2F761942" w14:textId="77777777" w:rsidR="00E61930" w:rsidRPr="004C2A70" w:rsidRDefault="00E61930" w:rsidP="00EA49E9">
            <w:pPr>
              <w:jc w:val="both"/>
            </w:pPr>
            <w:r w:rsidRPr="004C2A70">
              <w:t>Real Gross Domestic Product, used as an indicator of aggregate economic activity</w:t>
            </w:r>
          </w:p>
        </w:tc>
        <w:tc>
          <w:tcPr>
            <w:tcW w:w="0" w:type="auto"/>
            <w:hideMark/>
          </w:tcPr>
          <w:p w14:paraId="60B3B9F0" w14:textId="77777777" w:rsidR="00E61930" w:rsidRPr="004C2A70" w:rsidRDefault="00E61930" w:rsidP="00EA49E9">
            <w:pPr>
              <w:jc w:val="both"/>
            </w:pPr>
            <w:r w:rsidRPr="004C2A70">
              <w:t>Ministry of Statistics and Programme Implementation (MoSPI), Government of India, National Accounts Statistics</w:t>
            </w:r>
          </w:p>
        </w:tc>
        <w:tc>
          <w:tcPr>
            <w:tcW w:w="0" w:type="auto"/>
            <w:hideMark/>
          </w:tcPr>
          <w:p w14:paraId="69F11888" w14:textId="77777777" w:rsidR="00E61930" w:rsidRPr="004C2A70" w:rsidRDefault="00E61930" w:rsidP="00EA49E9">
            <w:pPr>
              <w:jc w:val="both"/>
            </w:pPr>
            <w:r w:rsidRPr="004C2A70">
              <w:t>Official National Accounts constant-price GDP series</w:t>
            </w:r>
          </w:p>
        </w:tc>
        <w:tc>
          <w:tcPr>
            <w:tcW w:w="0" w:type="auto"/>
            <w:hideMark/>
          </w:tcPr>
          <w:p w14:paraId="61470C45" w14:textId="77777777" w:rsidR="00E61930" w:rsidRPr="004C2A70" w:rsidRDefault="00E61930" w:rsidP="00EA49E9">
            <w:pPr>
              <w:jc w:val="both"/>
            </w:pPr>
            <w:r w:rsidRPr="004C2A70">
              <w:t>₹ crore</w:t>
            </w:r>
          </w:p>
        </w:tc>
        <w:tc>
          <w:tcPr>
            <w:tcW w:w="0" w:type="auto"/>
            <w:hideMark/>
          </w:tcPr>
          <w:p w14:paraId="7DAE9E5C" w14:textId="77777777" w:rsidR="00E61930" w:rsidRPr="004C2A70" w:rsidRDefault="00E61930" w:rsidP="00EA49E9">
            <w:pPr>
              <w:jc w:val="both"/>
            </w:pPr>
            <w:r w:rsidRPr="004C2A70">
              <w:t>Constant-price level series corresponding to the National Accounts base-year framework used in the study</w:t>
            </w:r>
          </w:p>
        </w:tc>
        <w:tc>
          <w:tcPr>
            <w:tcW w:w="0" w:type="auto"/>
            <w:hideMark/>
          </w:tcPr>
          <w:p w14:paraId="2EFE33D2" w14:textId="77777777" w:rsidR="00E61930" w:rsidRPr="004C2A70" w:rsidRDefault="00E61930" w:rsidP="00EA49E9">
            <w:pPr>
              <w:jc w:val="both"/>
            </w:pPr>
            <w:r w:rsidRPr="004C2A70">
              <w:t>2011–12</w:t>
            </w:r>
          </w:p>
        </w:tc>
        <w:tc>
          <w:tcPr>
            <w:tcW w:w="0" w:type="auto"/>
            <w:hideMark/>
          </w:tcPr>
          <w:p w14:paraId="6916D7A1" w14:textId="77777777" w:rsidR="00E61930" w:rsidRPr="004C2A70" w:rsidRDefault="00E61930" w:rsidP="00EA49E9">
            <w:pPr>
              <w:jc w:val="both"/>
            </w:pPr>
            <w:r w:rsidRPr="004C2A70">
              <w:t>Annual / Financial Year</w:t>
            </w:r>
          </w:p>
        </w:tc>
        <w:tc>
          <w:tcPr>
            <w:tcW w:w="0" w:type="auto"/>
            <w:hideMark/>
          </w:tcPr>
          <w:p w14:paraId="2C5B1B40" w14:textId="77777777" w:rsidR="00E61930" w:rsidRPr="004C2A70" w:rsidRDefault="00E61930" w:rsidP="00EA49E9">
            <w:pPr>
              <w:jc w:val="both"/>
            </w:pPr>
            <w:r w:rsidRPr="004C2A70">
              <w:t>11 September 2026</w:t>
            </w:r>
          </w:p>
        </w:tc>
      </w:tr>
      <w:tr w:rsidR="00E61930" w:rsidRPr="004C2A70" w14:paraId="5B2E7584" w14:textId="77777777" w:rsidTr="00EA49E9">
        <w:tc>
          <w:tcPr>
            <w:tcW w:w="0" w:type="auto"/>
            <w:hideMark/>
          </w:tcPr>
          <w:p w14:paraId="7D7DFD30" w14:textId="77777777" w:rsidR="00E61930" w:rsidRPr="004C2A70" w:rsidRDefault="00E61930" w:rsidP="00EA49E9">
            <w:pPr>
              <w:jc w:val="both"/>
            </w:pPr>
            <w:r w:rsidRPr="004C2A70">
              <w:t>Real Interest Rate</w:t>
            </w:r>
          </w:p>
        </w:tc>
        <w:tc>
          <w:tcPr>
            <w:tcW w:w="0" w:type="auto"/>
            <w:hideMark/>
          </w:tcPr>
          <w:p w14:paraId="65670642" w14:textId="77777777" w:rsidR="00E61930" w:rsidRPr="004C2A70" w:rsidRDefault="00E61930" w:rsidP="00EA49E9">
            <w:pPr>
              <w:jc w:val="both"/>
            </w:pPr>
            <w:r w:rsidRPr="004C2A70">
              <w:t>R</w:t>
            </w:r>
          </w:p>
        </w:tc>
        <w:tc>
          <w:tcPr>
            <w:tcW w:w="0" w:type="auto"/>
            <w:hideMark/>
          </w:tcPr>
          <w:p w14:paraId="3C67FA81" w14:textId="77777777" w:rsidR="00E61930" w:rsidRPr="004C2A70" w:rsidRDefault="00E61930" w:rsidP="00EA49E9">
            <w:pPr>
              <w:jc w:val="both"/>
            </w:pPr>
            <w:r w:rsidRPr="004C2A70">
              <w:t xml:space="preserve">Real lending interest rate adjusted for inflation measured using the </w:t>
            </w:r>
            <w:r w:rsidRPr="004C2A70">
              <w:lastRenderedPageBreak/>
              <w:t>GDP deflator</w:t>
            </w:r>
            <w:r>
              <w:t>.</w:t>
            </w:r>
          </w:p>
        </w:tc>
        <w:tc>
          <w:tcPr>
            <w:tcW w:w="0" w:type="auto"/>
            <w:hideMark/>
          </w:tcPr>
          <w:p w14:paraId="7C01E93F" w14:textId="77777777" w:rsidR="00E61930" w:rsidRPr="004C2A70" w:rsidRDefault="00E61930" w:rsidP="00EA49E9">
            <w:pPr>
              <w:jc w:val="both"/>
            </w:pPr>
            <w:r w:rsidRPr="004C2A70">
              <w:lastRenderedPageBreak/>
              <w:t xml:space="preserve">World Development Indicators (WDI), World Bank; underlying source: International Financial </w:t>
            </w:r>
            <w:r w:rsidRPr="004C2A70">
              <w:lastRenderedPageBreak/>
              <w:t>Statistics (IMF)</w:t>
            </w:r>
          </w:p>
        </w:tc>
        <w:tc>
          <w:tcPr>
            <w:tcW w:w="0" w:type="auto"/>
            <w:hideMark/>
          </w:tcPr>
          <w:p w14:paraId="705E138A" w14:textId="77777777" w:rsidR="00E61930" w:rsidRPr="004C2A70" w:rsidRDefault="00E61930" w:rsidP="00EA49E9">
            <w:pPr>
              <w:jc w:val="both"/>
            </w:pPr>
            <w:r w:rsidRPr="004C2A70">
              <w:lastRenderedPageBreak/>
              <w:t>FR.INR.RINR</w:t>
            </w:r>
          </w:p>
        </w:tc>
        <w:tc>
          <w:tcPr>
            <w:tcW w:w="0" w:type="auto"/>
            <w:hideMark/>
          </w:tcPr>
          <w:p w14:paraId="6420867F" w14:textId="77777777" w:rsidR="00E61930" w:rsidRPr="004C2A70" w:rsidRDefault="00E61930" w:rsidP="00EA49E9">
            <w:pPr>
              <w:jc w:val="both"/>
            </w:pPr>
            <w:r w:rsidRPr="004C2A70">
              <w:t>Percent (%)</w:t>
            </w:r>
          </w:p>
        </w:tc>
        <w:tc>
          <w:tcPr>
            <w:tcW w:w="0" w:type="auto"/>
            <w:hideMark/>
          </w:tcPr>
          <w:p w14:paraId="4ED4AF98" w14:textId="77777777" w:rsidR="00E61930" w:rsidRPr="004C2A70" w:rsidRDefault="00E61930" w:rsidP="00EA49E9">
            <w:pPr>
              <w:jc w:val="both"/>
            </w:pPr>
            <w:r w:rsidRPr="004C2A70">
              <w:t>Used as reported by the source; no additional transformation</w:t>
            </w:r>
          </w:p>
        </w:tc>
        <w:tc>
          <w:tcPr>
            <w:tcW w:w="0" w:type="auto"/>
            <w:hideMark/>
          </w:tcPr>
          <w:p w14:paraId="506144EA" w14:textId="77777777" w:rsidR="00E61930" w:rsidRPr="004C2A70" w:rsidRDefault="00E61930" w:rsidP="00EA49E9">
            <w:pPr>
              <w:jc w:val="both"/>
            </w:pPr>
            <w:r w:rsidRPr="004C2A70">
              <w:t>Not applicable</w:t>
            </w:r>
          </w:p>
        </w:tc>
        <w:tc>
          <w:tcPr>
            <w:tcW w:w="0" w:type="auto"/>
            <w:hideMark/>
          </w:tcPr>
          <w:p w14:paraId="3E9DB806" w14:textId="77777777" w:rsidR="00E61930" w:rsidRPr="004C2A70" w:rsidRDefault="00E61930" w:rsidP="00EA49E9">
            <w:pPr>
              <w:jc w:val="both"/>
            </w:pPr>
            <w:r w:rsidRPr="004C2A70">
              <w:t>Annual / Calendar Year</w:t>
            </w:r>
          </w:p>
        </w:tc>
        <w:tc>
          <w:tcPr>
            <w:tcW w:w="0" w:type="auto"/>
            <w:hideMark/>
          </w:tcPr>
          <w:p w14:paraId="43A9910D" w14:textId="77777777" w:rsidR="00E61930" w:rsidRPr="004C2A70" w:rsidRDefault="00E61930" w:rsidP="00EA49E9">
            <w:pPr>
              <w:jc w:val="both"/>
            </w:pPr>
            <w:r w:rsidRPr="004C2A70">
              <w:t>11 September 2026</w:t>
            </w:r>
          </w:p>
        </w:tc>
      </w:tr>
      <w:tr w:rsidR="00E61930" w:rsidRPr="004C2A70" w14:paraId="1E21C7E1" w14:textId="77777777" w:rsidTr="00EA49E9">
        <w:tc>
          <w:tcPr>
            <w:tcW w:w="0" w:type="auto"/>
            <w:hideMark/>
          </w:tcPr>
          <w:p w14:paraId="205F21F8" w14:textId="77777777" w:rsidR="00E61930" w:rsidRPr="004C2A70" w:rsidRDefault="00E61930" w:rsidP="00EA49E9">
            <w:pPr>
              <w:jc w:val="both"/>
            </w:pPr>
            <w:r w:rsidRPr="004C2A70">
              <w:t>Private Credit</w:t>
            </w:r>
          </w:p>
        </w:tc>
        <w:tc>
          <w:tcPr>
            <w:tcW w:w="0" w:type="auto"/>
            <w:hideMark/>
          </w:tcPr>
          <w:p w14:paraId="7CA6F8D6" w14:textId="77777777" w:rsidR="00E61930" w:rsidRPr="004C2A70" w:rsidRDefault="00E61930" w:rsidP="00EA49E9">
            <w:pPr>
              <w:jc w:val="both"/>
            </w:pPr>
            <w:r w:rsidRPr="004C2A70">
              <w:t>CR</w:t>
            </w:r>
          </w:p>
        </w:tc>
        <w:tc>
          <w:tcPr>
            <w:tcW w:w="0" w:type="auto"/>
            <w:hideMark/>
          </w:tcPr>
          <w:p w14:paraId="2CA53077" w14:textId="77777777" w:rsidR="00E61930" w:rsidRPr="004C2A70" w:rsidRDefault="00E61930" w:rsidP="00EA49E9">
            <w:pPr>
              <w:jc w:val="both"/>
            </w:pPr>
            <w:r w:rsidRPr="004C2A70">
              <w:t>Domestic credit to the private sector provided by financial corporations, expressed as a percentage of GDP</w:t>
            </w:r>
          </w:p>
        </w:tc>
        <w:tc>
          <w:tcPr>
            <w:tcW w:w="0" w:type="auto"/>
            <w:hideMark/>
          </w:tcPr>
          <w:p w14:paraId="58410F7C" w14:textId="77777777" w:rsidR="00E61930" w:rsidRPr="004C2A70" w:rsidRDefault="00E61930" w:rsidP="00EA49E9">
            <w:pPr>
              <w:jc w:val="both"/>
            </w:pPr>
            <w:r w:rsidRPr="004C2A70">
              <w:t>World Development Indicators (WDI), World Bank</w:t>
            </w:r>
          </w:p>
        </w:tc>
        <w:tc>
          <w:tcPr>
            <w:tcW w:w="0" w:type="auto"/>
            <w:hideMark/>
          </w:tcPr>
          <w:p w14:paraId="52FBE21C" w14:textId="77777777" w:rsidR="00E61930" w:rsidRPr="004C2A70" w:rsidRDefault="00E61930" w:rsidP="00EA49E9">
            <w:pPr>
              <w:jc w:val="both"/>
            </w:pPr>
            <w:r w:rsidRPr="004C2A70">
              <w:t>FS.AST.PRVT.GD.ZS</w:t>
            </w:r>
          </w:p>
        </w:tc>
        <w:tc>
          <w:tcPr>
            <w:tcW w:w="0" w:type="auto"/>
            <w:hideMark/>
          </w:tcPr>
          <w:p w14:paraId="241E32C0" w14:textId="77777777" w:rsidR="00E61930" w:rsidRPr="004C2A70" w:rsidRDefault="00E61930" w:rsidP="00EA49E9">
            <w:pPr>
              <w:jc w:val="both"/>
            </w:pPr>
            <w:r w:rsidRPr="004C2A70">
              <w:t>Percent of GDP (%)</w:t>
            </w:r>
          </w:p>
        </w:tc>
        <w:tc>
          <w:tcPr>
            <w:tcW w:w="0" w:type="auto"/>
            <w:hideMark/>
          </w:tcPr>
          <w:p w14:paraId="358DBCC7" w14:textId="77777777" w:rsidR="00E61930" w:rsidRPr="004C2A70" w:rsidRDefault="00E61930" w:rsidP="00EA49E9">
            <w:pPr>
              <w:jc w:val="both"/>
            </w:pPr>
            <w:r w:rsidRPr="004C2A70">
              <w:t>Used as reported by the source</w:t>
            </w:r>
          </w:p>
        </w:tc>
        <w:tc>
          <w:tcPr>
            <w:tcW w:w="0" w:type="auto"/>
            <w:hideMark/>
          </w:tcPr>
          <w:p w14:paraId="198FEDA5" w14:textId="77777777" w:rsidR="00E61930" w:rsidRPr="004C2A70" w:rsidRDefault="00E61930" w:rsidP="00EA49E9">
            <w:pPr>
              <w:jc w:val="both"/>
            </w:pPr>
            <w:r w:rsidRPr="004C2A70">
              <w:t>Not applicable</w:t>
            </w:r>
          </w:p>
        </w:tc>
        <w:tc>
          <w:tcPr>
            <w:tcW w:w="0" w:type="auto"/>
            <w:hideMark/>
          </w:tcPr>
          <w:p w14:paraId="419C9421" w14:textId="77777777" w:rsidR="00E61930" w:rsidRPr="004C2A70" w:rsidRDefault="00E61930" w:rsidP="00EA49E9">
            <w:pPr>
              <w:jc w:val="both"/>
            </w:pPr>
            <w:r w:rsidRPr="004C2A70">
              <w:t>Annual / Calendar Year</w:t>
            </w:r>
          </w:p>
        </w:tc>
        <w:tc>
          <w:tcPr>
            <w:tcW w:w="0" w:type="auto"/>
            <w:hideMark/>
          </w:tcPr>
          <w:p w14:paraId="2EEB90E1" w14:textId="77777777" w:rsidR="00E61930" w:rsidRPr="004C2A70" w:rsidRDefault="00E61930" w:rsidP="00EA49E9">
            <w:pPr>
              <w:jc w:val="both"/>
            </w:pPr>
            <w:r w:rsidRPr="004C2A70">
              <w:t>11 September 2026</w:t>
            </w:r>
          </w:p>
        </w:tc>
      </w:tr>
      <w:tr w:rsidR="00E61930" w:rsidRPr="004C2A70" w14:paraId="6F1F22D7" w14:textId="77777777" w:rsidTr="00EA49E9">
        <w:tc>
          <w:tcPr>
            <w:tcW w:w="0" w:type="auto"/>
            <w:hideMark/>
          </w:tcPr>
          <w:p w14:paraId="10FDC8CD" w14:textId="77777777" w:rsidR="00E61930" w:rsidRPr="004C2A70" w:rsidRDefault="00E61930" w:rsidP="00EA49E9">
            <w:pPr>
              <w:jc w:val="both"/>
            </w:pPr>
            <w:r w:rsidRPr="004C2A70">
              <w:t>Public Investment</w:t>
            </w:r>
          </w:p>
        </w:tc>
        <w:tc>
          <w:tcPr>
            <w:tcW w:w="0" w:type="auto"/>
            <w:hideMark/>
          </w:tcPr>
          <w:p w14:paraId="730D0D94" w14:textId="77777777" w:rsidR="00E61930" w:rsidRPr="004C2A70" w:rsidRDefault="00E61930" w:rsidP="00EA49E9">
            <w:pPr>
              <w:jc w:val="both"/>
            </w:pPr>
            <w:r w:rsidRPr="004C2A70">
              <w:t>PUBI</w:t>
            </w:r>
          </w:p>
        </w:tc>
        <w:tc>
          <w:tcPr>
            <w:tcW w:w="0" w:type="auto"/>
            <w:hideMark/>
          </w:tcPr>
          <w:p w14:paraId="56CECDF1" w14:textId="77777777" w:rsidR="00E61930" w:rsidRPr="004C2A70" w:rsidRDefault="00E61930" w:rsidP="00EA49E9">
            <w:pPr>
              <w:jc w:val="both"/>
            </w:pPr>
            <w:r w:rsidRPr="004C2A70">
              <w:t>Gross Fixed Capital Formation (GFCF) of the public institutional sector, used as the proxy for public investment</w:t>
            </w:r>
          </w:p>
        </w:tc>
        <w:tc>
          <w:tcPr>
            <w:tcW w:w="0" w:type="auto"/>
            <w:hideMark/>
          </w:tcPr>
          <w:p w14:paraId="56BF7509" w14:textId="77777777" w:rsidR="00E61930" w:rsidRPr="004C2A70" w:rsidRDefault="00E61930" w:rsidP="00EA49E9">
            <w:pPr>
              <w:jc w:val="both"/>
            </w:pPr>
            <w:r w:rsidRPr="004C2A70">
              <w:t>Ministry of Statistics and Programme Implementation (MoSPI), Government of India, National Accounts Statistics</w:t>
            </w:r>
          </w:p>
        </w:tc>
        <w:tc>
          <w:tcPr>
            <w:tcW w:w="0" w:type="auto"/>
            <w:hideMark/>
          </w:tcPr>
          <w:p w14:paraId="09F9B5FC" w14:textId="77777777" w:rsidR="00E61930" w:rsidRPr="004C2A70" w:rsidRDefault="00E61930" w:rsidP="00EA49E9">
            <w:pPr>
              <w:jc w:val="both"/>
            </w:pPr>
            <w:r w:rsidRPr="004C2A70">
              <w:t>Statement 1.11: Gross Fixed Capital Formation by Asset and Institutional Sector at Current and Constant Prices</w:t>
            </w:r>
          </w:p>
        </w:tc>
        <w:tc>
          <w:tcPr>
            <w:tcW w:w="0" w:type="auto"/>
            <w:hideMark/>
          </w:tcPr>
          <w:p w14:paraId="4BC7449C" w14:textId="77777777" w:rsidR="00E61930" w:rsidRPr="004C2A70" w:rsidRDefault="00E61930" w:rsidP="00EA49E9">
            <w:pPr>
              <w:jc w:val="both"/>
            </w:pPr>
            <w:r w:rsidRPr="004C2A70">
              <w:t>₹ crore</w:t>
            </w:r>
          </w:p>
        </w:tc>
        <w:tc>
          <w:tcPr>
            <w:tcW w:w="0" w:type="auto"/>
            <w:hideMark/>
          </w:tcPr>
          <w:p w14:paraId="369FFA20" w14:textId="77777777" w:rsidR="00E61930" w:rsidRPr="004C2A70" w:rsidRDefault="00E61930" w:rsidP="00EA49E9">
            <w:pPr>
              <w:jc w:val="both"/>
            </w:pPr>
            <w:r w:rsidRPr="004C2A70">
              <w:t>Constant-price level series; institutional-sector measure corresponding to the public sector reported in the National Accounts</w:t>
            </w:r>
          </w:p>
        </w:tc>
        <w:tc>
          <w:tcPr>
            <w:tcW w:w="0" w:type="auto"/>
            <w:hideMark/>
          </w:tcPr>
          <w:p w14:paraId="324B7538" w14:textId="77777777" w:rsidR="00E61930" w:rsidRPr="004C2A70" w:rsidRDefault="00E61930" w:rsidP="00EA49E9">
            <w:pPr>
              <w:jc w:val="both"/>
            </w:pPr>
            <w:r w:rsidRPr="004C2A70">
              <w:t>2011–12</w:t>
            </w:r>
          </w:p>
        </w:tc>
        <w:tc>
          <w:tcPr>
            <w:tcW w:w="0" w:type="auto"/>
            <w:hideMark/>
          </w:tcPr>
          <w:p w14:paraId="13DCA5C9" w14:textId="77777777" w:rsidR="00E61930" w:rsidRPr="004C2A70" w:rsidRDefault="00E61930" w:rsidP="00EA49E9">
            <w:pPr>
              <w:jc w:val="both"/>
            </w:pPr>
            <w:r w:rsidRPr="004C2A70">
              <w:t>Annual / Financial Year</w:t>
            </w:r>
          </w:p>
        </w:tc>
        <w:tc>
          <w:tcPr>
            <w:tcW w:w="0" w:type="auto"/>
            <w:hideMark/>
          </w:tcPr>
          <w:p w14:paraId="12D0CB97" w14:textId="77777777" w:rsidR="00E61930" w:rsidRPr="004C2A70" w:rsidRDefault="00E61930" w:rsidP="00EA49E9">
            <w:pPr>
              <w:jc w:val="both"/>
            </w:pPr>
            <w:r w:rsidRPr="004C2A70">
              <w:t>11 September 2026</w:t>
            </w:r>
          </w:p>
        </w:tc>
      </w:tr>
    </w:tbl>
    <w:p w14:paraId="18887AC8" w14:textId="77777777" w:rsidR="00E61930" w:rsidRDefault="00E61930" w:rsidP="00E61930">
      <w:pPr>
        <w:jc w:val="both"/>
        <w:rPr>
          <w:b/>
          <w:bCs/>
        </w:rPr>
      </w:pPr>
    </w:p>
    <w:p w14:paraId="46DB1B0E" w14:textId="77777777" w:rsidR="00E61930" w:rsidRPr="004C2A70" w:rsidRDefault="00E61930" w:rsidP="00E61930">
      <w:pPr>
        <w:jc w:val="both"/>
        <w:rPr>
          <w:b/>
          <w:bCs/>
        </w:rPr>
      </w:pPr>
      <w:r w:rsidRPr="004C2A70">
        <w:rPr>
          <w:b/>
          <w:bCs/>
        </w:rPr>
        <w:t>Notes on Data Construction</w:t>
      </w:r>
    </w:p>
    <w:p w14:paraId="5EA9BE1A" w14:textId="77777777" w:rsidR="00E61930" w:rsidRPr="004C2A70" w:rsidRDefault="00E61930" w:rsidP="00E61930">
      <w:pPr>
        <w:jc w:val="both"/>
      </w:pPr>
      <w:r w:rsidRPr="004C2A70">
        <w:rPr>
          <w:b/>
          <w:bCs/>
        </w:rPr>
        <w:lastRenderedPageBreak/>
        <w:t>Private Investment (PI):</w:t>
      </w:r>
      <w:r w:rsidRPr="004C2A70">
        <w:t xml:space="preserve"> Throughout the manuscript, </w:t>
      </w:r>
      <w:r w:rsidRPr="004C2A70">
        <w:rPr>
          <w:i/>
          <w:iCs/>
        </w:rPr>
        <w:t>private investment</w:t>
      </w:r>
      <w:r w:rsidRPr="004C2A70">
        <w:t xml:space="preserve"> refers specifically to </w:t>
      </w:r>
      <w:r w:rsidRPr="004C2A70">
        <w:rPr>
          <w:b/>
          <w:bCs/>
        </w:rPr>
        <w:t>Gross Fixed Capital Formation (GFCF) of Private Non-Financial Corporations</w:t>
      </w:r>
      <w:r w:rsidRPr="004C2A70">
        <w:t>, rather than total investment by all private institutional sectors. This definition should be used consistently throughout the paper.</w:t>
      </w:r>
    </w:p>
    <w:p w14:paraId="30EED95E" w14:textId="77777777" w:rsidR="00E61930" w:rsidRPr="004C2A70" w:rsidRDefault="00E61930" w:rsidP="00E61930">
      <w:pPr>
        <w:jc w:val="both"/>
      </w:pPr>
      <w:r w:rsidRPr="004C2A70">
        <w:rPr>
          <w:b/>
          <w:bCs/>
        </w:rPr>
        <w:t>Economic Policy Uncertainty (EPU):</w:t>
      </w:r>
      <w:r w:rsidRPr="004C2A70">
        <w:t xml:space="preserve"> The India EPU series is reported monthly and is not seasonally adjusted. To ensure temporal consistency with the Indian National Accounts data, monthly observations were converted into financial-year averages covering </w:t>
      </w:r>
      <w:r w:rsidRPr="004C2A70">
        <w:rPr>
          <w:b/>
          <w:bCs/>
        </w:rPr>
        <w:t xml:space="preserve">April of year </w:t>
      </w:r>
      <w:r>
        <w:rPr>
          <w:b/>
          <w:bCs/>
        </w:rPr>
        <w:t>t</w:t>
      </w:r>
      <w:r w:rsidRPr="004C2A70">
        <w:rPr>
          <w:b/>
          <w:bCs/>
        </w:rPr>
        <w:t xml:space="preserve"> to March of year t+1</w:t>
      </w:r>
      <w:r w:rsidRPr="004C2A70">
        <w:t>.</w:t>
      </w:r>
    </w:p>
    <w:p w14:paraId="5615B088" w14:textId="77777777" w:rsidR="00E61930" w:rsidRPr="004C2A70" w:rsidRDefault="00E61930" w:rsidP="00E61930">
      <w:pPr>
        <w:jc w:val="both"/>
      </w:pPr>
      <w:r w:rsidRPr="004C2A70">
        <w:rPr>
          <w:b/>
          <w:bCs/>
        </w:rPr>
        <w:t>Real GDP and Public Investment:</w:t>
      </w:r>
      <w:r w:rsidRPr="004C2A70">
        <w:t xml:space="preserve"> These variables are expressed in constant-price terms under the </w:t>
      </w:r>
      <w:r w:rsidRPr="004C2A70">
        <w:rPr>
          <w:b/>
          <w:bCs/>
        </w:rPr>
        <w:t>2011–12 National Accounts base-year framework</w:t>
      </w:r>
      <w:r w:rsidRPr="004C2A70">
        <w:t xml:space="preserve"> used for the study's historical sample. No mechanical splicing with a different National Accounts base-year series was undertaken.</w:t>
      </w:r>
    </w:p>
    <w:p w14:paraId="192232E4" w14:textId="77777777" w:rsidR="00E61930" w:rsidRPr="004C2A70" w:rsidRDefault="00E61930" w:rsidP="00E61930">
      <w:pPr>
        <w:jc w:val="both"/>
      </w:pPr>
      <w:r w:rsidRPr="004C2A70">
        <w:rPr>
          <w:b/>
          <w:bCs/>
        </w:rPr>
        <w:t>Real Interest Rate:</w:t>
      </w:r>
      <w:r w:rsidRPr="004C2A70">
        <w:t xml:space="preserve"> The WDI indicator </w:t>
      </w:r>
      <w:r w:rsidRPr="004C2A70">
        <w:rPr>
          <w:b/>
          <w:bCs/>
        </w:rPr>
        <w:t>FR.INR.RINR</w:t>
      </w:r>
      <w:r w:rsidRPr="004C2A70">
        <w:t xml:space="preserve"> defines the real interest rate as the lending interest rate adjusted for inflation measured using the GDP deflator. Because the currently available India series does not provide a fully consistent observation for the complete FY2011–12 to FY2023–24 sample, the variable should not be artificially extrapolated or imputed. Any missing observation should be explicitly reported, and econometric estimation requiring a balanced sample should use only observations supported by a consistent source.</w:t>
      </w:r>
    </w:p>
    <w:p w14:paraId="5007145E" w14:textId="77777777" w:rsidR="00E61930" w:rsidRPr="004C2A70" w:rsidRDefault="00E61930" w:rsidP="00E61930">
      <w:pPr>
        <w:jc w:val="both"/>
      </w:pPr>
      <w:r w:rsidRPr="004C2A70">
        <w:rPr>
          <w:b/>
          <w:bCs/>
        </w:rPr>
        <w:t>Private Credit:</w:t>
      </w:r>
      <w:r w:rsidRPr="004C2A70">
        <w:t xml:space="preserve"> The WDI indicator </w:t>
      </w:r>
      <w:r w:rsidRPr="004C2A70">
        <w:rPr>
          <w:b/>
          <w:bCs/>
        </w:rPr>
        <w:t>FS.AST.PRVT.GD.ZS</w:t>
      </w:r>
      <w:r w:rsidRPr="004C2A70">
        <w:t xml:space="preserve"> measures domestic credit to the private sector as a percentage of GDP. Its definition includes financial resources provided to the private sector through loans, purchases of non-equity securities, trade credits, and other claims establishing repayment obligations.</w:t>
      </w:r>
    </w:p>
    <w:p w14:paraId="3AA53530" w14:textId="77777777" w:rsidR="00E61930" w:rsidRPr="00BC6586" w:rsidRDefault="00E61930" w:rsidP="00E61930">
      <w:pPr>
        <w:jc w:val="both"/>
        <w:rPr>
          <w:b/>
          <w:bCs/>
        </w:rPr>
      </w:pPr>
      <w:r w:rsidRPr="00BC6586">
        <w:rPr>
          <w:b/>
          <w:bCs/>
        </w:rPr>
        <w:t>Frequency Alignment and Temporal Consistency</w:t>
      </w:r>
    </w:p>
    <w:p w14:paraId="6EF64083" w14:textId="77777777" w:rsidR="00E61930" w:rsidRPr="00BC6586" w:rsidRDefault="00E61930" w:rsidP="00E61930">
      <w:pPr>
        <w:jc w:val="both"/>
      </w:pPr>
      <w:r w:rsidRPr="00BC6586">
        <w:t>A central methodological issue in this study is the difference in frequency and reference periods across data sources.</w:t>
      </w:r>
    </w:p>
    <w:p w14:paraId="7815C5C4" w14:textId="77777777" w:rsidR="00E61930" w:rsidRPr="00BC6586" w:rsidRDefault="00E61930" w:rsidP="00E61930">
      <w:pPr>
        <w:jc w:val="both"/>
      </w:pPr>
      <w:r w:rsidRPr="00BC6586">
        <w:t xml:space="preserve">The principal variables obtained from MoSPI—private investment, real GDP, and public investment—are organised according to India's </w:t>
      </w:r>
      <w:r w:rsidRPr="00BC6586">
        <w:rPr>
          <w:b/>
          <w:bCs/>
        </w:rPr>
        <w:t>financial-year convention (April–March)</w:t>
      </w:r>
      <w:r w:rsidRPr="00BC6586">
        <w:t>. The EPU series is originally monthly and was therefore converted into corresponding April–March financial-year averages.</w:t>
      </w:r>
    </w:p>
    <w:p w14:paraId="7650EADC" w14:textId="77777777" w:rsidR="00E61930" w:rsidRPr="00BC6586" w:rsidRDefault="00E61930" w:rsidP="00E61930">
      <w:pPr>
        <w:jc w:val="both"/>
      </w:pPr>
      <w:r w:rsidRPr="00BC6586">
        <w:t xml:space="preserve">However, the real interest rate and private-credit indicators obtained from the World Bank are reported at </w:t>
      </w:r>
      <w:r w:rsidRPr="00BC6586">
        <w:rPr>
          <w:b/>
          <w:bCs/>
        </w:rPr>
        <w:t>annual calendar-year frequency</w:t>
      </w:r>
      <w:r w:rsidRPr="00BC6586">
        <w:t>. These variables should therefore not be incorrectly labelled as financial-year observations.</w:t>
      </w:r>
    </w:p>
    <w:p w14:paraId="194EE11A" w14:textId="77777777" w:rsidR="00E61930" w:rsidRPr="00BC6586" w:rsidRDefault="00E61930" w:rsidP="00E61930">
      <w:pPr>
        <w:jc w:val="both"/>
      </w:pPr>
      <w:r w:rsidRPr="00BC6586">
        <w:t>Accordingly, the present study distinguishes between:</w:t>
      </w:r>
    </w:p>
    <w:p w14:paraId="021E5A92" w14:textId="77777777" w:rsidR="00E61930" w:rsidRPr="00BC6586" w:rsidRDefault="00E61930" w:rsidP="00E61930">
      <w:pPr>
        <w:jc w:val="both"/>
      </w:pPr>
      <w:r w:rsidRPr="00BC6586">
        <w:t>Financial-year National Accounts variables;</w:t>
      </w:r>
    </w:p>
    <w:p w14:paraId="61854863" w14:textId="77777777" w:rsidR="00E61930" w:rsidRPr="00BC6586" w:rsidRDefault="00E61930" w:rsidP="00E61930">
      <w:pPr>
        <w:jc w:val="both"/>
      </w:pPr>
      <w:r w:rsidRPr="00BC6586">
        <w:t>Monthly EPU data converted into financial-year averages; and</w:t>
      </w:r>
    </w:p>
    <w:p w14:paraId="5136E465" w14:textId="77777777" w:rsidR="00E61930" w:rsidRPr="00BC6586" w:rsidRDefault="00E61930" w:rsidP="00E61930">
      <w:pPr>
        <w:jc w:val="both"/>
      </w:pPr>
      <w:r w:rsidRPr="00BC6586">
        <w:t>Calendar-year annual financial indicators.</w:t>
      </w:r>
    </w:p>
    <w:p w14:paraId="41E4CCC9" w14:textId="77777777" w:rsidR="00E61930" w:rsidRPr="00BC6586" w:rsidRDefault="00E61930" w:rsidP="00E61930">
      <w:pPr>
        <w:jc w:val="both"/>
      </w:pPr>
      <w:r w:rsidRPr="00BC6586">
        <w:t>This distinction is essential for transparent interpretation. The mixed reference periods represent a limitation that must be acknowledged rather than concealed. Any future econometric estimation requiring strict temporal comparability should employ a documented harmonisation procedure or use alternative sources that provide variables on a consistent financial-year basis.</w:t>
      </w:r>
    </w:p>
    <w:p w14:paraId="0191098C" w14:textId="77777777" w:rsidR="00E61930" w:rsidRPr="004C2A70" w:rsidRDefault="00E61930" w:rsidP="00E61930">
      <w:pPr>
        <w:ind w:left="360"/>
        <w:jc w:val="both"/>
      </w:pPr>
    </w:p>
    <w:p w14:paraId="3428011F" w14:textId="77777777" w:rsidR="00E61930" w:rsidRPr="004C2A70" w:rsidRDefault="00E61930" w:rsidP="00E61930">
      <w:pPr>
        <w:jc w:val="both"/>
      </w:pPr>
      <w:r w:rsidRPr="004C2A70">
        <w:rPr>
          <w:b/>
          <w:bCs/>
        </w:rPr>
        <w:t>Source Consistency:</w:t>
      </w:r>
      <w:r w:rsidRPr="004C2A70">
        <w:t xml:space="preserve"> All variables were retained in their original measurement units for the descriptive analysis. Any logarithmic transformation, differencing, or other transformation used for econometric estimation should be separately documented in the methodology and results sections.</w:t>
      </w:r>
    </w:p>
    <w:p w14:paraId="7DBFE41E" w14:textId="77777777" w:rsidR="00E61930" w:rsidRPr="00BC6586" w:rsidRDefault="00E61930" w:rsidP="00E61930">
      <w:pPr>
        <w:jc w:val="both"/>
        <w:rPr>
          <w:b/>
          <w:bCs/>
        </w:rPr>
      </w:pPr>
      <w:r w:rsidRPr="00BC6586">
        <w:rPr>
          <w:b/>
          <w:bCs/>
        </w:rPr>
        <w:t>National Accounts Base-Year Consistency</w:t>
      </w:r>
    </w:p>
    <w:p w14:paraId="459F40C8" w14:textId="77777777" w:rsidR="00E61930" w:rsidRPr="00BC6586" w:rsidRDefault="00E61930" w:rsidP="00E61930">
      <w:pPr>
        <w:jc w:val="both"/>
      </w:pPr>
      <w:r w:rsidRPr="00BC6586">
        <w:t xml:space="preserve">The constant-price National Accounts variables used in this study follow the </w:t>
      </w:r>
      <w:r w:rsidRPr="00BC6586">
        <w:rPr>
          <w:b/>
          <w:bCs/>
        </w:rPr>
        <w:t>2011–12 base-year framework</w:t>
      </w:r>
      <w:r w:rsidRPr="00BC6586">
        <w:t xml:space="preserve"> applicable to the historical dataset used in the analysis.</w:t>
      </w:r>
    </w:p>
    <w:p w14:paraId="09850DDA" w14:textId="77777777" w:rsidR="00E61930" w:rsidRPr="00BC6586" w:rsidRDefault="00E61930" w:rsidP="00E61930">
      <w:pPr>
        <w:jc w:val="both"/>
      </w:pPr>
      <w:r w:rsidRPr="00BC6586">
        <w:t>No mechanical splicing of observations across incompatible National Accounts base-year systems was undertaken. This is important because changes in statistical methodology, classification, coverage, or base-year structure can affect historical comparability.</w:t>
      </w:r>
    </w:p>
    <w:p w14:paraId="50712BD3" w14:textId="77777777" w:rsidR="00E61930" w:rsidRPr="00BC6586" w:rsidRDefault="00E61930" w:rsidP="00E61930">
      <w:pPr>
        <w:jc w:val="both"/>
      </w:pPr>
      <w:r w:rsidRPr="00BC6586">
        <w:t>A longer time series is not automatically preferable if it is created by combining observations produced under statistically inconsistent frameworks. The study therefore prioritises internal consistency and transparent documentation over artificial expansion of the historical sample.</w:t>
      </w:r>
    </w:p>
    <w:p w14:paraId="20AB305F" w14:textId="77777777" w:rsidR="00E61930" w:rsidRPr="00BC6586" w:rsidRDefault="00E61930" w:rsidP="00E61930">
      <w:pPr>
        <w:jc w:val="both"/>
        <w:rPr>
          <w:b/>
          <w:bCs/>
        </w:rPr>
      </w:pPr>
      <w:r w:rsidRPr="00BC6586">
        <w:rPr>
          <w:b/>
          <w:bCs/>
        </w:rPr>
        <w:t>Data Reproducibility Statement</w:t>
      </w:r>
    </w:p>
    <w:p w14:paraId="626B6382" w14:textId="77777777" w:rsidR="00E61930" w:rsidRPr="00BC6586" w:rsidRDefault="00E61930" w:rsidP="00E61930">
      <w:pPr>
        <w:jc w:val="both"/>
      </w:pPr>
      <w:r w:rsidRPr="00BC6586">
        <w:t>All descriptive statistics and reported relationships in this study were calculated from the variables documented in this appendix. The appendix identifies the source, definition, measurement unit, frequency, transformation procedure, and temporal reference period for each variable.</w:t>
      </w:r>
    </w:p>
    <w:p w14:paraId="4CD55881" w14:textId="77777777" w:rsidR="00E61930" w:rsidRPr="00BC6586" w:rsidRDefault="00E61930" w:rsidP="00E61930">
      <w:pPr>
        <w:jc w:val="both"/>
      </w:pPr>
      <w:r w:rsidRPr="00BC6586">
        <w:t xml:space="preserve">The study therefore distinguishes clearly between </w:t>
      </w:r>
      <w:r w:rsidRPr="00BC6586">
        <w:rPr>
          <w:b/>
          <w:bCs/>
        </w:rPr>
        <w:t>verified descriptive evidence</w:t>
      </w:r>
      <w:r w:rsidRPr="00BC6586">
        <w:t xml:space="preserve"> and </w:t>
      </w:r>
      <w:r w:rsidRPr="00BC6586">
        <w:rPr>
          <w:b/>
          <w:bCs/>
        </w:rPr>
        <w:t>econometric relationships requiring additional estimation</w:t>
      </w:r>
      <w:r w:rsidRPr="00BC6586">
        <w:t>. No causal interpretation should be inferred from descriptive statistics or Pearson correlations alone.</w:t>
      </w:r>
    </w:p>
    <w:p w14:paraId="2FB12461" w14:textId="77777777" w:rsidR="00E61930" w:rsidRPr="00BC6586" w:rsidRDefault="00E61930" w:rsidP="00E61930">
      <w:pPr>
        <w:jc w:val="both"/>
      </w:pPr>
      <w:r w:rsidRPr="00BC6586">
        <w:t>Future researchers seeking to replicate or extend the analysis should retrieve the relevant series from the sources identified above and document any revisions in data vintages, base-year systems, series definitions, or availability.</w:t>
      </w:r>
    </w:p>
    <w:bookmarkEnd w:id="0"/>
    <w:p w14:paraId="39CD7D13" w14:textId="77777777" w:rsidR="00E61930" w:rsidRPr="00D50B1C" w:rsidRDefault="00E61930" w:rsidP="00E61930">
      <w:pPr>
        <w:jc w:val="both"/>
      </w:pPr>
    </w:p>
    <w:p w14:paraId="06E52A1E" w14:textId="77777777" w:rsidR="00E023F9" w:rsidRDefault="00E023F9"/>
    <w:sectPr w:rsidR="00E023F9" w:rsidSect="00E61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930"/>
    <w:rsid w:val="000C4033"/>
    <w:rsid w:val="00173ED8"/>
    <w:rsid w:val="002F50B1"/>
    <w:rsid w:val="004B42CB"/>
    <w:rsid w:val="005F2B46"/>
    <w:rsid w:val="006E1731"/>
    <w:rsid w:val="00866D74"/>
    <w:rsid w:val="00882A73"/>
    <w:rsid w:val="00906905"/>
    <w:rsid w:val="0095305D"/>
    <w:rsid w:val="00B10170"/>
    <w:rsid w:val="00B260B7"/>
    <w:rsid w:val="00B322EB"/>
    <w:rsid w:val="00B85331"/>
    <w:rsid w:val="00C94D66"/>
    <w:rsid w:val="00DE7E69"/>
    <w:rsid w:val="00E023F9"/>
    <w:rsid w:val="00E6193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29B11"/>
  <w15:chartTrackingRefBased/>
  <w15:docId w15:val="{D4384203-B007-4ADF-8678-91AE6FFF2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930"/>
    <w:pPr>
      <w:spacing w:after="200" w:line="276" w:lineRule="auto"/>
    </w:pPr>
    <w:rPr>
      <w:rFonts w:ascii="Times New Roman" w:eastAsiaTheme="minorEastAsia" w:hAnsi="Times New Roman"/>
      <w:kern w:val="0"/>
      <w:sz w:val="22"/>
      <w:szCs w:val="22"/>
      <w:lang w:val="en-US"/>
      <w14:ligatures w14:val="none"/>
    </w:rPr>
  </w:style>
  <w:style w:type="paragraph" w:styleId="Heading1">
    <w:name w:val="heading 1"/>
    <w:basedOn w:val="Normal"/>
    <w:next w:val="Normal"/>
    <w:link w:val="Heading1Char"/>
    <w:uiPriority w:val="9"/>
    <w:qFormat/>
    <w:rsid w:val="00E6193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E6193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E6193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E6193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E6193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E6193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E6193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E6193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E6193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9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9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9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9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9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9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9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9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930"/>
    <w:rPr>
      <w:rFonts w:eastAsiaTheme="majorEastAsia" w:cstheme="majorBidi"/>
      <w:color w:val="272727" w:themeColor="text1" w:themeTint="D8"/>
    </w:rPr>
  </w:style>
  <w:style w:type="paragraph" w:styleId="Title">
    <w:name w:val="Title"/>
    <w:basedOn w:val="Normal"/>
    <w:next w:val="Normal"/>
    <w:link w:val="TitleChar"/>
    <w:uiPriority w:val="10"/>
    <w:qFormat/>
    <w:rsid w:val="00E61930"/>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E619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93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E619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930"/>
    <w:pPr>
      <w:spacing w:before="160" w:after="160" w:line="278" w:lineRule="auto"/>
      <w:jc w:val="center"/>
    </w:pPr>
    <w:rPr>
      <w:rFonts w:asciiTheme="minorHAnsi" w:eastAsiaTheme="minorHAnsi" w:hAnsiTheme="minorHAns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E61930"/>
    <w:rPr>
      <w:i/>
      <w:iCs/>
      <w:color w:val="404040" w:themeColor="text1" w:themeTint="BF"/>
    </w:rPr>
  </w:style>
  <w:style w:type="paragraph" w:styleId="ListParagraph">
    <w:name w:val="List Paragraph"/>
    <w:basedOn w:val="Normal"/>
    <w:uiPriority w:val="34"/>
    <w:qFormat/>
    <w:rsid w:val="00E61930"/>
    <w:pPr>
      <w:spacing w:after="160" w:line="278" w:lineRule="auto"/>
      <w:ind w:left="720"/>
      <w:contextualSpacing/>
    </w:pPr>
    <w:rPr>
      <w:rFonts w:asciiTheme="minorHAnsi" w:eastAsiaTheme="minorHAnsi" w:hAnsiTheme="minorHAnsi"/>
      <w:kern w:val="2"/>
      <w:sz w:val="24"/>
      <w:szCs w:val="24"/>
      <w:lang w:val="en-IN"/>
      <w14:ligatures w14:val="standardContextual"/>
    </w:rPr>
  </w:style>
  <w:style w:type="character" w:styleId="IntenseEmphasis">
    <w:name w:val="Intense Emphasis"/>
    <w:basedOn w:val="DefaultParagraphFont"/>
    <w:uiPriority w:val="21"/>
    <w:qFormat/>
    <w:rsid w:val="00E61930"/>
    <w:rPr>
      <w:i/>
      <w:iCs/>
      <w:color w:val="0F4761" w:themeColor="accent1" w:themeShade="BF"/>
    </w:rPr>
  </w:style>
  <w:style w:type="paragraph" w:styleId="IntenseQuote">
    <w:name w:val="Intense Quote"/>
    <w:basedOn w:val="Normal"/>
    <w:next w:val="Normal"/>
    <w:link w:val="IntenseQuoteChar"/>
    <w:uiPriority w:val="30"/>
    <w:qFormat/>
    <w:rsid w:val="00E6193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E61930"/>
    <w:rPr>
      <w:i/>
      <w:iCs/>
      <w:color w:val="0F4761" w:themeColor="accent1" w:themeShade="BF"/>
    </w:rPr>
  </w:style>
  <w:style w:type="character" w:styleId="IntenseReference">
    <w:name w:val="Intense Reference"/>
    <w:basedOn w:val="DefaultParagraphFont"/>
    <w:uiPriority w:val="32"/>
    <w:qFormat/>
    <w:rsid w:val="00E61930"/>
    <w:rPr>
      <w:b/>
      <w:bCs/>
      <w:smallCaps/>
      <w:color w:val="0F4761" w:themeColor="accent1" w:themeShade="BF"/>
      <w:spacing w:val="5"/>
    </w:rPr>
  </w:style>
  <w:style w:type="table" w:styleId="TableGridLight">
    <w:name w:val="Grid Table Light"/>
    <w:basedOn w:val="TableNormal"/>
    <w:uiPriority w:val="40"/>
    <w:rsid w:val="00E61930"/>
    <w:pPr>
      <w:spacing w:before="240" w:after="0" w:line="240" w:lineRule="auto"/>
    </w:pPr>
    <w:rPr>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1168</Words>
  <Characters>6663</Characters>
  <Application>Microsoft Office Word</Application>
  <DocSecurity>0</DocSecurity>
  <Lines>55</Lines>
  <Paragraphs>15</Paragraphs>
  <ScaleCrop>false</ScaleCrop>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2026-09-14T08:32:00Z</dcterms:created>
  <dcterms:modified xsi:type="dcterms:W3CDTF">2026-09-14T08:33:00Z</dcterms:modified>
</cp:coreProperties>
</file>