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E3A" w:rsidRPr="00DF01C4" w:rsidRDefault="00527E3A" w:rsidP="00527E3A">
      <w:pPr>
        <w:spacing w:line="360" w:lineRule="auto"/>
        <w:jc w:val="center"/>
      </w:pPr>
      <w:r>
        <w:rPr>
          <w:b/>
          <w:color w:val="000000"/>
        </w:rPr>
        <w:t>The Brexit Tuition Shock and the Price Elasticity of International Students</w:t>
      </w:r>
    </w:p>
    <w:p w:rsidR="00527E3A" w:rsidRPr="00DF01C4" w:rsidRDefault="00527E3A" w:rsidP="00527E3A">
      <w:pPr>
        <w:spacing w:line="360" w:lineRule="auto"/>
        <w:jc w:val="center"/>
      </w:pPr>
      <w:r>
        <w:rPr>
          <w:i/>
          <w:color w:val="000000"/>
        </w:rPr>
        <w:t>Evidence from a Natural Experiment</w:t>
      </w:r>
    </w:p>
    <w:p w:rsidR="00527E3A" w:rsidRPr="00DF01C4" w:rsidRDefault="00527E3A" w:rsidP="00527E3A">
      <w:pPr>
        <w:spacing w:line="360" w:lineRule="auto"/>
        <w:jc w:val="center"/>
      </w:pPr>
      <w:r>
        <w:rPr>
          <w:b/>
          <w:color w:val="000000"/>
        </w:rPr>
        <w:t>Online appendix</w:t>
      </w:r>
    </w:p>
    <w:p w:rsidR="00527E3A" w:rsidRDefault="00527E3A" w:rsidP="00527E3A">
      <w:pPr>
        <w:pStyle w:val="Heading1"/>
        <w:spacing w:before="0" w:beforeAutospacing="0" w:after="0" w:afterAutospacing="0" w:line="360" w:lineRule="auto"/>
        <w:rPr>
          <w:sz w:val="24"/>
          <w:szCs w:val="24"/>
        </w:rPr>
      </w:pPr>
    </w:p>
    <w:p w:rsidR="00527E3A" w:rsidRPr="00DF01C4" w:rsidRDefault="00527E3A" w:rsidP="00527E3A">
      <w:pPr>
        <w:pStyle w:val="Heading1"/>
        <w:spacing w:before="0" w:beforeAutospacing="0" w:after="0" w:afterAutospacing="0" w:line="360" w:lineRule="auto"/>
        <w:rPr>
          <w:sz w:val="24"/>
          <w:szCs w:val="24"/>
        </w:rPr>
      </w:pPr>
      <w:r>
        <w:rPr>
          <w:sz w:val="24"/>
          <w:szCs w:val="24"/>
        </w:rPr>
        <w:t>A1. Control-group construction</w:t>
      </w:r>
    </w:p>
    <w:p w:rsidR="00527E3A" w:rsidRPr="00AA021D" w:rsidRDefault="00527E3A" w:rsidP="00527E3A">
      <w:pPr>
        <w:keepLines/>
        <w:spacing w:line="360" w:lineRule="auto"/>
        <w:ind w:firstLine="360"/>
      </w:pPr>
      <w:r>
        <w:rPr>
          <w:color w:val="000000"/>
        </w:rPr>
        <w:t xml:space="preserve">The analysis uses UCAS applicant counts by origin country and application cycle. Treated origins are European Union countries excluding Ireland, and candidate donors are non-EU origins. For each country </w:t>
      </w:r>
      <m:oMath>
        <m:r>
          <w:rPr>
            <w:rFonts w:ascii="Cambria Math" w:hAnsi="Cambria Math"/>
            <w:color w:val="000000"/>
          </w:rPr>
          <m:t>c</m:t>
        </m:r>
      </m:oMath>
      <w:r>
        <w:rPr>
          <w:color w:val="000000"/>
        </w:rPr>
        <w:t>, the outcome is the natural logarithm of the appli</w:t>
      </w:r>
      <w:proofErr w:type="spellStart"/>
      <w:r>
        <w:rPr>
          <w:color w:val="000000"/>
        </w:rPr>
        <w:t>cant</w:t>
      </w:r>
      <w:proofErr w:type="spellEnd"/>
      <w:r>
        <w:rPr>
          <w:color w:val="000000"/>
        </w:rPr>
        <w:t xml:space="preserve"> count </w:t>
      </w:r>
      <m:oMath>
        <m:d>
          <m:dPr>
            <m:ctrlPr>
              <w:rPr>
                <w:rFonts w:ascii="Cambria Math" w:hAnsi="Cambria Math"/>
                <w:i/>
                <w:color w:val="000000"/>
              </w:rPr>
            </m:ctrlPr>
          </m:dPr>
          <m:e>
            <m:sSub>
              <m:sSubPr>
                <m:ctrlPr>
                  <w:rPr>
                    <w:rFonts w:ascii="Cambria Math" w:hAnsi="Cambria Math"/>
                    <w:i/>
                    <w:color w:val="000000"/>
                  </w:rPr>
                </m:ctrlPr>
              </m:sSubPr>
              <m:e>
                <m:r>
                  <w:rPr>
                    <w:rFonts w:ascii="Cambria Math" w:hAnsi="Cambria Math"/>
                    <w:color w:val="000000"/>
                  </w:rPr>
                  <m:t>Y</m:t>
                </m:r>
              </m:e>
              <m:sub>
                <m:r>
                  <w:rPr>
                    <w:rFonts w:ascii="Cambria Math" w:hAnsi="Cambria Math"/>
                    <w:color w:val="000000"/>
                    <w:vertAlign w:val="subscript"/>
                  </w:rPr>
                  <m:t>ct</m:t>
                </m:r>
              </m:sub>
            </m:sSub>
            <m:r>
              <w:rPr>
                <w:rFonts w:ascii="Cambria Math" w:hAnsi="Cambria Math"/>
                <w:color w:val="000000"/>
              </w:rPr>
              <m:t>=</m:t>
            </m:r>
            <m:func>
              <m:funcPr>
                <m:ctrlPr>
                  <w:rPr>
                    <w:rFonts w:ascii="Cambria Math" w:hAnsi="Cambria Math"/>
                    <w:i/>
                    <w:color w:val="000000"/>
                  </w:rPr>
                </m:ctrlPr>
              </m:funcPr>
              <m:fName>
                <m:r>
                  <m:rPr>
                    <m:sty m:val="p"/>
                  </m:rPr>
                  <w:rPr>
                    <w:rFonts w:ascii="Cambria Math" w:hAnsi="Cambria Math"/>
                    <w:color w:val="000000"/>
                  </w:rPr>
                  <m:t>ln</m:t>
                </m:r>
              </m:fName>
              <m:e>
                <m:d>
                  <m:dPr>
                    <m:ctrlPr>
                      <w:rPr>
                        <w:rFonts w:ascii="Cambria Math" w:hAnsi="Cambria Math"/>
                        <w:i/>
                        <w:color w:val="000000"/>
                      </w:rPr>
                    </m:ctrlPr>
                  </m:dPr>
                  <m:e>
                    <m:r>
                      <w:rPr>
                        <w:rFonts w:ascii="Cambria Math" w:hAnsi="Cambria Math"/>
                        <w:color w:val="000000"/>
                      </w:rPr>
                      <m:t>Ap</m:t>
                    </m:r>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vertAlign w:val="subscript"/>
                          </w:rPr>
                          <m:t>ct</m:t>
                        </m:r>
                      </m:sub>
                    </m:sSub>
                  </m:e>
                </m:d>
              </m:e>
            </m:func>
          </m:e>
        </m:d>
      </m:oMath>
      <w:r>
        <w:rPr>
          <w:color w:val="000000"/>
        </w:rPr>
        <w:t>. The pre-reform window covers 2014-2020 and contains seven observations per country. Donors are selected on the shape of the pre-reform trajectory instead of the level of applications. Each logged series is z-standardized within country over 2014-2020:</w:t>
      </w:r>
    </w:p>
    <w:p w:rsidR="00527E3A" w:rsidRPr="00DF01C4" w:rsidRDefault="00527E3A" w:rsidP="00527E3A">
      <w:pPr>
        <w:keepLines/>
        <w:spacing w:line="360" w:lineRule="auto"/>
        <w:jc w:val="center"/>
      </w:pPr>
      <m:oMathPara>
        <m:oMath>
          <m:sSub>
            <m:sSubPr>
              <m:ctrlPr>
                <w:rPr>
                  <w:rFonts w:ascii="Cambria Math" w:hAnsi="Cambria Math"/>
                  <w:i/>
                  <w:color w:val="000000"/>
                </w:rPr>
              </m:ctrlPr>
            </m:sSubPr>
            <m:e>
              <m:r>
                <w:rPr>
                  <w:rFonts w:ascii="Cambria Math" w:hAnsi="Cambria Math"/>
                  <w:color w:val="000000"/>
                </w:rPr>
                <m:t>z</m:t>
              </m:r>
            </m:e>
            <m:sub>
              <m:r>
                <w:rPr>
                  <w:rFonts w:ascii="Cambria Math" w:hAnsi="Cambria Math"/>
                  <w:color w:val="000000"/>
                  <w:vertAlign w:val="subscript"/>
                </w:rPr>
                <m:t>ct</m:t>
              </m:r>
            </m:sub>
          </m:sSub>
          <m:r>
            <w:rPr>
              <w:rFonts w:ascii="Cambria Math" w:hAnsi="Cambria Math"/>
              <w:color w:val="000000"/>
            </w:rPr>
            <m:t xml:space="preserve"> =</m:t>
          </m:r>
          <m:f>
            <m:fPr>
              <m:ctrlPr>
                <w:rPr>
                  <w:rFonts w:ascii="Cambria Math" w:hAnsi="Cambria Math"/>
                  <w:i/>
                  <w:color w:val="000000"/>
                </w:rPr>
              </m:ctrlPr>
            </m:fPr>
            <m:num>
              <m:d>
                <m:dPr>
                  <m:ctrlPr>
                    <w:rPr>
                      <w:rFonts w:ascii="Cambria Math" w:hAnsi="Cambria Math"/>
                      <w:i/>
                      <w:color w:val="000000"/>
                    </w:rPr>
                  </m:ctrlPr>
                </m:dPr>
                <m:e>
                  <m:sSub>
                    <m:sSubPr>
                      <m:ctrlPr>
                        <w:rPr>
                          <w:rFonts w:ascii="Cambria Math" w:hAnsi="Cambria Math"/>
                          <w:i/>
                          <w:color w:val="000000"/>
                        </w:rPr>
                      </m:ctrlPr>
                    </m:sSubPr>
                    <m:e>
                      <m:r>
                        <w:rPr>
                          <w:rFonts w:ascii="Cambria Math" w:hAnsi="Cambria Math"/>
                          <w:color w:val="000000"/>
                        </w:rPr>
                        <m:t>Y</m:t>
                      </m:r>
                    </m:e>
                    <m:sub>
                      <m:r>
                        <w:rPr>
                          <w:rFonts w:ascii="Cambria Math" w:hAnsi="Cambria Math"/>
                          <w:color w:val="000000"/>
                          <w:vertAlign w:val="subscript"/>
                        </w:rPr>
                        <m:t>ct</m:t>
                      </m:r>
                    </m:sub>
                  </m:sSub>
                  <m:r>
                    <w:rPr>
                      <w:rFonts w:ascii="Cambria Math" w:hAnsi="Cambria Math"/>
                      <w:color w:val="000000"/>
                    </w:rPr>
                    <m:t xml:space="preserve"> -</m:t>
                  </m:r>
                  <m:sSub>
                    <m:sSubPr>
                      <m:ctrlPr>
                        <w:rPr>
                          <w:rFonts w:ascii="Cambria Math" w:hAnsi="Cambria Math"/>
                          <w:i/>
                          <w:color w:val="000000"/>
                        </w:rPr>
                      </m:ctrlPr>
                    </m:sSubPr>
                    <m:e>
                      <m:bar>
                        <m:barPr>
                          <m:pos m:val="top"/>
                          <m:ctrlPr>
                            <w:rPr>
                              <w:rFonts w:ascii="Cambria Math" w:hAnsi="Cambria Math"/>
                              <w:i/>
                              <w:color w:val="000000"/>
                            </w:rPr>
                          </m:ctrlPr>
                        </m:barPr>
                        <m:e>
                          <m:r>
                            <w:rPr>
                              <w:rFonts w:ascii="Cambria Math" w:hAnsi="Cambria Math"/>
                              <w:color w:val="000000"/>
                            </w:rPr>
                            <m:t>Y</m:t>
                          </m:r>
                        </m:e>
                      </m:bar>
                    </m:e>
                    <m:sub>
                      <m:r>
                        <w:rPr>
                          <w:rFonts w:ascii="Cambria Math" w:hAnsi="Cambria Math"/>
                          <w:color w:val="000000"/>
                        </w:rPr>
                        <m:t>c</m:t>
                      </m:r>
                    </m:sub>
                  </m:sSub>
                </m:e>
              </m:d>
            </m:num>
            <m:den>
              <m:sSub>
                <m:sSubPr>
                  <m:ctrlPr>
                    <w:rPr>
                      <w:rFonts w:ascii="Cambria Math" w:hAnsi="Cambria Math"/>
                      <w:i/>
                      <w:color w:val="000000"/>
                    </w:rPr>
                  </m:ctrlPr>
                </m:sSubPr>
                <m:e>
                  <m:r>
                    <w:rPr>
                      <w:rFonts w:ascii="Cambria Math" w:hAnsi="Cambria Math"/>
                      <w:color w:val="000000"/>
                    </w:rPr>
                    <m:t>σ</m:t>
                  </m:r>
                </m:e>
                <m:sub>
                  <m:r>
                    <w:rPr>
                      <w:rFonts w:ascii="Cambria Math" w:hAnsi="Cambria Math"/>
                      <w:color w:val="000000"/>
                    </w:rPr>
                    <m:t>c</m:t>
                  </m:r>
                </m:sub>
              </m:sSub>
            </m:den>
          </m:f>
        </m:oMath>
      </m:oMathPara>
    </w:p>
    <w:p w:rsidR="00527E3A" w:rsidRPr="00DF01C4" w:rsidRDefault="00527E3A" w:rsidP="00527E3A">
      <w:pPr>
        <w:keepLines/>
        <w:spacing w:line="360" w:lineRule="auto"/>
        <w:ind w:firstLine="360"/>
      </w:pPr>
      <w:r>
        <w:rPr>
          <w:color w:val="000000"/>
        </w:rPr>
        <w:t>Pairwise Euclidean distances are then calculated between the standardized paths, and every treated origin is matched to the three non-EU paths with the smallest distances. The step of dividing by the country standard deviation and subtracting the means removes the mechanical influence of market size and retains the timing and direction of pre-reform movements.</w:t>
      </w:r>
    </w:p>
    <w:p w:rsidR="00527E3A" w:rsidRPr="00DF01C4" w:rsidRDefault="00527E3A" w:rsidP="00527E3A">
      <w:pPr>
        <w:keepLines/>
        <w:spacing w:line="360" w:lineRule="auto"/>
        <w:ind w:firstLine="360"/>
      </w:pPr>
      <w:r>
        <w:rPr>
          <w:color w:val="000000"/>
        </w:rPr>
        <w:t xml:space="preserve">After donor selection for each treated origin j, nonnegative donor weights are selected such that they sum to one, are all positive and minimize pre-reform squared prediction error. Country-specific weights are set to zero outside the relevant three-country pool, averaged across the 26 treated origins, and normalized. The procedure follows the synthetic-control principle of choosing a transparent weighted comparison path before estimating post-reform effects (Abadie et al., 2010; Abadie &amp; </w:t>
      </w:r>
      <w:proofErr w:type="spellStart"/>
      <w:r>
        <w:rPr>
          <w:color w:val="000000"/>
        </w:rPr>
        <w:t>Cattaneo</w:t>
      </w:r>
      <w:proofErr w:type="spellEnd"/>
      <w:r>
        <w:rPr>
          <w:color w:val="000000"/>
        </w:rPr>
        <w:t>, 2018).</w:t>
      </w:r>
    </w:p>
    <w:p w:rsidR="00527E3A" w:rsidRDefault="00527E3A" w:rsidP="00527E3A">
      <w:pPr>
        <w:keepLines/>
        <w:spacing w:line="360" w:lineRule="auto"/>
        <w:ind w:firstLine="360"/>
        <w:rPr>
          <w:color w:val="000000"/>
        </w:rPr>
      </w:pPr>
      <w:r>
        <w:rPr>
          <w:color w:val="000000"/>
        </w:rPr>
        <w:t xml:space="preserve">The resulting global donor weights enter the saturated difference-in-differences regression as fixed observation weights. Treated observations receive unit weight, and donor weights are multiplied by 26 so that the treated and control sides carry equal total weight. The specification includes country and cycle fixed effects and the time-varying controls described in the manuscript. Donor selection and weighting use only pre-treatment outcomes. For the R implementation the </w:t>
      </w:r>
      <w:proofErr w:type="spellStart"/>
      <w:r>
        <w:rPr>
          <w:color w:val="000000"/>
        </w:rPr>
        <w:t>feols</w:t>
      </w:r>
      <w:proofErr w:type="spellEnd"/>
      <w:r>
        <w:rPr>
          <w:color w:val="000000"/>
        </w:rPr>
        <w:t xml:space="preserve"> library was used because the </w:t>
      </w:r>
      <w:proofErr w:type="spellStart"/>
      <w:r>
        <w:rPr>
          <w:color w:val="000000"/>
        </w:rPr>
        <w:t>plm</w:t>
      </w:r>
      <w:proofErr w:type="spellEnd"/>
      <w:r>
        <w:rPr>
          <w:color w:val="000000"/>
        </w:rPr>
        <w:t xml:space="preserve"> package does not appear to be calculating the weighted regressions correctly. </w:t>
      </w:r>
    </w:p>
    <w:p w:rsidR="00527E3A" w:rsidRPr="00DF01C4" w:rsidRDefault="00527E3A" w:rsidP="00527E3A">
      <w:pPr>
        <w:keepLines/>
        <w:spacing w:line="360" w:lineRule="auto"/>
        <w:ind w:firstLine="360"/>
      </w:pPr>
    </w:p>
    <w:p w:rsidR="00527E3A" w:rsidRPr="00DF01C4" w:rsidRDefault="00527E3A" w:rsidP="00527E3A">
      <w:pPr>
        <w:pStyle w:val="Heading1"/>
        <w:pageBreakBefore/>
        <w:spacing w:before="0" w:beforeAutospacing="0" w:after="0" w:afterAutospacing="0" w:line="360" w:lineRule="auto"/>
        <w:rPr>
          <w:sz w:val="24"/>
          <w:szCs w:val="24"/>
        </w:rPr>
      </w:pPr>
      <w:r>
        <w:rPr>
          <w:sz w:val="24"/>
          <w:szCs w:val="24"/>
        </w:rPr>
        <w:lastRenderedPageBreak/>
        <w:t>A2. From post-reform effects to price elasticities</w:t>
      </w:r>
    </w:p>
    <w:p w:rsidR="00527E3A" w:rsidRPr="00DF01C4" w:rsidRDefault="00527E3A" w:rsidP="00527E3A">
      <w:pPr>
        <w:keepLines/>
        <w:spacing w:line="360" w:lineRule="auto"/>
      </w:pPr>
      <w:r>
        <w:rPr>
          <w:color w:val="000000"/>
        </w:rPr>
        <w:t>Clifton-</w:t>
      </w:r>
      <w:proofErr w:type="spellStart"/>
      <w:r>
        <w:rPr>
          <w:color w:val="000000"/>
        </w:rPr>
        <w:t>Sprigg</w:t>
      </w:r>
      <w:proofErr w:type="spellEnd"/>
      <w:r>
        <w:rPr>
          <w:color w:val="000000"/>
        </w:rPr>
        <w:t xml:space="preserve"> et al. (2025) derive a mechanical elasticity from a synthetic-</w:t>
      </w:r>
      <w:proofErr w:type="spellStart"/>
      <w:r>
        <w:rPr>
          <w:color w:val="000000"/>
        </w:rPr>
        <w:t>DiD</w:t>
      </w:r>
      <w:proofErr w:type="spellEnd"/>
      <w:r>
        <w:rPr>
          <w:color w:val="000000"/>
        </w:rPr>
        <w:t xml:space="preserve"> average treatment effect. To state the structural assumptions needed for the present transformation, consider a segmented constant-elasticity demand system indexed by origin </w:t>
      </w:r>
      <m:oMath>
        <m:r>
          <w:rPr>
            <w:rFonts w:ascii="Cambria Math" w:hAnsi="Cambria Math"/>
            <w:color w:val="000000"/>
          </w:rPr>
          <m:t>j</m:t>
        </m:r>
      </m:oMath>
      <w:r>
        <w:rPr>
          <w:color w:val="000000"/>
        </w:rPr>
        <w:t xml:space="preserve"> and year </w:t>
      </w:r>
      <m:oMath>
        <m:r>
          <w:rPr>
            <w:rFonts w:ascii="Cambria Math" w:hAnsi="Cambria Math"/>
            <w:color w:val="000000"/>
          </w:rPr>
          <m:t>t</m:t>
        </m:r>
      </m:oMath>
      <w:r>
        <w:rPr>
          <w:color w:val="000000"/>
        </w:rPr>
        <w:t>.</w:t>
      </w:r>
      <w:r>
        <w:t xml:space="preserve"> L</w:t>
      </w:r>
      <w:r>
        <w:rPr>
          <w:color w:val="000000"/>
        </w:rPr>
        <w:t xml:space="preserve">et </w:t>
      </w:r>
      <m:oMath>
        <m:sSub>
          <m:sSubPr>
            <m:ctrlPr>
              <w:rPr>
                <w:rFonts w:ascii="Cambria Math" w:hAnsi="Cambria Math"/>
                <w:i/>
                <w:color w:val="000000"/>
              </w:rPr>
            </m:ctrlPr>
          </m:sSubPr>
          <m:e>
            <m:r>
              <w:rPr>
                <w:rFonts w:ascii="Cambria Math" w:hAnsi="Cambria Math"/>
                <w:color w:val="000000"/>
              </w:rPr>
              <m:t>A</m:t>
            </m:r>
          </m:e>
          <m:sub>
            <m:r>
              <w:rPr>
                <w:rFonts w:ascii="Cambria Math" w:hAnsi="Cambria Math"/>
                <w:color w:val="000000"/>
                <w:vertAlign w:val="subscript"/>
              </w:rPr>
              <m:t>jt</m:t>
            </m:r>
          </m:sub>
        </m:sSub>
      </m:oMath>
      <w:r>
        <w:rPr>
          <w:color w:val="000000"/>
          <w:vertAlign w:val="subscript"/>
        </w:rPr>
        <w:t xml:space="preserve"> </w:t>
      </w:r>
      <w:r>
        <w:rPr>
          <w:color w:val="000000"/>
        </w:rPr>
        <w:t xml:space="preserve">denote applicants from origin </w:t>
      </w:r>
      <m:oMath>
        <m:r>
          <w:rPr>
            <w:rFonts w:ascii="Cambria Math" w:hAnsi="Cambria Math"/>
            <w:color w:val="000000"/>
          </w:rPr>
          <m:t>j</m:t>
        </m:r>
      </m:oMath>
      <w:r>
        <w:rPr>
          <w:color w:val="000000"/>
        </w:rPr>
        <w:t xml:space="preserve"> and </w:t>
      </w:r>
      <m:oMath>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jt</m:t>
            </m:r>
          </m:sub>
        </m:sSub>
      </m:oMath>
      <w:r>
        <w:rPr>
          <w:color w:val="000000"/>
        </w:rPr>
        <w:t xml:space="preserve"> the effective price they face. A signed country-specific elasticity model is</w:t>
      </w:r>
    </w:p>
    <w:p w:rsidR="00527E3A" w:rsidRPr="00DF01C4" w:rsidRDefault="00527E3A" w:rsidP="00527E3A">
      <w:pPr>
        <w:keepLines/>
        <w:tabs>
          <w:tab w:val="center" w:pos="4513"/>
          <w:tab w:val="right" w:pos="9026"/>
        </w:tabs>
        <w:spacing w:line="360" w:lineRule="auto"/>
        <w:jc w:val="center"/>
      </w:pPr>
      <m:oMathPara>
        <m:oMath>
          <m:r>
            <m:rPr>
              <m:sty m:val="p"/>
            </m:rPr>
            <w:rPr>
              <w:rFonts w:ascii="Cambria Math" w:hAnsi="Cambria Math"/>
            </w:rPr>
            <m:t>log</m:t>
          </m:r>
          <m:sSub>
            <m:sSubPr>
              <m:ctrlPr>
                <w:rPr>
                  <w:rFonts w:ascii="Cambria Math" w:hAnsi="Cambria Math"/>
                </w:rPr>
              </m:ctrlPr>
            </m:sSubPr>
            <m:e>
              <m:r>
                <w:rPr>
                  <w:rFonts w:ascii="Cambria Math" w:hAnsi="Cambria Math"/>
                </w:rPr>
                <m:t>A</m:t>
              </m:r>
            </m:e>
            <m:sub>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j</m:t>
              </m:r>
            </m:sub>
          </m:sSub>
          <m:r>
            <m:rPr>
              <m:sty m:val="p"/>
            </m:rPr>
            <w:rPr>
              <w:rFonts w:ascii="Cambria Math" w:hAnsi="Cambria Math"/>
            </w:rPr>
            <m:t>log</m:t>
          </m:r>
          <m:sSub>
            <m:sSubPr>
              <m:ctrlPr>
                <w:rPr>
                  <w:rFonts w:ascii="Cambria Math" w:hAnsi="Cambria Math"/>
                </w:rPr>
              </m:ctrlPr>
            </m:sSubPr>
            <m:e>
              <m:r>
                <w:rPr>
                  <w:rFonts w:ascii="Cambria Math" w:hAnsi="Cambria Math"/>
                </w:rPr>
                <m:t>P</m:t>
              </m:r>
            </m:e>
            <m:sub>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m:t>
          </m:r>
          <m:sSubSup>
            <m:sSubSupPr>
              <m:ctrlPr>
                <w:rPr>
                  <w:rFonts w:ascii="Cambria Math" w:hAnsi="Cambria Math"/>
                </w:rPr>
              </m:ctrlPr>
            </m:sSubSupPr>
            <m:e>
              <m:r>
                <m:rPr>
                  <m:sty m:val="b"/>
                </m:rPr>
                <w:rPr>
                  <w:rFonts w:ascii="Cambria Math" w:hAnsi="Cambria Math"/>
                </w:rPr>
                <m:t>X</m:t>
              </m:r>
              <m:ctrlPr>
                <w:rPr>
                  <w:rFonts w:ascii="Cambria Math" w:hAnsi="Cambria Math"/>
                  <w:b/>
                </w:rPr>
              </m:ctrlPr>
            </m:e>
            <m:sub>
              <m:r>
                <w:rPr>
                  <w:rFonts w:ascii="Cambria Math" w:hAnsi="Cambria Math"/>
                </w:rPr>
                <m:t>j</m:t>
              </m:r>
              <m:r>
                <m:rPr>
                  <m:sty m:val="p"/>
                </m:rPr>
                <w:rPr>
                  <w:rFonts w:ascii="Cambria Math" w:hAnsi="Cambria Math"/>
                </w:rPr>
                <m:t>,</m:t>
              </m:r>
              <m:r>
                <w:rPr>
                  <w:rFonts w:ascii="Cambria Math" w:hAnsi="Cambria Math"/>
                </w:rPr>
                <m:t>t</m:t>
              </m:r>
              <m:ctrlPr>
                <w:rPr>
                  <w:rFonts w:ascii="Cambria Math" w:hAnsi="Cambria Math"/>
                  <w:i/>
                </w:rPr>
              </m:ctrlPr>
            </m:sub>
            <m:sup>
              <m:r>
                <m:rPr>
                  <m:sty m:val="p"/>
                </m:rPr>
                <w:rPr>
                  <w:rFonts w:ascii="Cambria Math" w:hAnsi="Cambria Math"/>
                </w:rPr>
                <m:t>'</m:t>
              </m:r>
            </m:sup>
          </m:sSubSup>
          <m:r>
            <m:rPr>
              <m:sty m:val="b"/>
            </m:rPr>
            <w:rPr>
              <w:rFonts w:ascii="Cambria Math" w:hAnsi="Cambria Math"/>
            </w:rPr>
            <m:t>θ</m:t>
          </m:r>
          <m: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j,t</m:t>
              </m:r>
            </m:sub>
          </m:sSub>
          <m:r>
            <m:rPr>
              <m:sty m:val="p"/>
            </m:rPr>
            <w:rPr>
              <w:rFonts w:ascii="Cambria Math" w:hAnsi="Cambria Math"/>
            </w:rPr>
            <m:t>.</m:t>
          </m:r>
        </m:oMath>
      </m:oMathPara>
    </w:p>
    <w:p w:rsidR="00527E3A" w:rsidRPr="00DF01C4" w:rsidRDefault="00527E3A" w:rsidP="00527E3A">
      <w:pPr>
        <w:keepLines/>
        <w:spacing w:line="360" w:lineRule="auto"/>
      </w:pPr>
      <w:r>
        <w:rPr>
          <w:color w:val="000000"/>
        </w:rPr>
        <w:t>where:</w:t>
      </w:r>
    </w:p>
    <w:p w:rsidR="00527E3A" w:rsidRPr="00DF01C4" w:rsidRDefault="00527E3A" w:rsidP="00527E3A">
      <w:pPr>
        <w:pStyle w:val="ListParagraph"/>
        <w:keepLines/>
        <w:numPr>
          <w:ilvl w:val="0"/>
          <w:numId w:val="20"/>
        </w:numPr>
        <w:spacing w:line="360" w:lineRule="auto"/>
      </w:pPr>
      <m:oMath>
        <m:sSub>
          <m:sSubPr>
            <m:ctrlPr>
              <w:rPr>
                <w:rFonts w:ascii="Cambria Math" w:hAnsi="Cambria Math"/>
                <w:i/>
                <w:color w:val="000000"/>
              </w:rPr>
            </m:ctrlPr>
          </m:sSubPr>
          <m:e>
            <m:r>
              <w:rPr>
                <w:rFonts w:ascii="Cambria Math" w:hAnsi="Cambria Math"/>
                <w:color w:val="000000"/>
              </w:rPr>
              <m:t>μ</m:t>
            </m:r>
          </m:e>
          <m:sub>
            <m:r>
              <w:rPr>
                <w:rFonts w:ascii="Cambria Math" w:hAnsi="Cambria Math"/>
                <w:color w:val="000000"/>
                <w:vertAlign w:val="subscript"/>
              </w:rPr>
              <m:t>j</m:t>
            </m:r>
          </m:sub>
        </m:sSub>
      </m:oMath>
      <w:r>
        <w:rPr>
          <w:color w:val="000000"/>
        </w:rPr>
        <w:t xml:space="preserve"> are country fixed effects, or time-invariant demand shifters;</w:t>
      </w:r>
    </w:p>
    <w:p w:rsidR="00527E3A" w:rsidRPr="00DF01C4" w:rsidRDefault="00527E3A" w:rsidP="00527E3A">
      <w:pPr>
        <w:pStyle w:val="ListParagraph"/>
        <w:keepLines/>
        <w:numPr>
          <w:ilvl w:val="0"/>
          <w:numId w:val="20"/>
        </w:numPr>
        <w:spacing w:line="360" w:lineRule="auto"/>
      </w:pPr>
      <m:oMath>
        <m:sSub>
          <m:sSubPr>
            <m:ctrlPr>
              <w:rPr>
                <w:rFonts w:ascii="Cambria Math" w:hAnsi="Cambria Math"/>
                <w:i/>
                <w:color w:val="000000"/>
              </w:rPr>
            </m:ctrlPr>
          </m:sSubPr>
          <m:e>
            <m:r>
              <w:rPr>
                <w:rFonts w:ascii="Cambria Math" w:hAnsi="Cambria Math"/>
                <w:color w:val="000000"/>
              </w:rPr>
              <m:t>δ</m:t>
            </m:r>
          </m:e>
          <m:sub>
            <m:r>
              <w:rPr>
                <w:rFonts w:ascii="Cambria Math" w:hAnsi="Cambria Math"/>
                <w:color w:val="000000"/>
                <w:vertAlign w:val="subscript"/>
              </w:rPr>
              <m:t>t</m:t>
            </m:r>
          </m:sub>
        </m:sSub>
      </m:oMath>
      <w:r>
        <w:rPr>
          <w:color w:val="000000"/>
        </w:rPr>
        <w:t xml:space="preserve"> are year fixed effects, including common shocks;</w:t>
      </w:r>
    </w:p>
    <w:p w:rsidR="00527E3A" w:rsidRPr="007C3D24" w:rsidRDefault="00527E3A" w:rsidP="00527E3A">
      <w:pPr>
        <w:pStyle w:val="ListParagraph"/>
        <w:keepLines/>
        <w:numPr>
          <w:ilvl w:val="0"/>
          <w:numId w:val="20"/>
        </w:numPr>
        <w:spacing w:line="360" w:lineRule="auto"/>
      </w:pPr>
      <m:oMath>
        <m:sSubSup>
          <m:sSubSupPr>
            <m:ctrlPr>
              <w:rPr>
                <w:rFonts w:ascii="Cambria Math" w:hAnsi="Cambria Math"/>
                <w:i/>
                <w:color w:val="000000"/>
              </w:rPr>
            </m:ctrlPr>
          </m:sSubSupPr>
          <m:e>
            <m:r>
              <w:rPr>
                <w:rFonts w:ascii="Cambria Math" w:hAnsi="Cambria Math"/>
                <w:color w:val="000000"/>
              </w:rPr>
              <m:t>X</m:t>
            </m:r>
          </m:e>
          <m:sub>
            <m:r>
              <w:rPr>
                <w:rFonts w:ascii="Cambria Math" w:hAnsi="Cambria Math"/>
                <w:color w:val="000000"/>
                <w:vertAlign w:val="subscript"/>
              </w:rPr>
              <m:t>jt</m:t>
            </m:r>
          </m:sub>
          <m:sup>
            <m:r>
              <w:rPr>
                <w:rFonts w:ascii="Cambria Math" w:hAnsi="Cambria Math"/>
                <w:color w:val="000000"/>
              </w:rPr>
              <m:t>'</m:t>
            </m:r>
          </m:sup>
        </m:sSubSup>
      </m:oMath>
      <w:r>
        <w:rPr>
          <w:color w:val="000000"/>
        </w:rPr>
        <w:t xml:space="preserve"> is a vector of observed controls;</w:t>
      </w:r>
    </w:p>
    <w:p w:rsidR="00527E3A" w:rsidRPr="007C3D24" w:rsidRDefault="00527E3A" w:rsidP="00527E3A">
      <w:pPr>
        <w:pStyle w:val="ListParagraph"/>
        <w:keepLines/>
        <w:numPr>
          <w:ilvl w:val="0"/>
          <w:numId w:val="20"/>
        </w:numPr>
        <w:spacing w:line="360" w:lineRule="auto"/>
      </w:pPr>
      <m:oMath>
        <m:r>
          <m:rPr>
            <m:sty m:val="b"/>
          </m:rPr>
          <w:rPr>
            <w:rFonts w:ascii="Cambria Math" w:hAnsi="Cambria Math"/>
          </w:rPr>
          <m:t>θ</m:t>
        </m:r>
      </m:oMath>
      <w:r>
        <w:rPr>
          <w:b/>
        </w:rPr>
        <w:t xml:space="preserve"> </w:t>
      </w:r>
      <w:r w:rsidRPr="007C3D24">
        <w:rPr>
          <w:bCs/>
        </w:rPr>
        <w:t>is a vector of coefficients for the control variables</w:t>
      </w:r>
      <w:r>
        <w:rPr>
          <w:bCs/>
        </w:rPr>
        <w:t>;</w:t>
      </w:r>
    </w:p>
    <w:p w:rsidR="00527E3A" w:rsidRPr="00DF01C4" w:rsidRDefault="00527E3A" w:rsidP="00527E3A">
      <w:pPr>
        <w:pStyle w:val="ListParagraph"/>
        <w:keepLines/>
        <w:numPr>
          <w:ilvl w:val="0"/>
          <w:numId w:val="20"/>
        </w:numPr>
        <w:spacing w:line="360" w:lineRule="auto"/>
      </w:pPr>
      <m:oMath>
        <m:sSub>
          <m:sSubPr>
            <m:ctrlPr>
              <w:rPr>
                <w:rFonts w:ascii="Cambria Math" w:hAnsi="Cambria Math"/>
                <w:i/>
                <w:color w:val="000000"/>
              </w:rPr>
            </m:ctrlPr>
          </m:sSubPr>
          <m:e>
            <m:r>
              <w:rPr>
                <w:rFonts w:ascii="Cambria Math" w:hAnsi="Cambria Math"/>
                <w:color w:val="000000"/>
              </w:rPr>
              <m:t>η</m:t>
            </m:r>
          </m:e>
          <m:sub>
            <m:r>
              <w:rPr>
                <w:rFonts w:ascii="Cambria Math" w:hAnsi="Cambria Math"/>
                <w:color w:val="000000"/>
              </w:rPr>
              <m:t>j</m:t>
            </m:r>
          </m:sub>
        </m:sSub>
        <m:r>
          <w:rPr>
            <w:rFonts w:ascii="Cambria Math" w:hAnsi="Cambria Math"/>
            <w:color w:val="000000"/>
          </w:rPr>
          <m:t>&lt;0</m:t>
        </m:r>
      </m:oMath>
      <w:r>
        <w:rPr>
          <w:color w:val="000000"/>
        </w:rPr>
        <w:t xml:space="preserve"> is the signed demand elasticity for origin j;</w:t>
      </w:r>
    </w:p>
    <w:p w:rsidR="00527E3A" w:rsidRPr="00DF01C4" w:rsidRDefault="00527E3A" w:rsidP="00527E3A">
      <w:pPr>
        <w:pStyle w:val="ListParagraph"/>
        <w:keepLines/>
        <w:numPr>
          <w:ilvl w:val="0"/>
          <w:numId w:val="20"/>
        </w:numPr>
        <w:spacing w:line="360" w:lineRule="auto"/>
      </w:pPr>
      <m:oMath>
        <m:sSub>
          <m:sSubPr>
            <m:ctrlPr>
              <w:rPr>
                <w:rFonts w:ascii="Cambria Math" w:hAnsi="Cambria Math"/>
                <w:i/>
                <w:color w:val="000000"/>
              </w:rPr>
            </m:ctrlPr>
          </m:sSubPr>
          <m:e>
            <m:r>
              <w:rPr>
                <w:rFonts w:ascii="Cambria Math" w:hAnsi="Cambria Math"/>
                <w:color w:val="000000"/>
              </w:rPr>
              <m:t>ε</m:t>
            </m:r>
          </m:e>
          <m:sub>
            <m:r>
              <w:rPr>
                <w:rFonts w:ascii="Cambria Math" w:hAnsi="Cambria Math"/>
                <w:color w:val="000000"/>
              </w:rPr>
              <m:t>jt</m:t>
            </m:r>
          </m:sub>
        </m:sSub>
      </m:oMath>
      <w:r>
        <w:rPr>
          <w:color w:val="000000"/>
        </w:rPr>
        <w:t xml:space="preserve"> is a mean-zero demand </w:t>
      </w:r>
      <w:proofErr w:type="gramStart"/>
      <w:r>
        <w:rPr>
          <w:color w:val="000000"/>
        </w:rPr>
        <w:t>disturbance.</w:t>
      </w:r>
      <w:proofErr w:type="gramEnd"/>
    </w:p>
    <w:p w:rsidR="00527E3A" w:rsidRPr="00DF01C4" w:rsidRDefault="00527E3A" w:rsidP="00527E3A">
      <w:pPr>
        <w:keepLines/>
        <w:spacing w:line="360" w:lineRule="auto"/>
      </w:pPr>
      <w:r>
        <w:rPr>
          <w:color w:val="000000"/>
        </w:rPr>
        <w:t xml:space="preserve">The signed elasticity is </w:t>
      </w:r>
      <m:oMath>
        <m:sSub>
          <m:sSubPr>
            <m:ctrlPr>
              <w:rPr>
                <w:rFonts w:ascii="Cambria Math" w:hAnsi="Cambria Math"/>
                <w:i/>
                <w:color w:val="000000"/>
              </w:rPr>
            </m:ctrlPr>
          </m:sSubPr>
          <m:e>
            <m:r>
              <w:rPr>
                <w:rFonts w:ascii="Cambria Math" w:hAnsi="Cambria Math"/>
                <w:color w:val="000000"/>
              </w:rPr>
              <m:t>η</m:t>
            </m:r>
          </m:e>
          <m:sub>
            <m:r>
              <w:rPr>
                <w:rFonts w:ascii="Cambria Math" w:hAnsi="Cambria Math"/>
                <w:color w:val="000000"/>
              </w:rPr>
              <m:t>j</m:t>
            </m:r>
          </m:sub>
        </m:sSub>
        <m:r>
          <w:rPr>
            <w:rFonts w:ascii="Cambria Math" w:hAnsi="Cambria Math"/>
            <w:color w:val="000000"/>
          </w:rPr>
          <m:t>=</m:t>
        </m:r>
        <m:f>
          <m:fPr>
            <m:ctrlPr>
              <w:rPr>
                <w:rFonts w:ascii="Cambria Math" w:hAnsi="Cambria Math"/>
                <w:i/>
                <w:color w:val="000000"/>
              </w:rPr>
            </m:ctrlPr>
          </m:fPr>
          <m:num>
            <m:r>
              <w:rPr>
                <w:rFonts w:ascii="Cambria Math" w:hAnsi="Cambria Math"/>
                <w:color w:val="000000"/>
              </w:rPr>
              <m:t>∂</m:t>
            </m:r>
            <m:func>
              <m:funcPr>
                <m:ctrlPr>
                  <w:rPr>
                    <w:rFonts w:ascii="Cambria Math" w:hAnsi="Cambria Math"/>
                    <w:i/>
                    <w:color w:val="000000"/>
                  </w:rPr>
                </m:ctrlPr>
              </m:funcPr>
              <m:fName>
                <m:r>
                  <m:rPr>
                    <m:sty m:val="p"/>
                  </m:rPr>
                  <w:rPr>
                    <w:rFonts w:ascii="Cambria Math" w:hAnsi="Cambria Math"/>
                    <w:color w:val="000000"/>
                  </w:rPr>
                  <m:t>log</m:t>
                </m:r>
              </m:fName>
              <m:e>
                <m:sSub>
                  <m:sSubPr>
                    <m:ctrlPr>
                      <w:rPr>
                        <w:rFonts w:ascii="Cambria Math" w:hAnsi="Cambria Math"/>
                        <w:i/>
                        <w:color w:val="000000"/>
                      </w:rPr>
                    </m:ctrlPr>
                  </m:sSubPr>
                  <m:e>
                    <m:r>
                      <w:rPr>
                        <w:rFonts w:ascii="Cambria Math" w:hAnsi="Cambria Math"/>
                        <w:color w:val="000000"/>
                      </w:rPr>
                      <m:t>Q</m:t>
                    </m:r>
                  </m:e>
                  <m:sub>
                    <m:r>
                      <w:rPr>
                        <w:rFonts w:ascii="Cambria Math" w:hAnsi="Cambria Math"/>
                        <w:color w:val="000000"/>
                      </w:rPr>
                      <m:t>jt</m:t>
                    </m:r>
                  </m:sub>
                </m:sSub>
              </m:e>
            </m:func>
          </m:num>
          <m:den>
            <m:r>
              <w:rPr>
                <w:rFonts w:ascii="Cambria Math" w:hAnsi="Cambria Math"/>
                <w:color w:val="000000"/>
              </w:rPr>
              <m:t>∂</m:t>
            </m:r>
            <m:func>
              <m:funcPr>
                <m:ctrlPr>
                  <w:rPr>
                    <w:rFonts w:ascii="Cambria Math" w:hAnsi="Cambria Math"/>
                    <w:i/>
                    <w:color w:val="000000"/>
                  </w:rPr>
                </m:ctrlPr>
              </m:funcPr>
              <m:fName>
                <m:r>
                  <m:rPr>
                    <m:sty m:val="p"/>
                  </m:rPr>
                  <w:rPr>
                    <w:rFonts w:ascii="Cambria Math" w:hAnsi="Cambria Math"/>
                    <w:color w:val="000000"/>
                  </w:rPr>
                  <m:t>log</m:t>
                </m:r>
              </m:fName>
              <m:e>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jt</m:t>
                    </m:r>
                  </m:sub>
                </m:sSub>
              </m:e>
            </m:func>
          </m:den>
        </m:f>
      </m:oMath>
      <w:r>
        <w:rPr>
          <w:color w:val="000000"/>
        </w:rPr>
        <w:t xml:space="preserve">. No constant is added inside the applicant logarithm because we select every sample so it is strictly positive. Let </w:t>
      </w:r>
      <m:oMath>
        <m:sSub>
          <m:sSubPr>
            <m:ctrlPr>
              <w:rPr>
                <w:rFonts w:ascii="Cambria Math" w:hAnsi="Cambria Math"/>
              </w:rPr>
            </m:ctrlPr>
          </m:sSubPr>
          <m:e>
            <m:r>
              <w:rPr>
                <w:rFonts w:ascii="Cambria Math" w:hAnsi="Cambria Math"/>
              </w:rPr>
              <m:t>Post</m:t>
            </m:r>
          </m:e>
          <m:sub>
            <m:r>
              <w:rPr>
                <w:rFonts w:ascii="Cambria Math" w:hAnsi="Cambria Math"/>
              </w:rPr>
              <m:t>t</m:t>
            </m:r>
          </m:sub>
        </m:sSub>
      </m:oMath>
      <w:r>
        <w:rPr>
          <w:color w:val="000000"/>
        </w:rPr>
        <w:t xml:space="preserve"> be an indicator equal to 1 in years after the new fee regime is introduced (post-2020) and 0 otherwise, and let </w:t>
      </w:r>
      <m:oMath>
        <m:r>
          <w:rPr>
            <w:rFonts w:ascii="Cambria Math" w:hAnsi="Cambria Math"/>
          </w:rPr>
          <m:t>1</m:t>
        </m:r>
        <m:d>
          <m:dPr>
            <m:begChr m:val="["/>
            <m:endChr m:val="]"/>
            <m:ctrlPr>
              <w:rPr>
                <w:rFonts w:ascii="Cambria Math" w:hAnsi="Cambria Math"/>
              </w:rPr>
            </m:ctrlPr>
          </m:dPr>
          <m:e>
            <m:r>
              <w:rPr>
                <w:rFonts w:ascii="Cambria Math" w:hAnsi="Cambria Math"/>
              </w:rPr>
              <m:t>Country j in EU</m:t>
            </m:r>
          </m:e>
        </m:d>
      </m:oMath>
      <w:r>
        <w:rPr>
          <w:color w:val="000000"/>
        </w:rPr>
        <w:t xml:space="preserve"> indicate EU origin countries (excluding Ireland). The Brexit shock enters the price equation as the system of simu</w:t>
      </w:r>
      <w:proofErr w:type="spellStart"/>
      <w:r>
        <w:rPr>
          <w:color w:val="000000"/>
        </w:rPr>
        <w:t>ltaneous</w:t>
      </w:r>
      <w:proofErr w:type="spellEnd"/>
      <w:r>
        <w:rPr>
          <w:color w:val="000000"/>
        </w:rPr>
        <w:t xml:space="preserve"> equations defining the country-specific reaction to the exogenous tuition shock:</w:t>
      </w:r>
    </w:p>
    <w:p w:rsidR="00527E3A" w:rsidRPr="00DF01C4" w:rsidRDefault="00527E3A" w:rsidP="00527E3A">
      <w:pPr>
        <w:keepLines/>
        <w:tabs>
          <w:tab w:val="center" w:pos="4513"/>
          <w:tab w:val="right" w:pos="9026"/>
        </w:tabs>
        <w:spacing w:line="360" w:lineRule="auto"/>
        <w:jc w:val="center"/>
      </w:pPr>
      <m:oMathPara>
        <m:oMath>
          <m:r>
            <m:rPr>
              <m:sty m:val="p"/>
            </m:rPr>
            <w:rPr>
              <w:rFonts w:ascii="Cambria Math" w:hAnsi="Cambria Math"/>
            </w:rPr>
            <m:t>log</m:t>
          </m:r>
          <m:sSub>
            <m:sSubPr>
              <m:ctrlPr>
                <w:rPr>
                  <w:rFonts w:ascii="Cambria Math" w:hAnsi="Cambria Math"/>
                </w:rPr>
              </m:ctrlPr>
            </m:sSubPr>
            <m:e>
              <m:r>
                <w:rPr>
                  <w:rFonts w:ascii="Cambria Math" w:hAnsi="Cambria Math"/>
                </w:rPr>
                <m:t>P</m:t>
              </m:r>
            </m:e>
            <m:sub>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ϕ</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j</m:t>
              </m:r>
            </m:sub>
          </m:sSub>
          <m:r>
            <m:rPr>
              <m:sty m:val="b"/>
            </m:rPr>
            <w:rPr>
              <w:rFonts w:ascii="Cambria Math" w:hAnsi="Cambria Math"/>
            </w:rPr>
            <m:t>1</m:t>
          </m:r>
          <m:r>
            <m:rPr>
              <m:sty m:val="p"/>
            </m:rPr>
            <w:rPr>
              <w:rFonts w:ascii="Cambria Math" w:hAnsi="Cambria Math"/>
            </w:rPr>
            <m:t>{</m:t>
          </m:r>
          <m:r>
            <w:rPr>
              <w:rFonts w:ascii="Cambria Math" w:hAnsi="Cambria Math"/>
            </w:rPr>
            <m:t>j</m:t>
          </m:r>
          <m:r>
            <m:rPr>
              <m:sty m:val="p"/>
            </m:rPr>
            <w:rPr>
              <w:rFonts w:ascii="Cambria Math" w:hAnsi="Cambria Math"/>
            </w:rPr>
            <m:t>∈EU}</m:t>
          </m:r>
          <m:sSub>
            <m:sSubPr>
              <m:ctrlPr>
                <w:rPr>
                  <w:rFonts w:ascii="Cambria Math" w:hAnsi="Cambria Math"/>
                </w:rPr>
              </m:ctrlPr>
            </m:sSubPr>
            <m:e>
              <m:r>
                <m:rPr>
                  <m:sty m:val="p"/>
                </m:rPr>
                <w:rPr>
                  <w:rFonts w:ascii="Cambria Math" w:hAnsi="Cambria Math"/>
                </w:rPr>
                <m:t>Post</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ν</m:t>
              </m:r>
            </m:e>
            <m:sub>
              <m:r>
                <w:rPr>
                  <w:rFonts w:ascii="Cambria Math" w:hAnsi="Cambria Math"/>
                </w:rPr>
                <m:t>j,t</m:t>
              </m:r>
            </m:sub>
          </m:sSub>
          <m:r>
            <m:rPr>
              <m:sty m:val="p"/>
            </m:rPr>
            <w:rPr>
              <w:rFonts w:ascii="Cambria Math" w:hAnsi="Cambria Math"/>
            </w:rPr>
            <m:t>.</m:t>
          </m:r>
        </m:oMath>
      </m:oMathPara>
    </w:p>
    <w:p w:rsidR="00527E3A" w:rsidRPr="00DF01C4" w:rsidRDefault="00527E3A" w:rsidP="00527E3A">
      <w:pPr>
        <w:pStyle w:val="ListParagraph"/>
        <w:keepLines/>
        <w:numPr>
          <w:ilvl w:val="0"/>
          <w:numId w:val="20"/>
        </w:numPr>
        <w:spacing w:line="360" w:lineRule="auto"/>
      </w:pPr>
      <m:oMath>
        <m:sSub>
          <m:sSubPr>
            <m:ctrlPr>
              <w:rPr>
                <w:rFonts w:ascii="Cambria Math" w:hAnsi="Cambria Math"/>
              </w:rPr>
            </m:ctrlPr>
          </m:sSubPr>
          <m:e>
            <m:r>
              <w:rPr>
                <w:rFonts w:ascii="Cambria Math" w:hAnsi="Cambria Math"/>
              </w:rPr>
              <m:t>ϕ</m:t>
            </m:r>
          </m:e>
          <m:sub>
            <m:r>
              <w:rPr>
                <w:rFonts w:ascii="Cambria Math" w:hAnsi="Cambria Math"/>
              </w:rPr>
              <m:t>j</m:t>
            </m:r>
          </m:sub>
        </m:sSub>
      </m:oMath>
      <w:r>
        <w:rPr>
          <w:color w:val="000000"/>
        </w:rPr>
        <w:t xml:space="preserve"> is the pre-reform log price level for origin j;</w:t>
      </w:r>
    </w:p>
    <w:p w:rsidR="00527E3A" w:rsidRPr="00DF01C4" w:rsidRDefault="00527E3A" w:rsidP="00527E3A">
      <w:pPr>
        <w:pStyle w:val="ListParagraph"/>
        <w:keepLines/>
        <w:numPr>
          <w:ilvl w:val="0"/>
          <w:numId w:val="20"/>
        </w:numPr>
        <w:spacing w:line="360" w:lineRule="auto"/>
      </w:pPr>
      <m:oMath>
        <m:sSub>
          <m:sSubPr>
            <m:ctrlPr>
              <w:rPr>
                <w:rFonts w:ascii="Cambria Math" w:hAnsi="Cambria Math"/>
              </w:rPr>
            </m:ctrlPr>
          </m:sSubPr>
          <m:e>
            <m:r>
              <w:rPr>
                <w:rFonts w:ascii="Cambria Math" w:hAnsi="Cambria Math"/>
              </w:rPr>
              <m:t>k</m:t>
            </m:r>
          </m:e>
          <m:sub>
            <m:r>
              <w:rPr>
                <w:rFonts w:ascii="Cambria Math" w:hAnsi="Cambria Math"/>
              </w:rPr>
              <m:t>j</m:t>
            </m:r>
          </m:sub>
        </m:sSub>
      </m:oMath>
      <w:r>
        <w:rPr>
          <w:color w:val="000000"/>
        </w:rPr>
        <w:t xml:space="preserve"> is the Brexit-induced log price change for origin j;</w:t>
      </w:r>
    </w:p>
    <w:p w:rsidR="00527E3A" w:rsidRPr="00DF01C4" w:rsidRDefault="00527E3A" w:rsidP="00527E3A">
      <w:pPr>
        <w:pStyle w:val="ListParagraph"/>
        <w:keepLines/>
        <w:numPr>
          <w:ilvl w:val="0"/>
          <w:numId w:val="20"/>
        </w:numPr>
        <w:spacing w:line="360" w:lineRule="auto"/>
      </w:pPr>
      <m:oMath>
        <m:sSub>
          <m:sSubPr>
            <m:ctrlPr>
              <w:rPr>
                <w:rFonts w:ascii="Cambria Math" w:hAnsi="Cambria Math"/>
              </w:rPr>
            </m:ctrlPr>
          </m:sSubPr>
          <m:e>
            <m:r>
              <w:rPr>
                <w:rFonts w:ascii="Cambria Math" w:hAnsi="Cambria Math"/>
              </w:rPr>
              <m:t>ν</m:t>
            </m:r>
          </m:e>
          <m:sub>
            <m:r>
              <w:rPr>
                <w:rFonts w:ascii="Cambria Math" w:hAnsi="Cambria Math"/>
              </w:rPr>
              <m:t>j,t</m:t>
            </m:r>
          </m:sub>
        </m:sSub>
      </m:oMath>
      <w:r>
        <w:rPr>
          <w:color w:val="000000"/>
        </w:rPr>
        <w:t xml:space="preserve"> is a mean-zero price </w:t>
      </w:r>
      <w:proofErr w:type="gramStart"/>
      <w:r>
        <w:rPr>
          <w:color w:val="000000"/>
        </w:rPr>
        <w:t>disturbance.</w:t>
      </w:r>
      <w:proofErr w:type="gramEnd"/>
    </w:p>
    <w:p w:rsidR="00527E3A" w:rsidRPr="00DF01C4" w:rsidRDefault="00527E3A" w:rsidP="00527E3A">
      <w:pPr>
        <w:keepLines/>
        <w:spacing w:line="360" w:lineRule="auto"/>
      </w:pPr>
      <w:r>
        <w:rPr>
          <w:color w:val="000000"/>
        </w:rPr>
        <w:t>Combining equations (1) and (2) yields:</w:t>
      </w:r>
    </w:p>
    <w:p w:rsidR="00527E3A" w:rsidRPr="00DF01C4" w:rsidRDefault="00527E3A" w:rsidP="00527E3A">
      <w:pPr>
        <w:keepLines/>
        <w:spacing w:line="360" w:lineRule="auto"/>
        <w:jc w:val="center"/>
      </w:pPr>
      <m:oMathPara>
        <m:oMath>
          <m:r>
            <m:rPr>
              <m:sty m:val="p"/>
            </m:rPr>
            <w:rPr>
              <w:rFonts w:ascii="Cambria Math" w:hAnsi="Cambria Math"/>
            </w:rPr>
            <m:t>log</m:t>
          </m:r>
          <m:sSub>
            <m:sSubPr>
              <m:ctrlPr>
                <w:rPr>
                  <w:rFonts w:ascii="Cambria Math" w:hAnsi="Cambria Math"/>
                </w:rPr>
              </m:ctrlPr>
            </m:sSubPr>
            <m:e>
              <m:r>
                <w:rPr>
                  <w:rFonts w:ascii="Cambria Math" w:hAnsi="Cambria Math"/>
                </w:rPr>
                <m:t>A</m:t>
              </m:r>
            </m:e>
            <m:sub>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j</m:t>
              </m:r>
            </m:sub>
          </m:sSub>
          <m:d>
            <m:dPr>
              <m:begChr m:val="["/>
              <m:endChr m:val="]"/>
              <m:ctrlPr>
                <w:rPr>
                  <w:rFonts w:ascii="Cambria Math" w:hAnsi="Cambria Math"/>
                </w:rPr>
              </m:ctrlPr>
            </m:dPr>
            <m:e>
              <m:sSub>
                <m:sSubPr>
                  <m:ctrlPr>
                    <w:rPr>
                      <w:rFonts w:ascii="Cambria Math" w:hAnsi="Cambria Math"/>
                    </w:rPr>
                  </m:ctrlPr>
                </m:sSubPr>
                <m:e>
                  <m:r>
                    <w:rPr>
                      <w:rFonts w:ascii="Cambria Math" w:hAnsi="Cambria Math"/>
                    </w:rPr>
                    <m:t>ϕ</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j</m:t>
                  </m:r>
                </m:sub>
              </m:sSub>
              <m:r>
                <m:rPr>
                  <m:sty m:val="b"/>
                </m:rPr>
                <w:rPr>
                  <w:rFonts w:ascii="Cambria Math" w:hAnsi="Cambria Math"/>
                </w:rPr>
                <m:t>1</m:t>
              </m:r>
              <m:r>
                <m:rPr>
                  <m:sty m:val="p"/>
                </m:rPr>
                <w:rPr>
                  <w:rFonts w:ascii="Cambria Math" w:hAnsi="Cambria Math"/>
                </w:rPr>
                <m:t>{</m:t>
              </m:r>
              <m:r>
                <w:rPr>
                  <w:rFonts w:ascii="Cambria Math" w:hAnsi="Cambria Math"/>
                </w:rPr>
                <m:t>j</m:t>
              </m:r>
              <m:r>
                <m:rPr>
                  <m:sty m:val="p"/>
                </m:rPr>
                <w:rPr>
                  <w:rFonts w:ascii="Cambria Math" w:hAnsi="Cambria Math"/>
                </w:rPr>
                <m:t>∈EU}</m:t>
              </m:r>
              <m:sSub>
                <m:sSubPr>
                  <m:ctrlPr>
                    <w:rPr>
                      <w:rFonts w:ascii="Cambria Math" w:hAnsi="Cambria Math"/>
                    </w:rPr>
                  </m:ctrlPr>
                </m:sSubPr>
                <m:e>
                  <m:r>
                    <m:rPr>
                      <m:sty m:val="p"/>
                    </m:rPr>
                    <w:rPr>
                      <w:rFonts w:ascii="Cambria Math" w:hAnsi="Cambria Math"/>
                    </w:rPr>
                    <m:t>Post</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ν</m:t>
                  </m:r>
                </m:e>
                <m:sub>
                  <m:r>
                    <w:rPr>
                      <w:rFonts w:ascii="Cambria Math" w:hAnsi="Cambria Math"/>
                    </w:rPr>
                    <m:t>j</m:t>
                  </m:r>
                  <m:r>
                    <m:rPr>
                      <m:sty m:val="p"/>
                    </m:rPr>
                    <w:rPr>
                      <w:rFonts w:ascii="Cambria Math" w:hAnsi="Cambria Math"/>
                    </w:rPr>
                    <m:t>,</m:t>
                  </m:r>
                  <m:r>
                    <w:rPr>
                      <w:rFonts w:ascii="Cambria Math" w:hAnsi="Cambria Math"/>
                    </w:rPr>
                    <m:t>t</m:t>
                  </m:r>
                </m:sub>
              </m:sSub>
            </m:e>
          </m:d>
          <m:r>
            <m:rPr>
              <m:sty m:val="p"/>
            </m:rPr>
            <w:rPr>
              <w:rFonts w:ascii="Cambria Math" w:hAnsi="Cambria Math"/>
            </w:rPr>
            <m:t>+</m:t>
          </m:r>
          <m:sSubSup>
            <m:sSubSupPr>
              <m:ctrlPr>
                <w:rPr>
                  <w:rFonts w:ascii="Cambria Math" w:hAnsi="Cambria Math"/>
                </w:rPr>
              </m:ctrlPr>
            </m:sSubSupPr>
            <m:e>
              <m:r>
                <m:rPr>
                  <m:sty m:val="b"/>
                </m:rPr>
                <w:rPr>
                  <w:rFonts w:ascii="Cambria Math" w:hAnsi="Cambria Math"/>
                </w:rPr>
                <m:t>X</m:t>
              </m:r>
              <m:ctrlPr>
                <w:rPr>
                  <w:rFonts w:ascii="Cambria Math" w:hAnsi="Cambria Math"/>
                  <w:b/>
                </w:rPr>
              </m:ctrlPr>
            </m:e>
            <m:sub>
              <m:r>
                <w:rPr>
                  <w:rFonts w:ascii="Cambria Math" w:hAnsi="Cambria Math"/>
                </w:rPr>
                <m:t>j</m:t>
              </m:r>
              <m:r>
                <m:rPr>
                  <m:sty m:val="p"/>
                </m:rPr>
                <w:rPr>
                  <w:rFonts w:ascii="Cambria Math" w:hAnsi="Cambria Math"/>
                </w:rPr>
                <m:t>,</m:t>
              </m:r>
              <m:r>
                <w:rPr>
                  <w:rFonts w:ascii="Cambria Math" w:hAnsi="Cambria Math"/>
                </w:rPr>
                <m:t>t</m:t>
              </m:r>
              <m:ctrlPr>
                <w:rPr>
                  <w:rFonts w:ascii="Cambria Math" w:hAnsi="Cambria Math"/>
                  <w:i/>
                </w:rPr>
              </m:ctrlPr>
            </m:sub>
            <m:sup>
              <m:r>
                <m:rPr>
                  <m:sty m:val="p"/>
                </m:rPr>
                <w:rPr>
                  <w:rFonts w:ascii="Cambria Math" w:hAnsi="Cambria Math"/>
                </w:rPr>
                <m:t>'</m:t>
              </m:r>
            </m:sup>
          </m:sSubSup>
          <m:r>
            <m:rPr>
              <m:sty m:val="b"/>
            </m:rPr>
            <w:rPr>
              <w:rFonts w:ascii="Cambria Math" w:hAnsi="Cambria Math"/>
            </w:rPr>
            <m:t>θ</m:t>
          </m:r>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m:t>
          </m:r>
        </m:oMath>
      </m:oMathPara>
    </w:p>
    <w:p w:rsidR="00527E3A" w:rsidRPr="00DF01C4" w:rsidRDefault="00527E3A" w:rsidP="00527E3A">
      <w:pPr>
        <w:keepLines/>
        <w:spacing w:line="360" w:lineRule="auto"/>
        <w:jc w:val="center"/>
      </w:pPr>
      <m:oMathPara>
        <m:oMathParaPr>
          <m:jc m:val="center"/>
        </m:oMathParaPr>
        <m:oMath>
          <m:r>
            <m:rPr>
              <m:sty m:val="p"/>
            </m:rPr>
            <w:rPr>
              <w:rFonts w:ascii="Cambria Math" w:hAnsi="Cambria Math"/>
            </w:rPr>
            <m:t>log</m:t>
          </m:r>
          <m:sSub>
            <m:sSubPr>
              <m:ctrlPr>
                <w:rPr>
                  <w:rFonts w:ascii="Cambria Math" w:hAnsi="Cambria Math"/>
                </w:rPr>
              </m:ctrlPr>
            </m:sSubPr>
            <m:e>
              <m:r>
                <w:rPr>
                  <w:rFonts w:ascii="Cambria Math" w:hAnsi="Cambria Math"/>
                </w:rPr>
                <m:t>A</m:t>
              </m:r>
            </m:e>
            <m:sub>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μ</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j</m:t>
                  </m:r>
                </m:sub>
              </m:sSub>
              <m:sSub>
                <m:sSubPr>
                  <m:ctrlPr>
                    <w:rPr>
                      <w:rFonts w:ascii="Cambria Math" w:hAnsi="Cambria Math"/>
                    </w:rPr>
                  </m:ctrlPr>
                </m:sSubPr>
                <m:e>
                  <m:r>
                    <w:rPr>
                      <w:rFonts w:ascii="Cambria Math" w:hAnsi="Cambria Math"/>
                    </w:rPr>
                    <m:t>ϕ</m:t>
                  </m:r>
                </m:e>
                <m:sub>
                  <m:r>
                    <w:rPr>
                      <w:rFonts w:ascii="Cambria Math" w:hAnsi="Cambria Math"/>
                    </w:rPr>
                    <m:t>j</m:t>
                  </m:r>
                </m:sub>
              </m:sSub>
            </m:e>
          </m:d>
          <m:r>
            <m:rPr>
              <m:sty m:val="p"/>
            </m:rP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j</m:t>
              </m:r>
            </m:sub>
          </m:sSub>
          <m:sSub>
            <m:sSubPr>
              <m:ctrlPr>
                <w:rPr>
                  <w:rFonts w:ascii="Cambria Math" w:hAnsi="Cambria Math"/>
                </w:rPr>
              </m:ctrlPr>
            </m:sSubPr>
            <m:e>
              <m:r>
                <w:rPr>
                  <w:rFonts w:ascii="Cambria Math" w:hAnsi="Cambria Math"/>
                </w:rPr>
                <m:t>k</m:t>
              </m:r>
            </m:e>
            <m:sub>
              <m:r>
                <w:rPr>
                  <w:rFonts w:ascii="Cambria Math" w:hAnsi="Cambria Math"/>
                </w:rPr>
                <m:t>j</m:t>
              </m:r>
            </m:sub>
          </m:sSub>
          <m:r>
            <m:rPr>
              <m:sty m:val="b"/>
            </m:rPr>
            <w:rPr>
              <w:rFonts w:ascii="Cambria Math" w:hAnsi="Cambria Math"/>
            </w:rPr>
            <m:t>1</m:t>
          </m:r>
          <m:r>
            <m:rPr>
              <m:sty m:val="p"/>
            </m:rPr>
            <w:rPr>
              <w:rFonts w:ascii="Cambria Math" w:hAnsi="Cambria Math"/>
            </w:rPr>
            <m:t>{</m:t>
          </m:r>
          <m:r>
            <w:rPr>
              <w:rFonts w:ascii="Cambria Math" w:hAnsi="Cambria Math"/>
            </w:rPr>
            <m:t>j</m:t>
          </m:r>
          <m:r>
            <m:rPr>
              <m:sty m:val="p"/>
            </m:rPr>
            <w:rPr>
              <w:rFonts w:ascii="Cambria Math" w:hAnsi="Cambria Math"/>
            </w:rPr>
            <m:t>∈EU}</m:t>
          </m:r>
          <m:sSub>
            <m:sSubPr>
              <m:ctrlPr>
                <w:rPr>
                  <w:rFonts w:ascii="Cambria Math" w:hAnsi="Cambria Math"/>
                </w:rPr>
              </m:ctrlPr>
            </m:sSubPr>
            <m:e>
              <m:r>
                <m:rPr>
                  <m:sty m:val="p"/>
                </m:rPr>
                <w:rPr>
                  <w:rFonts w:ascii="Cambria Math" w:hAnsi="Cambria Math"/>
                </w:rPr>
                <m:t>Post</m:t>
              </m:r>
            </m:e>
            <m:sub>
              <m:r>
                <w:rPr>
                  <w:rFonts w:ascii="Cambria Math" w:hAnsi="Cambria Math"/>
                </w:rPr>
                <m:t>t</m:t>
              </m:r>
            </m:sub>
          </m:sSub>
          <m:r>
            <m:rPr>
              <m:sty m:val="p"/>
            </m:rPr>
            <w:rPr>
              <w:rFonts w:ascii="Cambria Math" w:hAnsi="Cambria Math"/>
            </w:rPr>
            <m:t>+</m:t>
          </m:r>
          <m:sSubSup>
            <m:sSubSupPr>
              <m:ctrlPr>
                <w:rPr>
                  <w:rFonts w:ascii="Cambria Math" w:hAnsi="Cambria Math"/>
                </w:rPr>
              </m:ctrlPr>
            </m:sSubSupPr>
            <m:e>
              <m:r>
                <m:rPr>
                  <m:sty m:val="b"/>
                </m:rPr>
                <w:rPr>
                  <w:rFonts w:ascii="Cambria Math" w:hAnsi="Cambria Math"/>
                </w:rPr>
                <m:t>X</m:t>
              </m:r>
            </m:e>
            <m:sub>
              <m:r>
                <w:rPr>
                  <w:rFonts w:ascii="Cambria Math" w:hAnsi="Cambria Math"/>
                </w:rPr>
                <m:t>j</m:t>
              </m:r>
              <m:r>
                <m:rPr>
                  <m:sty m:val="p"/>
                </m:rPr>
                <w:rPr>
                  <w:rFonts w:ascii="Cambria Math" w:hAnsi="Cambria Math"/>
                </w:rPr>
                <m:t>,</m:t>
              </m:r>
              <m:r>
                <w:rPr>
                  <w:rFonts w:ascii="Cambria Math" w:hAnsi="Cambria Math"/>
                </w:rPr>
                <m:t>t</m:t>
              </m:r>
              <m:ctrlPr>
                <w:rPr>
                  <w:rFonts w:ascii="Cambria Math" w:hAnsi="Cambria Math"/>
                  <w:i/>
                </w:rPr>
              </m:ctrlPr>
            </m:sub>
            <m:sup>
              <m:r>
                <m:rPr>
                  <m:sty m:val="p"/>
                </m:rPr>
                <w:rPr>
                  <w:rFonts w:ascii="Cambria Math" w:hAnsi="Cambria Math"/>
                </w:rPr>
                <m:t>'</m:t>
              </m:r>
            </m:sup>
          </m:sSubSup>
          <m:r>
            <m:rPr>
              <m:sty m:val="b"/>
            </m:rPr>
            <w:rPr>
              <w:rFonts w:ascii="Cambria Math" w:hAnsi="Cambria Math"/>
            </w:rPr>
            <m:t>θ</m:t>
          </m:r>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ε</m:t>
                  </m:r>
                </m:e>
                <m:sub>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j</m:t>
                  </m:r>
                </m:sub>
              </m:sSub>
              <m:sSub>
                <m:sSubPr>
                  <m:ctrlPr>
                    <w:rPr>
                      <w:rFonts w:ascii="Cambria Math" w:hAnsi="Cambria Math"/>
                    </w:rPr>
                  </m:ctrlPr>
                </m:sSubPr>
                <m:e>
                  <m:r>
                    <w:rPr>
                      <w:rFonts w:ascii="Cambria Math" w:hAnsi="Cambria Math"/>
                    </w:rPr>
                    <m:t>ν</m:t>
                  </m:r>
                </m:e>
                <m:sub>
                  <m:r>
                    <w:rPr>
                      <w:rFonts w:ascii="Cambria Math" w:hAnsi="Cambria Math"/>
                    </w:rPr>
                    <m:t>j</m:t>
                  </m:r>
                  <m:r>
                    <m:rPr>
                      <m:sty m:val="p"/>
                    </m:rPr>
                    <w:rPr>
                      <w:rFonts w:ascii="Cambria Math" w:hAnsi="Cambria Math"/>
                    </w:rPr>
                    <m:t>,</m:t>
                  </m:r>
                  <m:r>
                    <w:rPr>
                      <w:rFonts w:ascii="Cambria Math" w:hAnsi="Cambria Math"/>
                    </w:rPr>
                    <m:t>t</m:t>
                  </m:r>
                </m:sub>
              </m:sSub>
            </m:e>
          </m:d>
          <m:r>
            <m:rPr>
              <m:sty m:val="p"/>
            </m:rPr>
            <w:rPr>
              <w:rFonts w:ascii="Cambria Math" w:hAnsi="Cambria Math"/>
            </w:rPr>
            <m:t>.</m:t>
          </m:r>
        </m:oMath>
      </m:oMathPara>
    </w:p>
    <w:p w:rsidR="00527E3A" w:rsidRPr="00DF01C4" w:rsidRDefault="00527E3A" w:rsidP="00527E3A">
      <w:pPr>
        <w:keepLines/>
        <w:spacing w:line="360" w:lineRule="auto"/>
      </w:pPr>
      <w:r>
        <w:rPr>
          <w:color w:val="000000"/>
        </w:rPr>
        <w:t xml:space="preserve">Let </w:t>
      </w:r>
      <m:oMath>
        <m:sSub>
          <m:sSubPr>
            <m:ctrlPr>
              <w:rPr>
                <w:rFonts w:ascii="Cambria Math" w:hAnsi="Cambria Math"/>
                <w:i/>
                <w:color w:val="000000"/>
              </w:rPr>
            </m:ctrlPr>
          </m:sSubPr>
          <m:e>
            <m:r>
              <w:rPr>
                <w:rFonts w:ascii="Cambria Math" w:hAnsi="Cambria Math"/>
                <w:color w:val="000000"/>
              </w:rPr>
              <m:t>α</m:t>
            </m:r>
          </m:e>
          <m:sub>
            <m:r>
              <w:rPr>
                <w:rFonts w:ascii="Cambria Math" w:hAnsi="Cambria Math"/>
                <w:color w:val="000000"/>
              </w:rPr>
              <m:t>j</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μ</m:t>
            </m:r>
          </m:e>
          <m:sub>
            <m:r>
              <w:rPr>
                <w:rFonts w:ascii="Cambria Math" w:hAnsi="Cambria Math"/>
                <w:color w:val="000000"/>
              </w:rPr>
              <m:t>j</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η</m:t>
            </m:r>
          </m:e>
          <m:sub>
            <m:r>
              <w:rPr>
                <w:rFonts w:ascii="Cambria Math" w:hAnsi="Cambria Math"/>
                <w:color w:val="000000"/>
              </w:rPr>
              <m:t>j</m:t>
            </m:r>
          </m:sub>
        </m:sSub>
        <m:sSub>
          <m:sSubPr>
            <m:ctrlPr>
              <w:rPr>
                <w:rFonts w:ascii="Cambria Math" w:hAnsi="Cambria Math"/>
                <w:i/>
                <w:color w:val="000000"/>
              </w:rPr>
            </m:ctrlPr>
          </m:sSubPr>
          <m:e>
            <m:r>
              <w:rPr>
                <w:rFonts w:ascii="Cambria Math" w:hAnsi="Cambria Math"/>
                <w:color w:val="000000"/>
              </w:rPr>
              <m:t>ϕ</m:t>
            </m:r>
          </m:e>
          <m:sub>
            <m:r>
              <w:rPr>
                <w:rFonts w:ascii="Cambria Math" w:hAnsi="Cambria Math"/>
                <w:color w:val="000000"/>
              </w:rPr>
              <m:t>j</m:t>
            </m:r>
          </m:sub>
        </m:sSub>
      </m:oMath>
      <w:r>
        <w:rPr>
          <w:color w:val="000000"/>
        </w:rPr>
        <w:t xml:space="preserve"> and </w:t>
      </w:r>
      <m:oMath>
        <m:sSubSup>
          <m:sSubSupPr>
            <m:ctrlPr>
              <w:rPr>
                <w:rFonts w:ascii="Cambria Math" w:hAnsi="Cambria Math"/>
                <w:i/>
              </w:rPr>
            </m:ctrlPr>
          </m:sSubSupPr>
          <m:e>
            <m:r>
              <w:rPr>
                <w:rFonts w:ascii="Cambria Math" w:hAnsi="Cambria Math"/>
              </w:rPr>
              <m:t>ε</m:t>
            </m:r>
          </m:e>
          <m:sub>
            <m:r>
              <w:rPr>
                <w:rFonts w:ascii="Cambria Math" w:hAnsi="Cambria Math"/>
              </w:rPr>
              <m:t>jt</m:t>
            </m:r>
          </m:sub>
          <m:sup>
            <m:r>
              <w:rPr>
                <w:rFonts w:ascii="Cambria Math" w:hAnsi="Cambria Math"/>
              </w:rPr>
              <m:t>*</m:t>
            </m:r>
          </m:sup>
        </m:sSubSup>
        <m:r>
          <w:rPr>
            <w:rFonts w:ascii="Cambria Math" w:hAnsi="Cambria Math"/>
          </w:rPr>
          <m:t xml:space="preserve"> = </m:t>
        </m:r>
        <m:sSub>
          <m:sSubPr>
            <m:ctrlPr>
              <w:rPr>
                <w:rFonts w:ascii="Cambria Math" w:hAnsi="Cambria Math"/>
                <w:i/>
              </w:rPr>
            </m:ctrlPr>
          </m:sSubPr>
          <m:e>
            <m:r>
              <w:rPr>
                <w:rFonts w:ascii="Cambria Math" w:hAnsi="Cambria Math"/>
              </w:rPr>
              <m:t>ε</m:t>
            </m:r>
          </m:e>
          <m:sub>
            <m:r>
              <w:rPr>
                <w:rFonts w:ascii="Cambria Math" w:hAnsi="Cambria Math"/>
              </w:rPr>
              <m:t>jt</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j</m:t>
            </m:r>
          </m:sub>
        </m:sSub>
        <m:sSub>
          <m:sSubPr>
            <m:ctrlPr>
              <w:rPr>
                <w:rFonts w:ascii="Cambria Math" w:hAnsi="Cambria Math"/>
                <w:i/>
              </w:rPr>
            </m:ctrlPr>
          </m:sSubPr>
          <m:e>
            <m:r>
              <w:rPr>
                <w:rFonts w:ascii="Cambria Math" w:hAnsi="Cambria Math"/>
              </w:rPr>
              <m:t>ν</m:t>
            </m:r>
          </m:e>
          <m:sub>
            <m:r>
              <w:rPr>
                <w:rFonts w:ascii="Cambria Math" w:hAnsi="Cambria Math"/>
              </w:rPr>
              <m:t>jt</m:t>
            </m:r>
          </m:sub>
        </m:sSub>
      </m:oMath>
      <w:r>
        <w:rPr>
          <w:color w:val="000000"/>
        </w:rPr>
        <w:t>. The fixed effects absorb time-invariant components, giving the reduced-form specification below. The reported tables use Driscoll–Kraay standard errors with one lag. Because the panels contain only nine or ten time periods, inference should also be treated as a short-panel sensitivity concern.</w:t>
      </w:r>
    </w:p>
    <w:p w:rsidR="00527E3A" w:rsidRPr="00DF01C4" w:rsidRDefault="00527E3A" w:rsidP="00527E3A">
      <w:pPr>
        <w:keepLines/>
        <w:tabs>
          <w:tab w:val="center" w:pos="4513"/>
          <w:tab w:val="right" w:pos="9026"/>
        </w:tabs>
        <w:spacing w:line="360" w:lineRule="auto"/>
        <w:jc w:val="center"/>
      </w:pPr>
      <m:oMathPara>
        <m:oMath>
          <m:r>
            <m:rPr>
              <m:sty m:val="p"/>
            </m:rPr>
            <w:rPr>
              <w:rFonts w:ascii="Cambria Math" w:hAnsi="Cambria Math"/>
            </w:rPr>
            <w:lastRenderedPageBreak/>
            <m:t>log</m:t>
          </m:r>
          <m:sSub>
            <m:sSubPr>
              <m:ctrlPr>
                <w:rPr>
                  <w:rFonts w:ascii="Cambria Math" w:hAnsi="Cambria Math"/>
                </w:rPr>
              </m:ctrlPr>
            </m:sSubPr>
            <m:e>
              <m:r>
                <w:rPr>
                  <w:rFonts w:ascii="Cambria Math" w:hAnsi="Cambria Math"/>
                </w:rPr>
                <m:t>A</m:t>
              </m:r>
            </m:e>
            <m:sub>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j</m:t>
              </m:r>
            </m:sub>
          </m:sSub>
          <m:r>
            <m:rPr>
              <m:sty m:val="bi"/>
            </m:rPr>
            <w:rPr>
              <w:rFonts w:ascii="Cambria Math" w:hAnsi="Cambria Math"/>
            </w:rPr>
            <m:t>1</m:t>
          </m:r>
          <m:r>
            <m:rPr>
              <m:sty m:val="p"/>
            </m:rPr>
            <w:rPr>
              <w:rFonts w:ascii="Cambria Math" w:hAnsi="Cambria Math"/>
            </w:rPr>
            <m:t>{</m:t>
          </m:r>
          <m:r>
            <w:rPr>
              <w:rFonts w:ascii="Cambria Math" w:hAnsi="Cambria Math"/>
            </w:rPr>
            <m:t>j</m:t>
          </m:r>
          <m:r>
            <m:rPr>
              <m:sty m:val="p"/>
            </m:rPr>
            <w:rPr>
              <w:rFonts w:ascii="Cambria Math" w:hAnsi="Cambria Math"/>
            </w:rPr>
            <m:t>∈EU}</m:t>
          </m:r>
          <m:sSub>
            <m:sSubPr>
              <m:ctrlPr>
                <w:rPr>
                  <w:rFonts w:ascii="Cambria Math" w:hAnsi="Cambria Math"/>
                </w:rPr>
              </m:ctrlPr>
            </m:sSubPr>
            <m:e>
              <m:r>
                <m:rPr>
                  <m:sty m:val="p"/>
                </m:rPr>
                <w:rPr>
                  <w:rFonts w:ascii="Cambria Math" w:hAnsi="Cambria Math"/>
                </w:rPr>
                <m:t>Post</m:t>
              </m:r>
            </m:e>
            <m:sub>
              <m:r>
                <w:rPr>
                  <w:rFonts w:ascii="Cambria Math" w:hAnsi="Cambria Math"/>
                </w:rPr>
                <m:t>t</m:t>
              </m:r>
            </m:sub>
          </m:sSub>
          <m:r>
            <w:rPr>
              <w:rFonts w:ascii="Cambria Math" w:hAnsi="Cambria Math"/>
            </w:rPr>
            <m:t>+</m:t>
          </m:r>
          <m:sSubSup>
            <m:sSubSupPr>
              <m:ctrlPr>
                <w:rPr>
                  <w:rFonts w:ascii="Cambria Math" w:hAnsi="Cambria Math"/>
                </w:rPr>
              </m:ctrlPr>
            </m:sSubSupPr>
            <m:e>
              <m:r>
                <m:rPr>
                  <m:sty m:val="b"/>
                </m:rPr>
                <w:rPr>
                  <w:rFonts w:ascii="Cambria Math" w:hAnsi="Cambria Math"/>
                </w:rPr>
                <m:t>X</m:t>
              </m:r>
              <m:ctrlPr>
                <w:rPr>
                  <w:rFonts w:ascii="Cambria Math" w:hAnsi="Cambria Math"/>
                  <w:i/>
                </w:rPr>
              </m:ctrlPr>
            </m:e>
            <m:sub>
              <m:r>
                <w:rPr>
                  <w:rFonts w:ascii="Cambria Math" w:hAnsi="Cambria Math"/>
                </w:rPr>
                <m:t>j</m:t>
              </m:r>
              <m:r>
                <m:rPr>
                  <m:sty m:val="p"/>
                </m:rPr>
                <w:rPr>
                  <w:rFonts w:ascii="Cambria Math" w:hAnsi="Cambria Math"/>
                </w:rPr>
                <m:t>,</m:t>
              </m:r>
              <m:r>
                <w:rPr>
                  <w:rFonts w:ascii="Cambria Math" w:hAnsi="Cambria Math"/>
                </w:rPr>
                <m:t>t</m:t>
              </m:r>
              <m:ctrlPr>
                <w:rPr>
                  <w:rFonts w:ascii="Cambria Math" w:hAnsi="Cambria Math"/>
                  <w:i/>
                </w:rPr>
              </m:ctrlPr>
            </m:sub>
            <m:sup>
              <m:r>
                <m:rPr>
                  <m:sty m:val="p"/>
                </m:rPr>
                <w:rPr>
                  <w:rFonts w:ascii="Cambria Math" w:hAnsi="Cambria Math"/>
                </w:rPr>
                <m:t>'</m:t>
              </m:r>
            </m:sup>
          </m:sSubSup>
          <m:r>
            <m:rPr>
              <m:sty m:val="b"/>
            </m:rPr>
            <w:rPr>
              <w:rFonts w:ascii="Cambria Math" w:hAnsi="Cambria Math"/>
            </w:rPr>
            <m:t>θ</m:t>
          </m:r>
          <m:r>
            <w:rPr>
              <w:rFonts w:ascii="Cambria Math" w:hAnsi="Cambria Math"/>
            </w:rPr>
            <m:t>+</m:t>
          </m:r>
          <m:sSubSup>
            <m:sSubSupPr>
              <m:ctrlPr>
                <w:rPr>
                  <w:rFonts w:ascii="Cambria Math" w:hAnsi="Cambria Math"/>
                </w:rPr>
              </m:ctrlPr>
            </m:sSubSupPr>
            <m:e>
              <m:r>
                <w:rPr>
                  <w:rFonts w:ascii="Cambria Math" w:hAnsi="Cambria Math"/>
                </w:rPr>
                <m:t>ε</m:t>
              </m:r>
            </m:e>
            <m:sub>
              <m:r>
                <w:rPr>
                  <w:rFonts w:ascii="Cambria Math" w:hAnsi="Cambria Math"/>
                </w:rPr>
                <m:t>j,t</m:t>
              </m:r>
            </m:sub>
            <m:sup>
              <m:r>
                <w:rPr>
                  <w:rFonts w:ascii="Cambria Math" w:hAnsi="Cambria Math"/>
                </w:rPr>
                <m:t>*</m:t>
              </m:r>
            </m:sup>
          </m:sSubSup>
          <m:r>
            <m:rPr>
              <m:sty m:val="p"/>
            </m:rPr>
            <w:rPr>
              <w:rFonts w:ascii="Cambria Math" w:hAnsi="Cambria Math"/>
            </w:rPr>
            <m:t>.</m:t>
          </m:r>
        </m:oMath>
      </m:oMathPara>
    </w:p>
    <w:p w:rsidR="00527E3A" w:rsidRPr="00DF01C4" w:rsidRDefault="00527E3A" w:rsidP="00527E3A">
      <w:pPr>
        <w:keepLines/>
        <w:spacing w:line="360" w:lineRule="auto"/>
      </w:pPr>
      <w:r>
        <w:rPr>
          <w:color w:val="000000"/>
        </w:rPr>
        <w:t xml:space="preserve">The country-specific </w:t>
      </w:r>
      <w:proofErr w:type="spellStart"/>
      <w:r>
        <w:rPr>
          <w:color w:val="000000"/>
        </w:rPr>
        <w:t>DiD</w:t>
      </w:r>
      <w:proofErr w:type="spellEnd"/>
      <w:r>
        <w:rPr>
          <w:color w:val="000000"/>
        </w:rPr>
        <w:t xml:space="preserve"> coefficient is </w:t>
      </w:r>
      <m:oMath>
        <m:sSub>
          <m:sSubPr>
            <m:ctrlPr>
              <w:rPr>
                <w:rFonts w:ascii="Cambria Math" w:hAnsi="Cambria Math"/>
                <w:i/>
              </w:rPr>
            </m:ctrlPr>
          </m:sSubPr>
          <m:e>
            <m:r>
              <w:rPr>
                <w:rFonts w:ascii="Cambria Math" w:hAnsi="Cambria Math"/>
              </w:rPr>
              <m:t>β</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j</m:t>
            </m:r>
          </m:sub>
        </m:sSub>
        <m:sSub>
          <m:sSubPr>
            <m:ctrlPr>
              <w:rPr>
                <w:rFonts w:ascii="Cambria Math" w:hAnsi="Cambria Math"/>
                <w:i/>
              </w:rPr>
            </m:ctrlPr>
          </m:sSubPr>
          <m:e>
            <m:r>
              <w:rPr>
                <w:rFonts w:ascii="Cambria Math" w:hAnsi="Cambria Math"/>
              </w:rPr>
              <m:t>k</m:t>
            </m:r>
          </m:e>
          <m:sub>
            <m:r>
              <w:rPr>
                <w:rFonts w:ascii="Cambria Math" w:hAnsi="Cambria Math"/>
              </w:rPr>
              <m:t>j</m:t>
            </m:r>
          </m:sub>
        </m:sSub>
      </m:oMath>
      <w:r>
        <w:rPr>
          <w:color w:val="000000"/>
        </w:rPr>
        <w:t xml:space="preserve">, so the signed elasticity is </w:t>
      </w:r>
      <m:oMath>
        <m:sSub>
          <m:sSubPr>
            <m:ctrlPr>
              <w:rPr>
                <w:rFonts w:ascii="Cambria Math" w:hAnsi="Cambria Math"/>
                <w:i/>
              </w:rPr>
            </m:ctrlPr>
          </m:sSubPr>
          <m:e>
            <m:r>
              <w:rPr>
                <w:rFonts w:ascii="Cambria Math" w:hAnsi="Cambria Math"/>
              </w:rPr>
              <m:t>η</m:t>
            </m:r>
          </m:e>
          <m:sub>
            <m:r>
              <w:rPr>
                <w:rFonts w:ascii="Cambria Math" w:hAnsi="Cambria Math"/>
              </w:rPr>
              <m:t>j</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β</m:t>
                </m:r>
              </m:e>
              <m:sub>
                <m:r>
                  <w:rPr>
                    <w:rFonts w:ascii="Cambria Math" w:hAnsi="Cambria Math"/>
                  </w:rPr>
                  <m:t>j</m:t>
                </m:r>
              </m:sub>
            </m:sSub>
          </m:num>
          <m:den>
            <m:sSub>
              <m:sSubPr>
                <m:ctrlPr>
                  <w:rPr>
                    <w:rFonts w:ascii="Cambria Math" w:hAnsi="Cambria Math"/>
                    <w:i/>
                  </w:rPr>
                </m:ctrlPr>
              </m:sSubPr>
              <m:e>
                <m:r>
                  <w:rPr>
                    <w:rFonts w:ascii="Cambria Math" w:hAnsi="Cambria Math"/>
                  </w:rPr>
                  <m:t>k</m:t>
                </m:r>
              </m:e>
              <m:sub>
                <m:r>
                  <w:rPr>
                    <w:rFonts w:ascii="Cambria Math" w:hAnsi="Cambria Math"/>
                  </w:rPr>
                  <m:t>j</m:t>
                </m:r>
              </m:sub>
            </m:sSub>
          </m:den>
        </m:f>
      </m:oMath>
      <w:r>
        <w:rPr>
          <w:color w:val="000000"/>
        </w:rPr>
        <w:t xml:space="preserve">. Under the maintained price equation and </w:t>
      </w:r>
      <m:oMath>
        <m:r>
          <w:rPr>
            <w:rFonts w:ascii="Cambria Math" w:hAnsi="Cambria Math"/>
          </w:rPr>
          <m:t>Δ</m:t>
        </m:r>
        <m:sSub>
          <m:sSubPr>
            <m:ctrlPr>
              <w:rPr>
                <w:rFonts w:ascii="Cambria Math" w:hAnsi="Cambria Math"/>
                <w:i/>
              </w:rPr>
            </m:ctrlPr>
          </m:sSubPr>
          <m:e>
            <m:r>
              <w:rPr>
                <w:rFonts w:ascii="Cambria Math" w:hAnsi="Cambria Math"/>
              </w:rPr>
              <m:t>ν</m:t>
            </m:r>
          </m:e>
          <m:sub>
            <m:r>
              <w:rPr>
                <w:rFonts w:ascii="Cambria Math" w:hAnsi="Cambria Math"/>
              </w:rPr>
              <m:t>j</m:t>
            </m:r>
          </m:sub>
        </m:sSub>
        <m:r>
          <w:rPr>
            <w:rFonts w:ascii="Cambria Math" w:hAnsi="Cambria Math"/>
          </w:rPr>
          <m:t>≈0</m:t>
        </m:r>
      </m:oMath>
      <w:r>
        <w:rPr>
          <w:color w:val="000000"/>
        </w:rPr>
        <w:t>, the Brexit price change is:</w:t>
      </w:r>
    </w:p>
    <w:p w:rsidR="00527E3A" w:rsidRPr="00DF01C4" w:rsidRDefault="00527E3A" w:rsidP="00527E3A">
      <w:pPr>
        <w:keepLines/>
        <w:spacing w:line="360" w:lineRule="auto"/>
        <w:jc w:val="center"/>
      </w:pPr>
      <m:oMathPara>
        <m:oMathParaPr>
          <m:jc m:val="center"/>
        </m:oMathParaPr>
        <m:oMath>
          <m:r>
            <w:rPr>
              <w:rFonts w:ascii="Cambria Math" w:hAnsi="Cambria Math"/>
            </w:rPr>
            <m:t>Δ</m:t>
          </m:r>
          <m:r>
            <m:rPr>
              <m:sty m:val="p"/>
            </m:rPr>
            <w:rPr>
              <w:rFonts w:ascii="Cambria Math" w:hAnsi="Cambria Math"/>
            </w:rPr>
            <m:t>log</m:t>
          </m:r>
          <m:sSubSup>
            <m:sSubSupPr>
              <m:ctrlPr>
                <w:rPr>
                  <w:rFonts w:ascii="Cambria Math" w:hAnsi="Cambria Math"/>
                </w:rPr>
              </m:ctrlPr>
            </m:sSubSupPr>
            <m:e>
              <m:r>
                <w:rPr>
                  <w:rFonts w:ascii="Cambria Math" w:hAnsi="Cambria Math"/>
                </w:rPr>
                <m:t>P</m:t>
              </m:r>
            </m:e>
            <m:sub>
              <m:r>
                <w:rPr>
                  <w:rFonts w:ascii="Cambria Math" w:hAnsi="Cambria Math"/>
                </w:rPr>
                <m:t>j</m:t>
              </m:r>
            </m:sub>
            <m:sup>
              <m:r>
                <m:rPr>
                  <m:sty m:val="p"/>
                </m:rPr>
                <w:rPr>
                  <w:rFonts w:ascii="Cambria Math" w:hAnsi="Cambria Math"/>
                </w:rPr>
                <m:t>Brexit</m:t>
              </m:r>
            </m:sup>
          </m:sSubSup>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j</m:t>
              </m:r>
            </m:sub>
          </m:sSub>
          <m:r>
            <m:rPr>
              <m:sty m:val="p"/>
            </m:rPr>
            <w:rPr>
              <w:rFonts w:ascii="Cambria Math" w:hAnsi="Cambria Math"/>
            </w:rPr>
            <m:t>.</m:t>
          </m:r>
        </m:oMath>
      </m:oMathPara>
    </w:p>
    <w:p w:rsidR="00527E3A" w:rsidRPr="00DF01C4" w:rsidRDefault="00527E3A" w:rsidP="00527E3A">
      <w:pPr>
        <w:keepLines/>
        <w:spacing w:line="360" w:lineRule="auto"/>
      </w:pPr>
      <w:r>
        <w:rPr>
          <w:color w:val="000000"/>
        </w:rPr>
        <w:t>Under a common change from £9,250 to £22,200, the homogeneous log price shock is:</w:t>
      </w:r>
    </w:p>
    <w:p w:rsidR="00527E3A" w:rsidRPr="00DF01C4" w:rsidRDefault="00527E3A" w:rsidP="00527E3A">
      <w:pPr>
        <w:keepLines/>
        <w:spacing w:line="360" w:lineRule="auto"/>
        <w:jc w:val="center"/>
      </w:pPr>
      <m:oMathPara>
        <m:oMathParaPr>
          <m:jc m:val="center"/>
        </m:oMathParaPr>
        <m:oMath>
          <m:sSub>
            <m:sSubPr>
              <m:ctrlPr>
                <w:rPr>
                  <w:rFonts w:ascii="Cambria Math" w:hAnsi="Cambria Math"/>
                </w:rPr>
              </m:ctrlPr>
            </m:sSubPr>
            <m:e>
              <m:r>
                <w:rPr>
                  <w:rFonts w:ascii="Cambria Math" w:hAnsi="Cambria Math"/>
                </w:rPr>
                <m:t>k</m:t>
              </m:r>
            </m:e>
            <m:sub>
              <m:r>
                <w:rPr>
                  <w:rFonts w:ascii="Cambria Math" w:hAnsi="Cambria Math"/>
                </w:rPr>
                <m:t>j</m:t>
              </m:r>
            </m:sub>
          </m:sSub>
          <m:r>
            <m:rPr>
              <m:sty m:val="p"/>
            </m:rPr>
            <w:rPr>
              <w:rFonts w:ascii="Cambria Math" w:hAnsi="Cambria Math"/>
            </w:rPr>
            <m:t>=log</m:t>
          </m:r>
          <m:d>
            <m:dPr>
              <m:ctrlPr>
                <w:rPr>
                  <w:rFonts w:ascii="Cambria Math" w:hAnsi="Cambria Math"/>
                </w:rPr>
              </m:ctrlPr>
            </m:dPr>
            <m:e>
              <m:r>
                <w:rPr>
                  <w:rFonts w:ascii="Cambria Math" w:hAnsi="Cambria Math"/>
                </w:rPr>
                <m:t>22</m:t>
              </m:r>
              <m:r>
                <m:rPr>
                  <m:sty m:val="p"/>
                </m:rPr>
                <w:rPr>
                  <w:rFonts w:ascii="Cambria Math" w:hAnsi="Cambria Math"/>
                </w:rPr>
                <m:t>,</m:t>
              </m:r>
              <m:r>
                <w:rPr>
                  <w:rFonts w:ascii="Cambria Math" w:hAnsi="Cambria Math"/>
                </w:rPr>
                <m:t>200</m:t>
              </m:r>
            </m:e>
          </m:d>
          <m:r>
            <m:rPr>
              <m:sty m:val="p"/>
            </m:rPr>
            <w:rPr>
              <w:rFonts w:ascii="Cambria Math" w:hAnsi="Cambria Math"/>
            </w:rPr>
            <m:t>-log</m:t>
          </m:r>
          <m:d>
            <m:dPr>
              <m:ctrlPr>
                <w:rPr>
                  <w:rFonts w:ascii="Cambria Math" w:hAnsi="Cambria Math"/>
                </w:rPr>
              </m:ctrlPr>
            </m:dPr>
            <m:e>
              <m:r>
                <w:rPr>
                  <w:rFonts w:ascii="Cambria Math" w:hAnsi="Cambria Math"/>
                </w:rPr>
                <m:t>9</m:t>
              </m:r>
              <m:r>
                <m:rPr>
                  <m:sty m:val="p"/>
                </m:rPr>
                <w:rPr>
                  <w:rFonts w:ascii="Cambria Math" w:hAnsi="Cambria Math"/>
                </w:rPr>
                <m:t>,</m:t>
              </m:r>
              <m:r>
                <w:rPr>
                  <w:rFonts w:ascii="Cambria Math" w:hAnsi="Cambria Math"/>
                </w:rPr>
                <m:t>250</m:t>
              </m:r>
            </m:e>
          </m:d>
          <m:r>
            <m:rPr>
              <m:sty m:val="p"/>
            </m:rPr>
            <w:rPr>
              <w:rFonts w:ascii="Cambria Math" w:hAnsi="Cambria Math"/>
            </w:rPr>
            <m:t>=</m:t>
          </m:r>
          <m:r>
            <w:rPr>
              <w:rFonts w:ascii="Cambria Math" w:hAnsi="Cambria Math"/>
            </w:rPr>
            <m:t>0.875</m:t>
          </m:r>
          <m:r>
            <m:rPr>
              <m:sty m:val="p"/>
            </m:rPr>
            <w:rPr>
              <w:rFonts w:ascii="Cambria Math" w:hAnsi="Cambria Math"/>
            </w:rPr>
            <m:t>.</m:t>
          </m:r>
        </m:oMath>
      </m:oMathPara>
    </w:p>
    <w:p w:rsidR="00527E3A" w:rsidRPr="00DF01C4" w:rsidRDefault="00527E3A" w:rsidP="00527E3A">
      <w:pPr>
        <w:keepLines/>
        <w:spacing w:line="360" w:lineRule="auto"/>
      </w:pPr>
      <w:r>
        <w:rPr>
          <w:color w:val="000000"/>
        </w:rPr>
        <w:t>and since:</w:t>
      </w:r>
    </w:p>
    <w:p w:rsidR="00527E3A" w:rsidRPr="00DF01C4" w:rsidRDefault="00527E3A" w:rsidP="00527E3A">
      <w:pPr>
        <w:keepLines/>
        <w:spacing w:line="360" w:lineRule="auto"/>
        <w:jc w:val="center"/>
      </w:pPr>
      <m:oMathPara>
        <m:oMathParaPr>
          <m:jc m:val="center"/>
        </m:oMathParaPr>
        <m:oMath>
          <m:r>
            <w:rPr>
              <w:rFonts w:ascii="Cambria Math" w:hAnsi="Cambria Math"/>
            </w:rPr>
            <m:t>P</m:t>
          </m:r>
          <m:sSub>
            <m:sSubPr>
              <m:ctrlPr>
                <w:rPr>
                  <w:rFonts w:ascii="Cambria Math" w:hAnsi="Cambria Math"/>
                </w:rPr>
              </m:ctrlPr>
            </m:sSubPr>
            <m:e>
              <m:r>
                <w:rPr>
                  <w:rFonts w:ascii="Cambria Math" w:hAnsi="Cambria Math"/>
                </w:rPr>
                <m:t>V</m:t>
              </m:r>
            </m:e>
            <m:sub>
              <m:r>
                <m:rPr>
                  <m:sty m:val="p"/>
                </m:rPr>
                <w:rPr>
                  <w:rFonts w:ascii="Cambria Math" w:hAnsi="Cambria Math"/>
                </w:rPr>
                <m:t>subjective</m:t>
              </m:r>
            </m:sub>
          </m:sSub>
          <m:d>
            <m:dPr>
              <m:ctrlPr>
                <w:rPr>
                  <w:rFonts w:ascii="Cambria Math" w:hAnsi="Cambria Math"/>
                </w:rPr>
              </m:ctrlPr>
            </m:dPr>
            <m:e>
              <m:r>
                <w:rPr>
                  <w:rFonts w:ascii="Cambria Math" w:hAnsi="Cambria Math"/>
                </w:rPr>
                <m:t>δ,</m:t>
              </m:r>
              <m:sSub>
                <m:sSubPr>
                  <m:ctrlPr>
                    <w:rPr>
                      <w:rFonts w:ascii="Cambria Math" w:hAnsi="Cambria Math"/>
                    </w:rPr>
                  </m:ctrlPr>
                </m:sSubPr>
                <m:e>
                  <m:r>
                    <w:rPr>
                      <w:rFonts w:ascii="Cambria Math" w:hAnsi="Cambria Math"/>
                    </w:rPr>
                    <m:t>w</m:t>
                  </m:r>
                </m:e>
                <m:sub>
                  <m:r>
                    <w:rPr>
                      <w:rFonts w:ascii="Cambria Math" w:hAnsi="Cambria Math"/>
                    </w:rPr>
                    <m:t>j</m:t>
                  </m:r>
                </m:sub>
              </m:sSub>
            </m:e>
          </m:d>
          <m:r>
            <m:rPr>
              <m:sty m:val="p"/>
            </m:rPr>
            <w:rPr>
              <w:rFonts w:ascii="Cambria Math" w:hAnsi="Cambria Math"/>
            </w:rPr>
            <m:t>=max</m:t>
          </m:r>
          <m:d>
            <m:dPr>
              <m:begChr m:val="{"/>
              <m:endChr m:val="}"/>
              <m:ctrlPr>
                <w:rPr>
                  <w:rFonts w:ascii="Cambria Math" w:hAnsi="Cambria Math"/>
                </w:rPr>
              </m:ctrlPr>
            </m:dPr>
            <m:e>
              <m:r>
                <w:rPr>
                  <w:rFonts w:ascii="Cambria Math" w:hAnsi="Cambria Math"/>
                </w:rPr>
                <m:t>1</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m:t>
                  </m:r>
                  <m:r>
                    <w:rPr>
                      <w:rFonts w:ascii="Cambria Math" w:hAnsi="Cambria Math"/>
                    </w:rPr>
                    <m:t>1</m:t>
                  </m:r>
                </m:sub>
                <m:sup>
                  <m:r>
                    <w:rPr>
                      <w:rFonts w:ascii="Cambria Math" w:hAnsi="Cambria Math"/>
                    </w:rPr>
                    <m:t>30</m:t>
                  </m:r>
                </m:sup>
                <m:e>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t</m:t>
                          </m:r>
                        </m:sub>
                      </m:sSub>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j</m:t>
                              </m:r>
                            </m:sub>
                          </m:sSub>
                        </m:e>
                      </m:d>
                    </m:num>
                    <m:den>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δ</m:t>
                              </m:r>
                            </m:e>
                          </m:d>
                        </m:e>
                        <m:sup>
                          <m:r>
                            <w:rPr>
                              <w:rFonts w:ascii="Cambria Math" w:hAnsi="Cambria Math"/>
                            </w:rPr>
                            <m:t>t</m:t>
                          </m:r>
                        </m:sup>
                      </m:sSup>
                    </m:den>
                  </m:f>
                </m:e>
              </m:nary>
            </m:e>
          </m:d>
          <m:r>
            <m:rPr>
              <m:sty m:val="p"/>
            </m:rPr>
            <w:rPr>
              <w:rFonts w:ascii="Cambria Math" w:hAnsi="Cambria Math"/>
            </w:rPr>
            <m:t>.</m:t>
          </m:r>
        </m:oMath>
      </m:oMathPara>
    </w:p>
    <w:p w:rsidR="00527E3A" w:rsidRPr="00DF01C4" w:rsidRDefault="00527E3A" w:rsidP="00527E3A">
      <w:pPr>
        <w:keepLines/>
        <w:spacing w:line="360" w:lineRule="auto"/>
      </w:pPr>
      <w:r>
        <w:rPr>
          <w:color w:val="000000"/>
        </w:rPr>
        <w:t>Country-specific price shocks are then specified as:</w:t>
      </w:r>
    </w:p>
    <w:p w:rsidR="00527E3A" w:rsidRPr="00DF01C4" w:rsidRDefault="00527E3A" w:rsidP="00527E3A">
      <w:pPr>
        <w:keepLines/>
        <w:tabs>
          <w:tab w:val="center" w:pos="4513"/>
          <w:tab w:val="right" w:pos="9026"/>
        </w:tabs>
        <w:spacing w:line="360" w:lineRule="auto"/>
        <w:jc w:val="center"/>
      </w:pPr>
      <m:oMathPara>
        <m:oMath>
          <m:sSub>
            <m:sSubPr>
              <m:ctrlPr>
                <w:rPr>
                  <w:rFonts w:ascii="Cambria Math" w:hAnsi="Cambria Math"/>
                </w:rPr>
              </m:ctrlPr>
            </m:sSubPr>
            <m:e>
              <m:r>
                <w:rPr>
                  <w:rFonts w:ascii="Cambria Math" w:hAnsi="Cambria Math"/>
                </w:rPr>
                <m:t>k</m:t>
              </m:r>
            </m:e>
            <m:sub>
              <m:r>
                <w:rPr>
                  <w:rFonts w:ascii="Cambria Math" w:hAnsi="Cambria Math"/>
                </w:rPr>
                <m:t>j</m:t>
              </m:r>
            </m:sub>
          </m:sSub>
          <m:d>
            <m:dPr>
              <m:ctrlPr>
                <w:rPr>
                  <w:rFonts w:ascii="Cambria Math" w:hAnsi="Cambria Math"/>
                </w:rPr>
              </m:ctrlPr>
            </m:dPr>
            <m:e>
              <m:r>
                <w:rPr>
                  <w:rFonts w:ascii="Cambria Math" w:hAnsi="Cambria Math"/>
                </w:rPr>
                <m:t>δ</m:t>
              </m:r>
            </m:e>
          </m:d>
          <m:r>
            <m:rPr>
              <m:sty m:val="p"/>
            </m:rPr>
            <w:rPr>
              <w:rFonts w:ascii="Cambria Math" w:hAnsi="Cambria Math"/>
            </w:rPr>
            <m:t>=log</m:t>
          </m:r>
          <m:d>
            <m:dPr>
              <m:ctrlPr>
                <w:rPr>
                  <w:rFonts w:ascii="Cambria Math" w:hAnsi="Cambria Math"/>
                </w:rPr>
              </m:ctrlPr>
            </m:dPr>
            <m:e>
              <m:r>
                <w:rPr>
                  <w:rFonts w:ascii="Cambria Math" w:hAnsi="Cambria Math"/>
                </w:rPr>
                <m:t>22</m:t>
              </m:r>
              <m:r>
                <m:rPr>
                  <m:sty m:val="p"/>
                </m:rPr>
                <w:rPr>
                  <w:rFonts w:ascii="Cambria Math" w:hAnsi="Cambria Math"/>
                </w:rPr>
                <m:t>,</m:t>
              </m:r>
              <m:r>
                <w:rPr>
                  <w:rFonts w:ascii="Cambria Math" w:hAnsi="Cambria Math"/>
                </w:rPr>
                <m:t>200</m:t>
              </m:r>
            </m:e>
          </m:d>
          <m:r>
            <m:rPr>
              <m:sty m:val="p"/>
            </m:rPr>
            <w:rPr>
              <w:rFonts w:ascii="Cambria Math" w:hAnsi="Cambria Math"/>
            </w:rPr>
            <m:t>-log</m:t>
          </m:r>
          <m:d>
            <m:dPr>
              <m:begChr m:val="["/>
              <m:endChr m:val="]"/>
              <m:ctrlPr>
                <w:rPr>
                  <w:rFonts w:ascii="Cambria Math" w:hAnsi="Cambria Math"/>
                </w:rPr>
              </m:ctrlPr>
            </m:dPr>
            <m:e>
              <m:r>
                <w:rPr>
                  <w:rFonts w:ascii="Cambria Math" w:hAnsi="Cambria Math"/>
                </w:rPr>
                <m:t>P</m:t>
              </m:r>
              <m:sSub>
                <m:sSubPr>
                  <m:ctrlPr>
                    <w:rPr>
                      <w:rFonts w:ascii="Cambria Math" w:hAnsi="Cambria Math"/>
                    </w:rPr>
                  </m:ctrlPr>
                </m:sSubPr>
                <m:e>
                  <m:r>
                    <w:rPr>
                      <w:rFonts w:ascii="Cambria Math" w:hAnsi="Cambria Math"/>
                    </w:rPr>
                    <m:t>V</m:t>
                  </m:r>
                </m:e>
                <m:sub>
                  <m:r>
                    <m:rPr>
                      <m:sty m:val="p"/>
                    </m:rPr>
                    <w:rPr>
                      <w:rFonts w:ascii="Cambria Math" w:hAnsi="Cambria Math"/>
                    </w:rPr>
                    <m:t>subjective,j</m:t>
                  </m:r>
                </m:sub>
              </m:sSub>
              <m:d>
                <m:dPr>
                  <m:ctrlPr>
                    <w:rPr>
                      <w:rFonts w:ascii="Cambria Math" w:hAnsi="Cambria Math"/>
                    </w:rPr>
                  </m:ctrlPr>
                </m:dPr>
                <m:e>
                  <m:r>
                    <m:rPr>
                      <m:sty m:val="p"/>
                    </m:rPr>
                    <w:rPr>
                      <w:rFonts w:ascii="Cambria Math" w:hAnsi="Cambria Math"/>
                    </w:rPr>
                    <m:t>δ</m:t>
                  </m:r>
                </m:e>
              </m:d>
            </m:e>
          </m:d>
          <m:r>
            <m:rPr>
              <m:sty m:val="p"/>
            </m:rPr>
            <w:rPr>
              <w:rFonts w:ascii="Cambria Math" w:hAnsi="Cambria Math"/>
            </w:rPr>
            <m:t>.</m:t>
          </m:r>
        </m:oMath>
      </m:oMathPara>
    </w:p>
    <w:p w:rsidR="00527E3A" w:rsidRDefault="00527E3A" w:rsidP="00527E3A">
      <w:pPr>
        <w:keepLines/>
        <w:spacing w:line="360" w:lineRule="auto"/>
        <w:rPr>
          <w:color w:val="000000"/>
        </w:rPr>
      </w:pPr>
      <w:r>
        <w:rPr>
          <w:color w:val="000000"/>
        </w:rPr>
        <w:t xml:space="preserve">A near-zero income gradient after this rescaling is compatible with loan-valuation mechanics explaining much of the raw cross-country pattern. Intentionally, we discount one year of the loan since the student is required to pay for one year of education at a time. </w:t>
      </w:r>
    </w:p>
    <w:p w:rsidR="00527E3A" w:rsidRPr="00DF01C4" w:rsidRDefault="00527E3A" w:rsidP="00527E3A">
      <w:pPr>
        <w:keepLines/>
        <w:spacing w:line="360" w:lineRule="auto"/>
      </w:pPr>
    </w:p>
    <w:p w:rsidR="00527E3A" w:rsidRPr="00DF01C4" w:rsidRDefault="00527E3A" w:rsidP="00527E3A">
      <w:pPr>
        <w:pStyle w:val="Heading1"/>
        <w:spacing w:before="0" w:beforeAutospacing="0" w:after="0" w:afterAutospacing="0" w:line="360" w:lineRule="auto"/>
        <w:rPr>
          <w:sz w:val="24"/>
          <w:szCs w:val="24"/>
        </w:rPr>
      </w:pPr>
      <w:r>
        <w:rPr>
          <w:sz w:val="24"/>
          <w:szCs w:val="24"/>
        </w:rPr>
        <w:t>A3. Initial and later post-reform effects</w:t>
      </w:r>
    </w:p>
    <w:p w:rsidR="00527E3A" w:rsidRPr="00DF01C4" w:rsidRDefault="00527E3A" w:rsidP="00527E3A">
      <w:pPr>
        <w:keepLines/>
        <w:spacing w:line="360" w:lineRule="auto"/>
        <w:ind w:firstLine="360"/>
        <w:jc w:val="both"/>
      </w:pPr>
      <w:r>
        <w:rPr>
          <w:color w:val="000000"/>
        </w:rPr>
        <w:t>We separate the post-reform period into an initial window covering 2021-2023 and a later window covering 2024-2025. The saturated regression estimates one country-specific effect in each window while retaining country and cycle fixed effects and the same control variables as the main specification, produces:</w:t>
      </w:r>
    </w:p>
    <w:p w:rsidR="00527E3A" w:rsidRPr="00DF01C4" w:rsidRDefault="00527E3A" w:rsidP="00527E3A">
      <w:pPr>
        <w:keepLines/>
        <w:spacing w:line="360" w:lineRule="auto"/>
        <w:jc w:val="center"/>
      </w:pPr>
      <m:oMathPara>
        <m:oMath>
          <m:sSub>
            <m:sSubPr>
              <m:ctrlPr>
                <w:rPr>
                  <w:rFonts w:ascii="Cambria Math" w:hAnsi="Cambria Math"/>
                  <w:i/>
                  <w:color w:val="000000"/>
                </w:rPr>
              </m:ctrlPr>
            </m:sSubPr>
            <m:e>
              <m:r>
                <w:rPr>
                  <w:rFonts w:ascii="Cambria Math" w:hAnsi="Cambria Math"/>
                  <w:color w:val="000000"/>
                </w:rPr>
                <m:t>Δ</m:t>
              </m:r>
            </m:e>
            <m:sub>
              <m:r>
                <w:rPr>
                  <w:rFonts w:ascii="Cambria Math" w:hAnsi="Cambria Math"/>
                  <w:color w:val="000000"/>
                  <w:vertAlign w:val="subscript"/>
                </w:rPr>
                <m:t>j</m:t>
              </m:r>
            </m:sub>
          </m:sSub>
          <m:r>
            <w:rPr>
              <w:rFonts w:ascii="Cambria Math" w:hAnsi="Cambria Math"/>
              <w:color w:val="000000"/>
            </w:rPr>
            <m:t xml:space="preserve"> = </m:t>
          </m:r>
          <m:sSub>
            <m:sSubPr>
              <m:ctrlPr>
                <w:rPr>
                  <w:rFonts w:ascii="Cambria Math" w:hAnsi="Cambria Math"/>
                  <w:i/>
                  <w:color w:val="000000"/>
                </w:rPr>
              </m:ctrlPr>
            </m:sSubPr>
            <m:e>
              <m:r>
                <w:rPr>
                  <w:rFonts w:ascii="Cambria Math" w:hAnsi="Cambria Math"/>
                  <w:color w:val="000000"/>
                </w:rPr>
                <m:t>β</m:t>
              </m:r>
            </m:e>
            <m:sub>
              <m:r>
                <w:rPr>
                  <w:rFonts w:ascii="Cambria Math" w:hAnsi="Cambria Math"/>
                  <w:color w:val="000000"/>
                  <w:vertAlign w:val="subscript"/>
                </w:rPr>
                <m:t>j,later</m:t>
              </m:r>
            </m:sub>
          </m:sSub>
          <m:r>
            <w:rPr>
              <w:rFonts w:ascii="Cambria Math" w:hAnsi="Cambria Math"/>
              <w:color w:val="000000"/>
            </w:rPr>
            <m:t xml:space="preserve"> - </m:t>
          </m:r>
          <m:sSub>
            <m:sSubPr>
              <m:ctrlPr>
                <w:rPr>
                  <w:rFonts w:ascii="Cambria Math" w:hAnsi="Cambria Math"/>
                  <w:i/>
                  <w:color w:val="000000"/>
                </w:rPr>
              </m:ctrlPr>
            </m:sSubPr>
            <m:e>
              <m:r>
                <w:rPr>
                  <w:rFonts w:ascii="Cambria Math" w:hAnsi="Cambria Math"/>
                  <w:color w:val="000000"/>
                </w:rPr>
                <m:t>β</m:t>
              </m:r>
            </m:e>
            <m:sub>
              <m:r>
                <w:rPr>
                  <w:rFonts w:ascii="Cambria Math" w:hAnsi="Cambria Math"/>
                  <w:color w:val="000000"/>
                  <w:vertAlign w:val="subscript"/>
                </w:rPr>
                <m:t>j,initial</m:t>
              </m:r>
            </m:sub>
          </m:sSub>
        </m:oMath>
      </m:oMathPara>
    </w:p>
    <w:p w:rsidR="00527E3A" w:rsidRPr="00DF01C4" w:rsidRDefault="00527E3A" w:rsidP="00527E3A">
      <w:pPr>
        <w:keepLines/>
        <w:spacing w:line="360" w:lineRule="auto"/>
        <w:ind w:firstLine="360"/>
        <w:jc w:val="both"/>
      </w:pPr>
      <w:r>
        <w:rPr>
          <w:color w:val="000000"/>
        </w:rPr>
        <w:t>Because the estimated country effects are predominantly negative, a positive difference indicates partial recovery after 2023, while a negative difference indicates that the decline intensified. A value near zero indicates persistence. The comparison is descriptive. It shows whether the initial contraction weakened, stabilized, or deepened once the fee regime was established and the most acute pandemic disruption had passed.</w:t>
      </w:r>
    </w:p>
    <w:p w:rsidR="00527E3A" w:rsidRPr="00DF01C4" w:rsidRDefault="00527E3A" w:rsidP="00527E3A">
      <w:pPr>
        <w:pStyle w:val="Heading1"/>
        <w:spacing w:before="0" w:beforeAutospacing="0" w:after="0" w:afterAutospacing="0" w:line="360" w:lineRule="auto"/>
        <w:rPr>
          <w:sz w:val="24"/>
          <w:szCs w:val="24"/>
        </w:rPr>
      </w:pPr>
      <w:r>
        <w:rPr>
          <w:sz w:val="24"/>
          <w:szCs w:val="24"/>
        </w:rPr>
        <w:t>A4. Log and arc elasticities</w:t>
      </w:r>
    </w:p>
    <w:p w:rsidR="00527E3A" w:rsidRPr="00DF01C4" w:rsidRDefault="00527E3A" w:rsidP="00527E3A">
      <w:pPr>
        <w:keepLines/>
        <w:spacing w:line="360" w:lineRule="auto"/>
      </w:pPr>
      <w:r>
        <w:rPr>
          <w:color w:val="000000"/>
        </w:rPr>
        <w:t xml:space="preserve">Using </w:t>
      </w:r>
      <m:oMath>
        <m:f>
          <m:fPr>
            <m:ctrlPr>
              <w:rPr>
                <w:rFonts w:ascii="Cambria Math" w:hAnsi="Cambria Math"/>
                <w:i/>
                <w:color w:val="000000"/>
              </w:rPr>
            </m:ctrlPr>
          </m:fPr>
          <m:num>
            <m:r>
              <w:rPr>
                <w:rFonts w:ascii="Cambria Math" w:hAnsi="Cambria Math"/>
                <w:color w:val="000000"/>
              </w:rPr>
              <m:t>ΔQ</m:t>
            </m:r>
          </m:num>
          <m:den>
            <m:r>
              <w:rPr>
                <w:rFonts w:ascii="Cambria Math" w:hAnsi="Cambria Math"/>
                <w:color w:val="000000"/>
              </w:rPr>
              <m:t>Q</m:t>
            </m:r>
          </m:den>
        </m:f>
        <m:r>
          <w:rPr>
            <w:rFonts w:ascii="Cambria Math" w:hAnsi="Cambria Math"/>
            <w:color w:val="000000"/>
          </w:rPr>
          <m:t>=</m:t>
        </m:r>
        <m:func>
          <m:funcPr>
            <m:ctrlPr>
              <w:rPr>
                <w:rFonts w:ascii="Cambria Math" w:hAnsi="Cambria Math"/>
                <w:i/>
                <w:color w:val="000000"/>
              </w:rPr>
            </m:ctrlPr>
          </m:funcPr>
          <m:fName>
            <m:r>
              <m:rPr>
                <m:sty m:val="p"/>
              </m:rPr>
              <w:rPr>
                <w:rFonts w:ascii="Cambria Math" w:hAnsi="Cambria Math"/>
                <w:color w:val="000000"/>
              </w:rPr>
              <m:t>exp</m:t>
            </m:r>
          </m:fName>
          <m:e>
            <m:r>
              <w:rPr>
                <w:rFonts w:ascii="Cambria Math" w:hAnsi="Cambria Math"/>
                <w:color w:val="000000"/>
              </w:rPr>
              <m:t>(β)</m:t>
            </m:r>
          </m:e>
        </m:func>
        <m:r>
          <w:rPr>
            <w:rFonts w:ascii="Cambria Math" w:hAnsi="Cambria Math"/>
            <w:color w:val="000000"/>
          </w:rPr>
          <m:t>-1</m:t>
        </m:r>
      </m:oMath>
      <w:r>
        <w:rPr>
          <w:color w:val="000000"/>
        </w:rPr>
        <w:t xml:space="preserve">, Malta’s </w:t>
      </w:r>
      <m:oMath>
        <m:r>
          <w:rPr>
            <w:rFonts w:ascii="Cambria Math" w:hAnsi="Cambria Math"/>
            <w:color w:val="000000"/>
          </w:rPr>
          <m:t>β=-0.362</m:t>
        </m:r>
      </m:oMath>
      <w:r>
        <w:rPr>
          <w:color w:val="000000"/>
        </w:rPr>
        <w:t xml:space="preserve"> implies </w:t>
      </w:r>
      <m:oMath>
        <m:r>
          <w:rPr>
            <w:rFonts w:ascii="Cambria Math" w:hAnsi="Cambria Math"/>
            <w:color w:val="000000"/>
          </w:rPr>
          <m:t>-30.4%</m:t>
        </m:r>
      </m:oMath>
      <w:r>
        <w:rPr>
          <w:color w:val="000000"/>
        </w:rPr>
        <w:t xml:space="preserve">, Lithuania’s </w:t>
      </w:r>
      <m:oMath>
        <m:r>
          <w:rPr>
            <w:rFonts w:ascii="Cambria Math" w:hAnsi="Cambria Math"/>
            <w:color w:val="000000"/>
          </w:rPr>
          <m:t>β = -2.17</m:t>
        </m:r>
      </m:oMath>
      <w:r>
        <w:rPr>
          <w:color w:val="000000"/>
        </w:rPr>
        <w:t xml:space="preserve"> implies </w:t>
      </w:r>
      <m:oMath>
        <m:r>
          <w:rPr>
            <w:rFonts w:ascii="Cambria Math" w:hAnsi="Cambria Math"/>
            <w:color w:val="000000"/>
          </w:rPr>
          <m:t>-88.6%</m:t>
        </m:r>
      </m:oMath>
      <w:r>
        <w:rPr>
          <w:color w:val="000000"/>
        </w:rPr>
        <w:t xml:space="preserve">, and the pooled ATT </w:t>
      </w:r>
      <m:oMath>
        <m:r>
          <w:rPr>
            <w:rFonts w:ascii="Cambria Math" w:hAnsi="Cambria Math"/>
            <w:color w:val="000000"/>
          </w:rPr>
          <m:t xml:space="preserve">β = -1.11 </m:t>
        </m:r>
      </m:oMath>
      <w:r>
        <w:rPr>
          <w:color w:val="000000"/>
        </w:rPr>
        <w:t xml:space="preserve">implies </w:t>
      </w:r>
      <m:oMath>
        <m:r>
          <w:rPr>
            <w:rFonts w:ascii="Cambria Math" w:hAnsi="Cambria Math"/>
            <w:color w:val="000000"/>
          </w:rPr>
          <m:t>-67.0%</m:t>
        </m:r>
      </m:oMath>
      <w:r>
        <w:rPr>
          <w:color w:val="000000"/>
        </w:rPr>
        <w:t>, all relative to the control trajectory.</w:t>
      </w:r>
    </w:p>
    <w:p w:rsidR="00527E3A" w:rsidRPr="00DF01C4" w:rsidRDefault="00527E3A" w:rsidP="00527E3A">
      <w:pPr>
        <w:keepLines/>
        <w:spacing w:line="360" w:lineRule="auto"/>
      </w:pPr>
      <w:r>
        <w:rPr>
          <w:color w:val="000000"/>
        </w:rPr>
        <w:t xml:space="preserve">A naive arc elasticity divides the proportional quantity change by the </w:t>
      </w:r>
      <m:oMath>
        <m:r>
          <w:rPr>
            <w:rFonts w:ascii="Cambria Math" w:hAnsi="Cambria Math"/>
            <w:color w:val="000000"/>
          </w:rPr>
          <m:t>140%</m:t>
        </m:r>
      </m:oMath>
      <w:r>
        <w:rPr>
          <w:color w:val="000000"/>
        </w:rPr>
        <w:t xml:space="preserve"> arithmetic price increase:</w:t>
      </w:r>
    </w:p>
    <w:p w:rsidR="00527E3A" w:rsidRPr="00DF01C4" w:rsidRDefault="00527E3A" w:rsidP="00527E3A">
      <w:pPr>
        <w:keepLines/>
        <w:spacing w:line="360" w:lineRule="auto"/>
        <w:jc w:val="center"/>
      </w:pPr>
      <m:oMathPara>
        <m:oMathParaPr>
          <m:jc m:val="center"/>
        </m:oMathParaPr>
        <m:oMath>
          <m:sSub>
            <m:sSubPr>
              <m:ctrlPr>
                <w:rPr>
                  <w:rFonts w:ascii="Cambria Math" w:hAnsi="Cambria Math"/>
                </w:rPr>
              </m:ctrlPr>
            </m:sSubPr>
            <m:e>
              <m:r>
                <w:rPr>
                  <w:rFonts w:ascii="Cambria Math" w:hAnsi="Cambria Math"/>
                </w:rPr>
                <m:t>η</m:t>
              </m:r>
            </m:e>
            <m:sub>
              <m:r>
                <m:rPr>
                  <m:sty m:val="p"/>
                </m:rPr>
                <w:rPr>
                  <w:rFonts w:ascii="Cambria Math" w:hAnsi="Cambria Math"/>
                </w:rPr>
                <m:t>arc</m:t>
              </m:r>
            </m:sub>
          </m:sSub>
          <m:r>
            <m:rPr>
              <m:sty m:val="p"/>
            </m:rPr>
            <w:rPr>
              <w:rFonts w:ascii="Cambria Math" w:hAnsi="Cambria Math"/>
            </w:rPr>
            <m:t>=</m:t>
          </m:r>
          <m:f>
            <m:fPr>
              <m:ctrlPr>
                <w:rPr>
                  <w:rFonts w:ascii="Cambria Math" w:hAnsi="Cambria Math"/>
                </w:rPr>
              </m:ctrlPr>
            </m:fPr>
            <m:num>
              <m:r>
                <m:rPr>
                  <m:sty m:val="p"/>
                </m:rPr>
                <w:rPr>
                  <w:rFonts w:ascii="Cambria Math" w:hAnsi="Cambria Math"/>
                </w:rPr>
                <m:t>exp</m:t>
              </m:r>
              <m:d>
                <m:dPr>
                  <m:ctrlPr>
                    <w:rPr>
                      <w:rFonts w:ascii="Cambria Math" w:hAnsi="Cambria Math"/>
                    </w:rPr>
                  </m:ctrlPr>
                </m:dPr>
                <m:e>
                  <m:r>
                    <m:rPr>
                      <m:sty m:val="p"/>
                    </m:rPr>
                    <w:rPr>
                      <w:rFonts w:ascii="Cambria Math" w:hAnsi="Cambria Math"/>
                    </w:rPr>
                    <m:t>-</m:t>
                  </m:r>
                  <m:r>
                    <w:rPr>
                      <w:rFonts w:ascii="Cambria Math" w:hAnsi="Cambria Math"/>
                    </w:rPr>
                    <m:t>1.109</m:t>
                  </m:r>
                </m:e>
              </m:d>
              <m:r>
                <m:rPr>
                  <m:sty m:val="p"/>
                </m:rPr>
                <w:rPr>
                  <w:rFonts w:ascii="Cambria Math" w:hAnsi="Cambria Math"/>
                </w:rPr>
                <m:t>-</m:t>
              </m:r>
              <m:r>
                <w:rPr>
                  <w:rFonts w:ascii="Cambria Math" w:hAnsi="Cambria Math"/>
                </w:rPr>
                <m:t>1</m:t>
              </m:r>
            </m:num>
            <m:den>
              <m:r>
                <w:rPr>
                  <w:rFonts w:ascii="Cambria Math" w:hAnsi="Cambria Math"/>
                </w:rPr>
                <m:t>1.4</m:t>
              </m:r>
            </m:den>
          </m:f>
          <m:r>
            <m:rPr>
              <m:sty m:val="p"/>
            </m:rPr>
            <w:rPr>
              <w:rFonts w:ascii="Cambria Math" w:hAnsi="Cambria Math"/>
            </w:rPr>
            <m:t>=-</m:t>
          </m:r>
          <m:r>
            <w:rPr>
              <w:rFonts w:ascii="Cambria Math" w:hAnsi="Cambria Math"/>
            </w:rPr>
            <m:t>0.479</m:t>
          </m:r>
          <m:r>
            <m:rPr>
              <m:sty m:val="p"/>
            </m:rPr>
            <w:rPr>
              <w:rFonts w:ascii="Cambria Math" w:hAnsi="Cambria Math"/>
            </w:rPr>
            <m:t>.</m:t>
          </m:r>
        </m:oMath>
      </m:oMathPara>
    </w:p>
    <w:p w:rsidR="00527E3A" w:rsidRPr="00DF01C4" w:rsidRDefault="00527E3A" w:rsidP="00527E3A">
      <w:pPr>
        <w:keepLines/>
        <w:spacing w:line="360" w:lineRule="auto"/>
      </w:pPr>
      <w:r>
        <w:rPr>
          <w:color w:val="000000"/>
        </w:rPr>
        <w:t>However, for a finite log price change k and log quantity change β, the exact relationship is:</w:t>
      </w:r>
    </w:p>
    <w:p w:rsidR="00527E3A" w:rsidRPr="00DF01C4" w:rsidRDefault="00527E3A" w:rsidP="00527E3A">
      <w:pPr>
        <w:keepLines/>
        <w:spacing w:line="360" w:lineRule="auto"/>
        <w:jc w:val="center"/>
      </w:pPr>
      <m:oMathPara>
        <m:oMathParaPr>
          <m:jc m:val="center"/>
        </m:oMathParaPr>
        <m:oMath>
          <m:sSub>
            <m:sSubPr>
              <m:ctrlPr>
                <w:rPr>
                  <w:rFonts w:ascii="Cambria Math" w:hAnsi="Cambria Math"/>
                </w:rPr>
              </m:ctrlPr>
            </m:sSubPr>
            <m:e>
              <m:r>
                <w:rPr>
                  <w:rFonts w:ascii="Cambria Math" w:hAnsi="Cambria Math"/>
                </w:rPr>
                <m:t>η</m:t>
              </m:r>
            </m:e>
            <m:sub>
              <m:r>
                <m:rPr>
                  <m:sty m:val="p"/>
                </m:rPr>
                <w:rPr>
                  <w:rFonts w:ascii="Cambria Math" w:hAnsi="Cambria Math"/>
                </w:rPr>
                <m:t>arc</m:t>
              </m:r>
            </m:sub>
          </m:sSub>
          <m:r>
            <m:rPr>
              <m:sty m:val="p"/>
            </m:rPr>
            <w:rPr>
              <w:rFonts w:ascii="Cambria Math" w:hAnsi="Cambria Math"/>
            </w:rPr>
            <m:t>=</m:t>
          </m:r>
          <m:f>
            <m:fPr>
              <m:ctrlPr>
                <w:rPr>
                  <w:rFonts w:ascii="Cambria Math" w:hAnsi="Cambria Math"/>
                </w:rPr>
              </m:ctrlPr>
            </m:fPr>
            <m:num>
              <m:r>
                <w:rPr>
                  <w:rFonts w:ascii="Cambria Math" w:hAnsi="Cambria Math"/>
                </w:rPr>
                <m:t>ΔQ</m:t>
              </m:r>
              <m:r>
                <m:rPr>
                  <m:sty m:val="p"/>
                </m:rPr>
                <w:rPr>
                  <w:rFonts w:ascii="Cambria Math" w:hAnsi="Cambria Math"/>
                </w:rPr>
                <m:t>/</m:t>
              </m:r>
              <m:r>
                <w:rPr>
                  <w:rFonts w:ascii="Cambria Math" w:hAnsi="Cambria Math"/>
                </w:rPr>
                <m:t>Q</m:t>
              </m:r>
            </m:num>
            <m:den>
              <m:r>
                <w:rPr>
                  <w:rFonts w:ascii="Cambria Math" w:hAnsi="Cambria Math"/>
                </w:rPr>
                <m:t>ΔP</m:t>
              </m:r>
              <m:r>
                <m:rPr>
                  <m:sty m:val="p"/>
                </m:rPr>
                <w:rPr>
                  <w:rFonts w:ascii="Cambria Math" w:hAnsi="Cambria Math"/>
                </w:rPr>
                <m:t>/</m:t>
              </m:r>
              <m:r>
                <w:rPr>
                  <w:rFonts w:ascii="Cambria Math" w:hAnsi="Cambria Math"/>
                </w:rPr>
                <m:t>P</m:t>
              </m:r>
            </m:den>
          </m:f>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e</m:t>
                  </m:r>
                </m:e>
                <m:sup>
                  <m:r>
                    <w:rPr>
                      <w:rFonts w:ascii="Cambria Math" w:hAnsi="Cambria Math"/>
                    </w:rPr>
                    <m:t>β</m:t>
                  </m:r>
                </m:sup>
              </m:sSup>
              <m:r>
                <w:rPr>
                  <w:rFonts w:ascii="Cambria Math" w:hAnsi="Cambria Math"/>
                </w:rPr>
                <m:t>-1</m:t>
              </m:r>
            </m:num>
            <m:den>
              <m:sSup>
                <m:sSupPr>
                  <m:ctrlPr>
                    <w:rPr>
                      <w:rFonts w:ascii="Cambria Math" w:hAnsi="Cambria Math"/>
                    </w:rPr>
                  </m:ctrlPr>
                </m:sSupPr>
                <m:e>
                  <m:r>
                    <w:rPr>
                      <w:rFonts w:ascii="Cambria Math" w:hAnsi="Cambria Math"/>
                    </w:rPr>
                    <m:t>e</m:t>
                  </m:r>
                </m:e>
                <m:sup>
                  <m:r>
                    <w:rPr>
                      <w:rFonts w:ascii="Cambria Math" w:hAnsi="Cambria Math"/>
                    </w:rPr>
                    <m:t>k</m:t>
                  </m:r>
                </m:sup>
              </m:sSup>
              <m:r>
                <w:rPr>
                  <w:rFonts w:ascii="Cambria Math" w:hAnsi="Cambria Math"/>
                </w:rPr>
                <m:t>-1</m:t>
              </m:r>
            </m:den>
          </m:f>
          <m:r>
            <m:rPr>
              <m:sty m:val="p"/>
            </m:rPr>
            <w:rPr>
              <w:rFonts w:ascii="Cambria Math" w:hAnsi="Cambria Math"/>
            </w:rPr>
            <m:t>.</m:t>
          </m:r>
        </m:oMath>
      </m:oMathPara>
    </w:p>
    <w:p w:rsidR="00527E3A" w:rsidRPr="00DF01C4" w:rsidRDefault="00527E3A" w:rsidP="00527E3A">
      <w:pPr>
        <w:keepLines/>
        <w:spacing w:line="360" w:lineRule="auto"/>
      </w:pPr>
      <w:r>
        <w:rPr>
          <w:color w:val="000000"/>
        </w:rPr>
        <w:t xml:space="preserve">The signed log elasticity is </w:t>
      </w:r>
      <m:oMath>
        <m:sSub>
          <m:sSubPr>
            <m:ctrlPr>
              <w:rPr>
                <w:rFonts w:ascii="Cambria Math" w:hAnsi="Cambria Math"/>
                <w:i/>
                <w:color w:val="000000"/>
              </w:rPr>
            </m:ctrlPr>
          </m:sSubPr>
          <m:e>
            <m:r>
              <w:rPr>
                <w:rFonts w:ascii="Cambria Math" w:hAnsi="Cambria Math"/>
                <w:color w:val="000000"/>
              </w:rPr>
              <m:t>η</m:t>
            </m:r>
          </m:e>
          <m:sub>
            <m:func>
              <m:funcPr>
                <m:ctrlPr>
                  <w:rPr>
                    <w:rFonts w:ascii="Cambria Math" w:hAnsi="Cambria Math"/>
                    <w:i/>
                    <w:color w:val="000000"/>
                  </w:rPr>
                </m:ctrlPr>
              </m:funcPr>
              <m:fName>
                <m:r>
                  <m:rPr>
                    <m:sty m:val="p"/>
                  </m:rPr>
                  <w:rPr>
                    <w:rFonts w:ascii="Cambria Math" w:hAnsi="Cambria Math"/>
                    <w:color w:val="000000"/>
                  </w:rPr>
                  <m:t>log</m:t>
                </m:r>
              </m:fName>
              <m:e>
                <m:r>
                  <w:rPr>
                    <w:rFonts w:ascii="Cambria Math" w:hAnsi="Cambria Math"/>
                    <w:color w:val="000000"/>
                  </w:rPr>
                  <m:t xml:space="preserve"> </m:t>
                </m:r>
              </m:e>
            </m:func>
          </m:sub>
        </m:sSub>
        <m:r>
          <w:rPr>
            <w:rFonts w:ascii="Cambria Math" w:hAnsi="Cambria Math"/>
            <w:color w:val="000000"/>
          </w:rPr>
          <m:t xml:space="preserve"> =</m:t>
        </m:r>
        <m:f>
          <m:fPr>
            <m:ctrlPr>
              <w:rPr>
                <w:rFonts w:ascii="Cambria Math" w:hAnsi="Cambria Math"/>
                <w:i/>
                <w:color w:val="000000"/>
              </w:rPr>
            </m:ctrlPr>
          </m:fPr>
          <m:num>
            <m:r>
              <w:rPr>
                <w:rFonts w:ascii="Cambria Math" w:hAnsi="Cambria Math"/>
                <w:color w:val="000000"/>
              </w:rPr>
              <m:t>β</m:t>
            </m:r>
          </m:num>
          <m:den>
            <m:r>
              <w:rPr>
                <w:rFonts w:ascii="Cambria Math" w:hAnsi="Cambria Math"/>
                <w:color w:val="000000"/>
              </w:rPr>
              <m:t>k</m:t>
            </m:r>
          </m:den>
        </m:f>
      </m:oMath>
      <w:r>
        <w:rPr>
          <w:color w:val="000000"/>
        </w:rPr>
        <w:t xml:space="preserve">. If </w:t>
      </w:r>
      <m:oMath>
        <m:r>
          <w:rPr>
            <w:rFonts w:ascii="Cambria Math" w:hAnsi="Cambria Math"/>
            <w:color w:val="000000"/>
          </w:rPr>
          <m:t xml:space="preserve">β = </m:t>
        </m:r>
        <m:sSub>
          <m:sSubPr>
            <m:ctrlPr>
              <w:rPr>
                <w:rFonts w:ascii="Cambria Math" w:hAnsi="Cambria Math"/>
                <w:i/>
                <w:color w:val="000000"/>
              </w:rPr>
            </m:ctrlPr>
          </m:sSubPr>
          <m:e>
            <m:r>
              <w:rPr>
                <w:rFonts w:ascii="Cambria Math" w:hAnsi="Cambria Math"/>
                <w:color w:val="000000"/>
              </w:rPr>
              <m:t>η</m:t>
            </m:r>
          </m:e>
          <m:sub>
            <m:func>
              <m:funcPr>
                <m:ctrlPr>
                  <w:rPr>
                    <w:rFonts w:ascii="Cambria Math" w:hAnsi="Cambria Math"/>
                    <w:i/>
                    <w:color w:val="000000"/>
                  </w:rPr>
                </m:ctrlPr>
              </m:funcPr>
              <m:fName>
                <m:r>
                  <m:rPr>
                    <m:sty m:val="p"/>
                  </m:rPr>
                  <w:rPr>
                    <w:rFonts w:ascii="Cambria Math" w:hAnsi="Cambria Math"/>
                    <w:color w:val="000000"/>
                  </w:rPr>
                  <m:t>log</m:t>
                </m:r>
              </m:fName>
              <m:e>
                <m:r>
                  <w:rPr>
                    <w:rFonts w:ascii="Cambria Math" w:hAnsi="Cambria Math"/>
                    <w:color w:val="000000"/>
                  </w:rPr>
                  <m:t xml:space="preserve"> </m:t>
                </m:r>
              </m:e>
            </m:func>
          </m:sub>
        </m:sSub>
        <m:r>
          <w:rPr>
            <w:rFonts w:ascii="Cambria Math" w:hAnsi="Cambria Math"/>
            <w:color w:val="000000"/>
          </w:rPr>
          <m:t>k</m:t>
        </m:r>
      </m:oMath>
      <w:r>
        <w:rPr>
          <w:color w:val="000000"/>
        </w:rPr>
        <w:t>, then:</w:t>
      </w:r>
    </w:p>
    <w:p w:rsidR="00527E3A" w:rsidRPr="00DF01C4" w:rsidRDefault="00527E3A" w:rsidP="00527E3A">
      <w:pPr>
        <w:keepLines/>
        <w:spacing w:line="360" w:lineRule="auto"/>
        <w:jc w:val="center"/>
      </w:pPr>
      <m:oMathPara>
        <m:oMathParaPr>
          <m:jc m:val="center"/>
        </m:oMathParaPr>
        <m:oMath>
          <m:limLow>
            <m:limLowPr>
              <m:ctrlPr>
                <w:rPr>
                  <w:rFonts w:ascii="Cambria Math" w:hAnsi="Cambria Math"/>
                </w:rPr>
              </m:ctrlPr>
            </m:limLowPr>
            <m:e>
              <m:r>
                <m:rPr>
                  <m:sty m:val="p"/>
                </m:rPr>
                <w:rPr>
                  <w:rFonts w:ascii="Cambria Math" w:hAnsi="Cambria Math"/>
                </w:rPr>
                <m:t>lim</m:t>
              </m:r>
            </m:e>
            <m:lim>
              <m:r>
                <w:rPr>
                  <w:rFonts w:ascii="Cambria Math" w:hAnsi="Cambria Math"/>
                </w:rPr>
                <m:t>k</m:t>
              </m:r>
              <m:r>
                <m:rPr>
                  <m:sty m:val="p"/>
                </m:rPr>
                <w:rPr>
                  <w:rFonts w:ascii="Cambria Math" w:hAnsi="Cambria Math"/>
                </w:rPr>
                <m:t>→</m:t>
              </m:r>
              <m:r>
                <w:rPr>
                  <w:rFonts w:ascii="Cambria Math" w:hAnsi="Cambria Math"/>
                </w:rPr>
                <m:t>0</m:t>
              </m:r>
            </m:lim>
          </m:limLow>
          <m:f>
            <m:fPr>
              <m:ctrlPr>
                <w:rPr>
                  <w:rFonts w:ascii="Cambria Math" w:hAnsi="Cambria Math"/>
                </w:rPr>
              </m:ctrlPr>
            </m:fPr>
            <m:num>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η</m:t>
                      </m:r>
                    </m:e>
                    <m:sub>
                      <m:r>
                        <m:rPr>
                          <m:sty m:val="p"/>
                        </m:rPr>
                        <w:rPr>
                          <w:rFonts w:ascii="Cambria Math" w:hAnsi="Cambria Math"/>
                        </w:rPr>
                        <m:t>log</m:t>
                      </m:r>
                    </m:sub>
                  </m:sSub>
                  <m:r>
                    <w:rPr>
                      <w:rFonts w:ascii="Cambria Math" w:hAnsi="Cambria Math"/>
                    </w:rPr>
                    <m:t>k</m:t>
                  </m:r>
                </m:sup>
              </m:sSup>
              <m:r>
                <m:rPr>
                  <m:sty m:val="p"/>
                </m:rPr>
                <w:rPr>
                  <w:rFonts w:ascii="Cambria Math" w:hAnsi="Cambria Math"/>
                </w:rPr>
                <m:t>-</m:t>
              </m:r>
              <m:r>
                <w:rPr>
                  <w:rFonts w:ascii="Cambria Math" w:hAnsi="Cambria Math"/>
                </w:rPr>
                <m:t>1</m:t>
              </m:r>
            </m:num>
            <m:den>
              <m:sSup>
                <m:sSupPr>
                  <m:ctrlPr>
                    <w:rPr>
                      <w:rFonts w:ascii="Cambria Math" w:hAnsi="Cambria Math"/>
                    </w:rPr>
                  </m:ctrlPr>
                </m:sSupPr>
                <m:e>
                  <m:r>
                    <w:rPr>
                      <w:rFonts w:ascii="Cambria Math" w:hAnsi="Cambria Math"/>
                    </w:rPr>
                    <m:t>e</m:t>
                  </m:r>
                </m:e>
                <m:sup>
                  <m:r>
                    <w:rPr>
                      <w:rFonts w:ascii="Cambria Math" w:hAnsi="Cambria Math"/>
                    </w:rPr>
                    <m:t>k</m:t>
                  </m:r>
                </m:sup>
              </m:sSup>
              <m:r>
                <m:rPr>
                  <m:sty m:val="p"/>
                </m:rPr>
                <w:rPr>
                  <w:rFonts w:ascii="Cambria Math" w:hAnsi="Cambria Math"/>
                </w:rPr>
                <m:t>-</m:t>
              </m:r>
              <m:r>
                <w:rPr>
                  <w:rFonts w:ascii="Cambria Math" w:hAnsi="Cambria Math"/>
                </w:rPr>
                <m:t>1</m:t>
              </m:r>
            </m:den>
          </m:f>
          <m:r>
            <m:rPr>
              <m:sty m:val="p"/>
            </m:rPr>
            <w:rPr>
              <w:rFonts w:ascii="Cambria Math" w:hAnsi="Cambria Math"/>
            </w:rPr>
            <m:t>=</m:t>
          </m:r>
          <m:sSub>
            <m:sSubPr>
              <m:ctrlPr>
                <w:rPr>
                  <w:rFonts w:ascii="Cambria Math" w:hAnsi="Cambria Math"/>
                </w:rPr>
              </m:ctrlPr>
            </m:sSubPr>
            <m:e>
              <m:r>
                <w:rPr>
                  <w:rFonts w:ascii="Cambria Math" w:hAnsi="Cambria Math"/>
                </w:rPr>
                <m:t>η</m:t>
              </m:r>
            </m:e>
            <m:sub>
              <m:r>
                <m:rPr>
                  <m:sty m:val="p"/>
                </m:rPr>
                <w:rPr>
                  <w:rFonts w:ascii="Cambria Math" w:hAnsi="Cambria Math"/>
                </w:rPr>
                <m:t>log</m:t>
              </m:r>
            </m:sub>
          </m:sSub>
          <m:r>
            <m:rPr>
              <m:sty m:val="p"/>
            </m:rPr>
            <w:rPr>
              <w:rFonts w:ascii="Cambria Math" w:hAnsi="Cambria Math"/>
            </w:rPr>
            <m:t>.</m:t>
          </m:r>
        </m:oMath>
      </m:oMathPara>
    </w:p>
    <w:p w:rsidR="00527E3A" w:rsidRPr="00DF01C4" w:rsidRDefault="00527E3A" w:rsidP="00527E3A">
      <w:pPr>
        <w:keepLines/>
        <w:spacing w:line="360" w:lineRule="auto"/>
      </w:pPr>
      <w:r>
        <w:rPr>
          <w:color w:val="000000"/>
        </w:rPr>
        <w:t>The measures coincide only as the price change approaches zero. A constant-elasticity demand curve is linear in log-log space, not convex there. In levels, the large positive price change makes the secant percentage-change measure substantially flatter than the signed log elasticity in this application.</w:t>
      </w:r>
    </w:p>
    <w:p w:rsidR="00527E3A" w:rsidRPr="00DF01C4" w:rsidRDefault="00527E3A" w:rsidP="00527E3A">
      <w:pPr>
        <w:keepNext/>
        <w:keepLines/>
        <w:spacing w:line="360" w:lineRule="auto"/>
        <w:jc w:val="center"/>
      </w:pPr>
      <w:r>
        <w:rPr>
          <w:noProof/>
        </w:rPr>
        <w:drawing>
          <wp:inline distT="0" distB="0" distL="0" distR="0" wp14:anchorId="48A6AD8D" wp14:editId="3D5CD676">
            <wp:extent cx="5212080" cy="3035832"/>
            <wp:effectExtent l="0" t="0" r="0" b="0"/>
            <wp:docPr id="1" name="Picture 1" descr="Constant-elasticity demand curve comparing the signed log elasticity with the arc elasticity between two equilibria." title="Figure 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a1.png"/>
                    <pic:cNvPicPr/>
                  </pic:nvPicPr>
                  <pic:blipFill>
                    <a:blip r:embed="rId5"/>
                    <a:stretch>
                      <a:fillRect/>
                    </a:stretch>
                  </pic:blipFill>
                  <pic:spPr>
                    <a:xfrm>
                      <a:off x="0" y="0"/>
                      <a:ext cx="5212080" cy="3035832"/>
                    </a:xfrm>
                    <a:prstGeom prst="rect">
                      <a:avLst/>
                    </a:prstGeom>
                  </pic:spPr>
                </pic:pic>
              </a:graphicData>
            </a:graphic>
          </wp:inline>
        </w:drawing>
      </w:r>
    </w:p>
    <w:p w:rsidR="00527E3A" w:rsidRPr="00DF01C4" w:rsidRDefault="00527E3A" w:rsidP="00527E3A">
      <w:pPr>
        <w:keepNext/>
        <w:keepLines/>
        <w:spacing w:line="360" w:lineRule="auto"/>
      </w:pPr>
      <w:r>
        <w:rPr>
          <w:b/>
          <w:color w:val="000000"/>
        </w:rPr>
        <w:t>Figure A1</w:t>
      </w:r>
    </w:p>
    <w:p w:rsidR="00527E3A" w:rsidRPr="00DF01C4" w:rsidRDefault="00527E3A" w:rsidP="00527E3A">
      <w:pPr>
        <w:keepNext/>
        <w:keepLines/>
        <w:spacing w:line="360" w:lineRule="auto"/>
      </w:pPr>
      <w:r>
        <w:rPr>
          <w:i/>
          <w:color w:val="000000"/>
        </w:rPr>
        <w:t>Constant-elasticity demand and alternative elasticity measures</w:t>
      </w:r>
    </w:p>
    <w:p w:rsidR="00527E3A" w:rsidRPr="00DF01C4" w:rsidRDefault="00527E3A" w:rsidP="00527E3A">
      <w:pPr>
        <w:spacing w:line="360" w:lineRule="auto"/>
        <w:sectPr w:rsidR="00527E3A" w:rsidRPr="00DF01C4" w:rsidSect="00527E3A">
          <w:headerReference w:type="default" r:id="rId6"/>
          <w:footerReference w:type="default" r:id="rId7"/>
          <w:pgSz w:w="12240" w:h="15840"/>
          <w:pgMar w:top="1080" w:right="1440" w:bottom="1080" w:left="1440" w:header="432" w:footer="432" w:gutter="0"/>
          <w:lnNumType w:countBy="1" w:restart="continuous"/>
          <w:cols w:space="720"/>
          <w:docGrid w:linePitch="360"/>
        </w:sectPr>
      </w:pPr>
      <w:r>
        <w:rPr>
          <w:i/>
          <w:color w:val="000000"/>
        </w:rPr>
        <w:t xml:space="preserve">Note. </w:t>
      </w:r>
      <w:r>
        <w:rPr>
          <w:color w:val="000000"/>
        </w:rPr>
        <w:t xml:space="preserve">The dashed line represents the arc measure between the two equilibria. The dotted line represents the signed log elasticity at the initial equilibrium. For the Brexit calibration, the absolute arc elasticity is smaller than the absolute log elasticity due to the massive price shift. </w:t>
      </w:r>
    </w:p>
    <w:p w:rsidR="00527E3A" w:rsidRPr="00DF01C4" w:rsidRDefault="00527E3A" w:rsidP="00527E3A">
      <w:pPr>
        <w:pStyle w:val="Heading1"/>
        <w:spacing w:before="0" w:beforeAutospacing="0" w:after="0" w:afterAutospacing="0" w:line="360" w:lineRule="auto"/>
        <w:rPr>
          <w:sz w:val="24"/>
          <w:szCs w:val="24"/>
        </w:rPr>
      </w:pPr>
      <w:r>
        <w:rPr>
          <w:sz w:val="24"/>
          <w:szCs w:val="24"/>
        </w:rPr>
        <w:lastRenderedPageBreak/>
        <w:t>A5. Detailed regression results</w:t>
      </w:r>
    </w:p>
    <w:p w:rsidR="00527E3A" w:rsidRPr="00DF01C4" w:rsidRDefault="00527E3A" w:rsidP="00527E3A">
      <w:pPr>
        <w:keepNext/>
        <w:keepLines/>
        <w:spacing w:line="360" w:lineRule="auto"/>
        <w:rPr>
          <w:b/>
        </w:rPr>
      </w:pPr>
      <w:r>
        <w:rPr>
          <w:b/>
          <w:color w:val="000000"/>
        </w:rPr>
        <w:t>Table A1</w:t>
      </w:r>
    </w:p>
    <w:p w:rsidR="00527E3A" w:rsidRPr="00DF01C4" w:rsidRDefault="00527E3A" w:rsidP="00527E3A">
      <w:pPr>
        <w:keepNext/>
        <w:keepLines/>
        <w:spacing w:line="360" w:lineRule="auto"/>
      </w:pPr>
      <w:r>
        <w:rPr>
          <w:i/>
          <w:color w:val="000000"/>
        </w:rPr>
        <w:t>Country-specific post-reform log effects under alternative specifications</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00"/>
        <w:gridCol w:w="1706"/>
        <w:gridCol w:w="1843"/>
        <w:gridCol w:w="2126"/>
        <w:gridCol w:w="1843"/>
      </w:tblGrid>
      <w:tr w:rsidR="00527E3A" w:rsidRPr="00DF01C4" w:rsidTr="006858C8">
        <w:trPr>
          <w:cantSplit/>
          <w:trHeight w:val="315"/>
          <w:tblHeader/>
          <w:jc w:val="center"/>
        </w:trPr>
        <w:tc>
          <w:tcPr>
            <w:tcW w:w="2400" w:type="dxa"/>
            <w:shd w:val="clear" w:color="auto" w:fill="E7E6E6"/>
            <w:tcMar>
              <w:top w:w="45" w:type="dxa"/>
              <w:left w:w="75" w:type="dxa"/>
              <w:bottom w:w="45" w:type="dxa"/>
              <w:right w:w="75" w:type="dxa"/>
            </w:tcMar>
            <w:vAlign w:val="center"/>
            <w:hideMark/>
          </w:tcPr>
          <w:p w:rsidR="00527E3A" w:rsidRPr="00DF01C4" w:rsidRDefault="00527E3A" w:rsidP="006858C8">
            <w:pPr>
              <w:rPr>
                <w:b/>
                <w:bCs/>
              </w:rPr>
            </w:pPr>
            <w:r>
              <w:rPr>
                <w:b/>
                <w:bCs/>
                <w:color w:val="000000"/>
              </w:rPr>
              <w:t>Variable</w:t>
            </w:r>
          </w:p>
        </w:tc>
        <w:tc>
          <w:tcPr>
            <w:tcW w:w="1706" w:type="dxa"/>
            <w:shd w:val="clear" w:color="auto" w:fill="E7E6E6"/>
            <w:tcMar>
              <w:top w:w="45" w:type="dxa"/>
              <w:left w:w="75" w:type="dxa"/>
              <w:bottom w:w="45" w:type="dxa"/>
              <w:right w:w="75" w:type="dxa"/>
            </w:tcMar>
            <w:vAlign w:val="center"/>
            <w:hideMark/>
          </w:tcPr>
          <w:p w:rsidR="00527E3A" w:rsidRPr="00DF01C4" w:rsidRDefault="00527E3A" w:rsidP="006858C8">
            <w:pPr>
              <w:jc w:val="center"/>
              <w:rPr>
                <w:b/>
                <w:bCs/>
              </w:rPr>
            </w:pPr>
            <w:r>
              <w:rPr>
                <w:b/>
                <w:bCs/>
                <w:color w:val="000000"/>
              </w:rPr>
              <w:t>Weighted</w:t>
            </w:r>
            <w:r>
              <w:rPr>
                <w:b/>
                <w:bCs/>
                <w:color w:val="000000"/>
              </w:rPr>
              <w:br/>
              <w:t>TWFE</w:t>
            </w:r>
          </w:p>
        </w:tc>
        <w:tc>
          <w:tcPr>
            <w:tcW w:w="1843" w:type="dxa"/>
            <w:shd w:val="clear" w:color="auto" w:fill="E7E6E6"/>
            <w:tcMar>
              <w:top w:w="45" w:type="dxa"/>
              <w:left w:w="75" w:type="dxa"/>
              <w:bottom w:w="45" w:type="dxa"/>
              <w:right w:w="75" w:type="dxa"/>
            </w:tcMar>
            <w:vAlign w:val="center"/>
            <w:hideMark/>
          </w:tcPr>
          <w:p w:rsidR="00527E3A" w:rsidRPr="00DF01C4" w:rsidRDefault="00527E3A" w:rsidP="006858C8">
            <w:pPr>
              <w:jc w:val="center"/>
              <w:rPr>
                <w:b/>
                <w:bCs/>
              </w:rPr>
            </w:pPr>
            <w:r>
              <w:rPr>
                <w:b/>
                <w:bCs/>
                <w:color w:val="000000"/>
              </w:rPr>
              <w:t>Weighted</w:t>
            </w:r>
            <w:r>
              <w:rPr>
                <w:b/>
                <w:bCs/>
                <w:color w:val="000000"/>
              </w:rPr>
              <w:br/>
              <w:t>country FE</w:t>
            </w:r>
          </w:p>
        </w:tc>
        <w:tc>
          <w:tcPr>
            <w:tcW w:w="2126" w:type="dxa"/>
            <w:shd w:val="clear" w:color="auto" w:fill="E7E6E6"/>
            <w:tcMar>
              <w:top w:w="45" w:type="dxa"/>
              <w:left w:w="75" w:type="dxa"/>
              <w:bottom w:w="45" w:type="dxa"/>
              <w:right w:w="75" w:type="dxa"/>
            </w:tcMar>
            <w:vAlign w:val="center"/>
            <w:hideMark/>
          </w:tcPr>
          <w:p w:rsidR="00527E3A" w:rsidRPr="00DF01C4" w:rsidRDefault="00527E3A" w:rsidP="006858C8">
            <w:pPr>
              <w:jc w:val="center"/>
              <w:rPr>
                <w:b/>
                <w:bCs/>
              </w:rPr>
            </w:pPr>
            <w:r>
              <w:rPr>
                <w:b/>
                <w:bCs/>
                <w:color w:val="000000"/>
              </w:rPr>
              <w:t>Weighted</w:t>
            </w:r>
            <w:r>
              <w:rPr>
                <w:b/>
                <w:bCs/>
                <w:color w:val="000000"/>
              </w:rPr>
              <w:br/>
              <w:t>no FE</w:t>
            </w:r>
          </w:p>
        </w:tc>
        <w:tc>
          <w:tcPr>
            <w:tcW w:w="1843" w:type="dxa"/>
            <w:shd w:val="clear" w:color="auto" w:fill="E7E6E6"/>
            <w:tcMar>
              <w:top w:w="45" w:type="dxa"/>
              <w:left w:w="75" w:type="dxa"/>
              <w:bottom w:w="45" w:type="dxa"/>
              <w:right w:w="75" w:type="dxa"/>
            </w:tcMar>
            <w:vAlign w:val="center"/>
            <w:hideMark/>
          </w:tcPr>
          <w:p w:rsidR="00527E3A" w:rsidRPr="00DF01C4" w:rsidRDefault="00527E3A" w:rsidP="006858C8">
            <w:pPr>
              <w:jc w:val="center"/>
              <w:rPr>
                <w:b/>
                <w:bCs/>
              </w:rPr>
            </w:pPr>
            <w:r>
              <w:rPr>
                <w:b/>
                <w:bCs/>
                <w:color w:val="000000"/>
              </w:rPr>
              <w:t>Unweighted</w:t>
            </w:r>
            <w:r>
              <w:rPr>
                <w:b/>
                <w:bCs/>
                <w:color w:val="000000"/>
              </w:rPr>
              <w:br/>
              <w:t>TWFE</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Intercept</w:t>
            </w:r>
          </w:p>
        </w:tc>
        <w:tc>
          <w:tcPr>
            <w:tcW w:w="1706" w:type="dxa"/>
            <w:tcMar>
              <w:top w:w="45" w:type="dxa"/>
              <w:left w:w="75" w:type="dxa"/>
              <w:bottom w:w="45" w:type="dxa"/>
              <w:right w:w="75" w:type="dxa"/>
            </w:tcMar>
            <w:vAlign w:val="center"/>
            <w:hideMark/>
          </w:tcPr>
          <w:p w:rsidR="00527E3A" w:rsidRPr="00DF01C4" w:rsidRDefault="00527E3A" w:rsidP="006858C8">
            <w:pPr>
              <w:jc w:val="center"/>
            </w:pPr>
          </w:p>
        </w:tc>
        <w:tc>
          <w:tcPr>
            <w:tcW w:w="1843" w:type="dxa"/>
            <w:tcMar>
              <w:top w:w="45" w:type="dxa"/>
              <w:left w:w="75" w:type="dxa"/>
              <w:bottom w:w="45" w:type="dxa"/>
              <w:right w:w="75" w:type="dxa"/>
            </w:tcMar>
            <w:vAlign w:val="center"/>
            <w:hideMark/>
          </w:tcPr>
          <w:p w:rsidR="00527E3A" w:rsidRPr="00DF01C4" w:rsidRDefault="00527E3A" w:rsidP="006858C8">
            <w:pPr>
              <w:jc w:val="center"/>
            </w:pP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6.844***</w:t>
            </w:r>
            <w:r>
              <w:rPr>
                <w:color w:val="000000"/>
              </w:rPr>
              <w:br/>
              <w:t>(0.032)</w:t>
            </w:r>
          </w:p>
        </w:tc>
        <w:tc>
          <w:tcPr>
            <w:tcW w:w="1843" w:type="dxa"/>
            <w:tcMar>
              <w:top w:w="45" w:type="dxa"/>
              <w:left w:w="75" w:type="dxa"/>
              <w:bottom w:w="45" w:type="dxa"/>
              <w:right w:w="75" w:type="dxa"/>
            </w:tcMar>
            <w:vAlign w:val="center"/>
            <w:hideMark/>
          </w:tcPr>
          <w:p w:rsidR="00527E3A" w:rsidRPr="00DF01C4" w:rsidRDefault="00527E3A" w:rsidP="006858C8">
            <w:pPr>
              <w:jc w:val="center"/>
            </w:pP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Austria</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-0.549***</w:t>
            </w:r>
            <w:r>
              <w:rPr>
                <w:color w:val="000000"/>
              </w:rPr>
              <w:br/>
              <w:t>(0.053)</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-0.525***</w:t>
            </w:r>
            <w:r>
              <w:rPr>
                <w:color w:val="000000"/>
              </w:rPr>
              <w:br/>
              <w:t>(0.051)</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-0.961***</w:t>
            </w:r>
            <w:r>
              <w:rPr>
                <w:color w:val="000000"/>
              </w:rPr>
              <w:br/>
              <w:t>(0.046)</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-0.686***</w:t>
            </w:r>
            <w:r>
              <w:rPr>
                <w:color w:val="000000"/>
              </w:rPr>
              <w:br/>
              <w:t>(0.080)</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Belgium</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-0.603***</w:t>
            </w:r>
            <w:r>
              <w:rPr>
                <w:color w:val="000000"/>
              </w:rPr>
              <w:br/>
              <w:t>(0.066)</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-0.579***</w:t>
            </w:r>
            <w:r>
              <w:rPr>
                <w:color w:val="000000"/>
              </w:rPr>
              <w:br/>
              <w:t>(0.063)</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-0.434***</w:t>
            </w:r>
            <w:r>
              <w:rPr>
                <w:color w:val="000000"/>
              </w:rPr>
              <w:br/>
              <w:t>(0.059)</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-0.740***</w:t>
            </w:r>
            <w:r>
              <w:rPr>
                <w:color w:val="000000"/>
              </w:rPr>
              <w:br/>
              <w:t>(0.093)</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Bulgaria</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-1.887***</w:t>
            </w:r>
            <w:r>
              <w:rPr>
                <w:color w:val="000000"/>
              </w:rPr>
              <w:br/>
              <w:t>(0.131)</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-1.864***</w:t>
            </w:r>
            <w:r>
              <w:rPr>
                <w:color w:val="000000"/>
              </w:rPr>
              <w:br/>
              <w:t>(0.128)</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-1.007***</w:t>
            </w:r>
            <w:r>
              <w:rPr>
                <w:color w:val="000000"/>
              </w:rPr>
              <w:br/>
              <w:t>(0.101)</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-2.025***</w:t>
            </w:r>
            <w:r>
              <w:rPr>
                <w:color w:val="000000"/>
              </w:rPr>
              <w:br/>
              <w:t>(0.158)</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Croatia</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-1.655***</w:t>
            </w:r>
            <w:r>
              <w:rPr>
                <w:color w:val="000000"/>
              </w:rPr>
              <w:br/>
              <w:t>(0.109)</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-1.631***</w:t>
            </w:r>
            <w:r>
              <w:rPr>
                <w:color w:val="000000"/>
              </w:rPr>
              <w:br/>
              <w:t>(0.105)</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-2.572***</w:t>
            </w:r>
            <w:r>
              <w:rPr>
                <w:color w:val="000000"/>
              </w:rPr>
              <w:br/>
              <w:t>(0.098)</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-1.792***</w:t>
            </w:r>
            <w:r>
              <w:rPr>
                <w:color w:val="000000"/>
              </w:rPr>
              <w:br/>
              <w:t>(0.130)</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Cyprus</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-0.902***</w:t>
            </w:r>
            <w:r>
              <w:rPr>
                <w:color w:val="000000"/>
              </w:rPr>
              <w:br/>
              <w:t>(0.067)</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-0.879***</w:t>
            </w:r>
            <w:r>
              <w:rPr>
                <w:color w:val="000000"/>
              </w:rPr>
              <w:br/>
              <w:t>(0.066)</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0.255***</w:t>
            </w:r>
            <w:r>
              <w:rPr>
                <w:color w:val="000000"/>
              </w:rPr>
              <w:br/>
              <w:t>(0.042)</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-1.040***</w:t>
            </w:r>
            <w:r>
              <w:rPr>
                <w:color w:val="000000"/>
              </w:rPr>
              <w:br/>
              <w:t>(0.096)</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Czech Republic</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-1.137***</w:t>
            </w:r>
            <w:r>
              <w:rPr>
                <w:color w:val="000000"/>
              </w:rPr>
              <w:br/>
              <w:t>(0.056)</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-1.114***</w:t>
            </w:r>
            <w:r>
              <w:rPr>
                <w:color w:val="000000"/>
              </w:rPr>
              <w:br/>
              <w:t>(0.051)</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-0.901***</w:t>
            </w:r>
            <w:r>
              <w:rPr>
                <w:color w:val="000000"/>
              </w:rPr>
              <w:br/>
              <w:t>(0.052)</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-1.275***</w:t>
            </w:r>
            <w:r>
              <w:rPr>
                <w:color w:val="000000"/>
              </w:rPr>
              <w:br/>
              <w:t>(0.065)</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Denmark</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-1.046***</w:t>
            </w:r>
            <w:r>
              <w:rPr>
                <w:color w:val="000000"/>
              </w:rPr>
              <w:br/>
              <w:t>(0.109)</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-1.023***</w:t>
            </w:r>
            <w:r>
              <w:rPr>
                <w:color w:val="000000"/>
              </w:rPr>
              <w:br/>
              <w:t>(0.105)</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-1.609***</w:t>
            </w:r>
            <w:r>
              <w:rPr>
                <w:color w:val="000000"/>
              </w:rPr>
              <w:br/>
              <w:t>(0.093)</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-1.184***</w:t>
            </w:r>
            <w:r>
              <w:rPr>
                <w:color w:val="000000"/>
              </w:rPr>
              <w:br/>
              <w:t>(0.132)</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Estonia</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-1.447***</w:t>
            </w:r>
            <w:r>
              <w:rPr>
                <w:color w:val="000000"/>
              </w:rPr>
              <w:br/>
              <w:t>(0.118)</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-1.424***</w:t>
            </w:r>
            <w:r>
              <w:rPr>
                <w:color w:val="000000"/>
              </w:rPr>
              <w:br/>
              <w:t>(0.115)</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-2.237***</w:t>
            </w:r>
            <w:r>
              <w:rPr>
                <w:color w:val="000000"/>
              </w:rPr>
              <w:br/>
              <w:t>(0.104)</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-1.585***</w:t>
            </w:r>
            <w:r>
              <w:rPr>
                <w:color w:val="000000"/>
              </w:rPr>
              <w:br/>
              <w:t>(0.144)</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Finland</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-1.756***</w:t>
            </w:r>
            <w:r>
              <w:rPr>
                <w:color w:val="000000"/>
              </w:rPr>
              <w:br/>
              <w:t>(0.206)</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-1.733***</w:t>
            </w:r>
            <w:r>
              <w:rPr>
                <w:color w:val="000000"/>
              </w:rPr>
              <w:br/>
              <w:t>(0.204)</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-1.817***</w:t>
            </w:r>
            <w:r>
              <w:rPr>
                <w:color w:val="000000"/>
              </w:rPr>
              <w:br/>
              <w:t>(0.174)</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-1.894***</w:t>
            </w:r>
            <w:r>
              <w:rPr>
                <w:color w:val="000000"/>
              </w:rPr>
              <w:br/>
              <w:t>(0.232)</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France</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-0.597***</w:t>
            </w:r>
            <w:r>
              <w:rPr>
                <w:color w:val="000000"/>
              </w:rPr>
              <w:br/>
              <w:t>(0.062)</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-0.574***</w:t>
            </w:r>
            <w:r>
              <w:rPr>
                <w:color w:val="000000"/>
              </w:rPr>
              <w:br/>
              <w:t>(0.059)</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1.179***</w:t>
            </w:r>
            <w:r>
              <w:rPr>
                <w:color w:val="000000"/>
              </w:rPr>
              <w:br/>
              <w:t>(0.060)</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-0.735***</w:t>
            </w:r>
            <w:r>
              <w:rPr>
                <w:color w:val="000000"/>
              </w:rPr>
              <w:br/>
              <w:t>(0.085)</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Germany</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-0.681***</w:t>
            </w:r>
            <w:r>
              <w:rPr>
                <w:color w:val="000000"/>
              </w:rPr>
              <w:br/>
              <w:t>(0.072)</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-0.658***</w:t>
            </w:r>
            <w:r>
              <w:rPr>
                <w:color w:val="000000"/>
              </w:rPr>
              <w:br/>
              <w:t>(0.071)</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0.652***</w:t>
            </w:r>
            <w:r>
              <w:rPr>
                <w:color w:val="000000"/>
              </w:rPr>
              <w:br/>
              <w:t>(0.063)</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-0.819***</w:t>
            </w:r>
            <w:r>
              <w:rPr>
                <w:color w:val="000000"/>
              </w:rPr>
              <w:br/>
              <w:t>(0.100)</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Greece</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-0.866***</w:t>
            </w:r>
            <w:r>
              <w:rPr>
                <w:color w:val="000000"/>
              </w:rPr>
              <w:br/>
              <w:t>(0.078)</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-0.842***</w:t>
            </w:r>
            <w:r>
              <w:rPr>
                <w:color w:val="000000"/>
              </w:rPr>
              <w:br/>
              <w:t>(0.078)</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0.105</w:t>
            </w:r>
            <w:r>
              <w:rPr>
                <w:color w:val="000000"/>
              </w:rPr>
              <w:br/>
              <w:t>(0.077)</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-1.003***</w:t>
            </w:r>
            <w:r>
              <w:rPr>
                <w:color w:val="000000"/>
              </w:rPr>
              <w:br/>
              <w:t>(0.103)</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lastRenderedPageBreak/>
              <w:t>Hungary</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-1.114***</w:t>
            </w:r>
            <w:r>
              <w:rPr>
                <w:color w:val="000000"/>
              </w:rPr>
              <w:br/>
              <w:t>(0.077)</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-1.091***</w:t>
            </w:r>
            <w:r>
              <w:rPr>
                <w:color w:val="000000"/>
              </w:rPr>
              <w:br/>
              <w:t>(0.075)</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-1.032***</w:t>
            </w:r>
            <w:r>
              <w:rPr>
                <w:color w:val="000000"/>
              </w:rPr>
              <w:br/>
              <w:t>(0.073)</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-1.252***</w:t>
            </w:r>
            <w:r>
              <w:rPr>
                <w:color w:val="000000"/>
              </w:rPr>
              <w:br/>
              <w:t>(0.089)</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Italy</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-0.925***</w:t>
            </w:r>
            <w:r>
              <w:rPr>
                <w:color w:val="000000"/>
              </w:rPr>
              <w:br/>
              <w:t>(0.112)</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-0.902***</w:t>
            </w:r>
            <w:r>
              <w:rPr>
                <w:color w:val="000000"/>
              </w:rPr>
              <w:br/>
              <w:t>(0.110)</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0.676***</w:t>
            </w:r>
            <w:r>
              <w:rPr>
                <w:color w:val="000000"/>
              </w:rPr>
              <w:br/>
              <w:t>(0.098)</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-1.063***</w:t>
            </w:r>
            <w:r>
              <w:rPr>
                <w:color w:val="000000"/>
              </w:rPr>
              <w:br/>
              <w:t>(0.139)</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Latvia</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-1.512***</w:t>
            </w:r>
            <w:r>
              <w:rPr>
                <w:color w:val="000000"/>
              </w:rPr>
              <w:br/>
              <w:t>(0.127)</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-1.488***</w:t>
            </w:r>
            <w:r>
              <w:rPr>
                <w:color w:val="000000"/>
              </w:rPr>
              <w:br/>
              <w:t>(0.122)</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-1.928***</w:t>
            </w:r>
            <w:r>
              <w:rPr>
                <w:color w:val="000000"/>
              </w:rPr>
              <w:br/>
              <w:t>(0.122)</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-1.649***</w:t>
            </w:r>
            <w:r>
              <w:rPr>
                <w:color w:val="000000"/>
              </w:rPr>
              <w:br/>
              <w:t>(0.145)</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Lithuania</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-2.173***</w:t>
            </w:r>
            <w:r>
              <w:rPr>
                <w:color w:val="000000"/>
              </w:rPr>
              <w:br/>
              <w:t>(0.277)</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-2.150***</w:t>
            </w:r>
            <w:r>
              <w:rPr>
                <w:color w:val="000000"/>
              </w:rPr>
              <w:br/>
              <w:t>(0.271)</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-1.412***</w:t>
            </w:r>
            <w:r>
              <w:rPr>
                <w:color w:val="000000"/>
              </w:rPr>
              <w:br/>
              <w:t>(0.244)</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-2.311***</w:t>
            </w:r>
            <w:r>
              <w:rPr>
                <w:color w:val="000000"/>
              </w:rPr>
              <w:br/>
              <w:t>(0.297)</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Luxembourg</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-0.493***</w:t>
            </w:r>
            <w:r>
              <w:rPr>
                <w:color w:val="000000"/>
              </w:rPr>
              <w:br/>
              <w:t>(0.047)</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-0.470***</w:t>
            </w:r>
            <w:r>
              <w:rPr>
                <w:color w:val="000000"/>
              </w:rPr>
              <w:br/>
              <w:t>(0.040)</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-1.237***</w:t>
            </w:r>
            <w:r>
              <w:rPr>
                <w:color w:val="000000"/>
              </w:rPr>
              <w:br/>
              <w:t>(0.040)</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-0.630***</w:t>
            </w:r>
            <w:r>
              <w:rPr>
                <w:color w:val="000000"/>
              </w:rPr>
              <w:br/>
              <w:t>(0.068)</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Malta</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-0.362***</w:t>
            </w:r>
            <w:r>
              <w:rPr>
                <w:color w:val="000000"/>
              </w:rPr>
              <w:br/>
              <w:t>(0.045)</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-0.338***</w:t>
            </w:r>
            <w:r>
              <w:rPr>
                <w:color w:val="000000"/>
              </w:rPr>
              <w:br/>
              <w:t>(0.049)</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-2.335***</w:t>
            </w:r>
            <w:r>
              <w:rPr>
                <w:color w:val="000000"/>
              </w:rPr>
              <w:br/>
              <w:t>(0.041)</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-0.499***</w:t>
            </w:r>
            <w:r>
              <w:rPr>
                <w:color w:val="000000"/>
              </w:rPr>
              <w:br/>
              <w:t>(0.049)</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Netherlands</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-0.535***</w:t>
            </w:r>
            <w:r>
              <w:rPr>
                <w:color w:val="000000"/>
              </w:rPr>
              <w:br/>
              <w:t>(0.024)</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-0.512***</w:t>
            </w:r>
            <w:r>
              <w:rPr>
                <w:color w:val="000000"/>
              </w:rPr>
              <w:br/>
              <w:t>(0.026)</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-0.491***</w:t>
            </w:r>
            <w:r>
              <w:rPr>
                <w:color w:val="000000"/>
              </w:rPr>
              <w:br/>
              <w:t>(0.037)</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-0.672***</w:t>
            </w:r>
            <w:r>
              <w:rPr>
                <w:color w:val="000000"/>
              </w:rPr>
              <w:br/>
              <w:t>(0.047)</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Poland</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-1.668***</w:t>
            </w:r>
            <w:r>
              <w:rPr>
                <w:color w:val="000000"/>
              </w:rPr>
              <w:br/>
              <w:t>(0.149)</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-1.645***</w:t>
            </w:r>
            <w:r>
              <w:rPr>
                <w:color w:val="000000"/>
              </w:rPr>
              <w:br/>
              <w:t>(0.146)</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-0.135</w:t>
            </w:r>
            <w:r>
              <w:rPr>
                <w:color w:val="000000"/>
              </w:rPr>
              <w:br/>
              <w:t>(0.141)</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-1.806***</w:t>
            </w:r>
            <w:r>
              <w:rPr>
                <w:color w:val="000000"/>
              </w:rPr>
              <w:br/>
              <w:t>(0.164)</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Portugal</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-0.939*</w:t>
            </w:r>
            <w:r>
              <w:rPr>
                <w:color w:val="000000"/>
              </w:rPr>
              <w:br/>
              <w:t>(0.350)</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-0.916*</w:t>
            </w:r>
            <w:r>
              <w:rPr>
                <w:color w:val="000000"/>
              </w:rPr>
              <w:br/>
              <w:t>(0.345)</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-0.087</w:t>
            </w:r>
            <w:r>
              <w:rPr>
                <w:color w:val="000000"/>
              </w:rPr>
              <w:br/>
              <w:t>(0.321)</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-1.077*</w:t>
            </w:r>
            <w:r>
              <w:rPr>
                <w:color w:val="000000"/>
              </w:rPr>
              <w:br/>
              <w:t>(0.362)</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Romania</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-1.711***</w:t>
            </w:r>
            <w:r>
              <w:rPr>
                <w:color w:val="000000"/>
              </w:rPr>
              <w:br/>
              <w:t>(0.136)</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-1.688***</w:t>
            </w:r>
            <w:r>
              <w:rPr>
                <w:color w:val="000000"/>
              </w:rPr>
              <w:br/>
              <w:t>(0.133)</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-0.363*</w:t>
            </w:r>
            <w:r>
              <w:rPr>
                <w:color w:val="000000"/>
              </w:rPr>
              <w:br/>
              <w:t>(0.130)</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-1.849***</w:t>
            </w:r>
            <w:r>
              <w:rPr>
                <w:color w:val="000000"/>
              </w:rPr>
              <w:br/>
              <w:t>(0.157)</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Slovakia</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-1.516***</w:t>
            </w:r>
            <w:r>
              <w:rPr>
                <w:color w:val="000000"/>
              </w:rPr>
              <w:br/>
              <w:t>(0.119)</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-1.493***</w:t>
            </w:r>
            <w:r>
              <w:rPr>
                <w:color w:val="000000"/>
              </w:rPr>
              <w:br/>
              <w:t>(0.119)</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-1.570***</w:t>
            </w:r>
            <w:r>
              <w:rPr>
                <w:color w:val="000000"/>
              </w:rPr>
              <w:br/>
              <w:t>(0.094)</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-1.654***</w:t>
            </w:r>
            <w:r>
              <w:rPr>
                <w:color w:val="000000"/>
              </w:rPr>
              <w:br/>
              <w:t>(0.125)</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Slovenia</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-1.280***</w:t>
            </w:r>
            <w:r>
              <w:rPr>
                <w:color w:val="000000"/>
              </w:rPr>
              <w:br/>
              <w:t>(0.121)</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-1.256***</w:t>
            </w:r>
            <w:r>
              <w:rPr>
                <w:color w:val="000000"/>
              </w:rPr>
              <w:br/>
              <w:t>(0.120)</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-3.108***</w:t>
            </w:r>
            <w:r>
              <w:rPr>
                <w:color w:val="000000"/>
              </w:rPr>
              <w:br/>
              <w:t>(0.094)</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-1.417***</w:t>
            </w:r>
            <w:r>
              <w:rPr>
                <w:color w:val="000000"/>
              </w:rPr>
              <w:br/>
              <w:t>(0.147)</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Spain</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-0.508***</w:t>
            </w:r>
            <w:r>
              <w:rPr>
                <w:color w:val="000000"/>
              </w:rPr>
              <w:br/>
              <w:t>(0.083)</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-0.484***</w:t>
            </w:r>
            <w:r>
              <w:rPr>
                <w:color w:val="000000"/>
              </w:rPr>
              <w:br/>
              <w:t>(0.079)</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0.964***</w:t>
            </w:r>
            <w:r>
              <w:rPr>
                <w:color w:val="000000"/>
              </w:rPr>
              <w:br/>
              <w:t>(0.065)</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-0.645***</w:t>
            </w:r>
            <w:r>
              <w:rPr>
                <w:color w:val="000000"/>
              </w:rPr>
              <w:br/>
              <w:t>(0.086)</w:t>
            </w:r>
          </w:p>
        </w:tc>
      </w:tr>
      <w:tr w:rsidR="00527E3A" w:rsidRPr="00DF01C4" w:rsidTr="006858C8">
        <w:trPr>
          <w:cantSplit/>
          <w:trHeight w:val="315"/>
          <w:jc w:val="center"/>
        </w:trPr>
        <w:tc>
          <w:tcPr>
            <w:tcW w:w="2400" w:type="dxa"/>
            <w:tcMar>
              <w:top w:w="45" w:type="dxa"/>
              <w:left w:w="75" w:type="dxa"/>
              <w:bottom w:w="45" w:type="dxa"/>
              <w:right w:w="75" w:type="dxa"/>
            </w:tcMar>
            <w:vAlign w:val="center"/>
            <w:hideMark/>
          </w:tcPr>
          <w:p w:rsidR="00527E3A" w:rsidRPr="00DF01C4" w:rsidRDefault="00527E3A" w:rsidP="006858C8">
            <w:r>
              <w:rPr>
                <w:color w:val="000000"/>
              </w:rPr>
              <w:t>Sweden</w:t>
            </w:r>
          </w:p>
        </w:tc>
        <w:tc>
          <w:tcPr>
            <w:tcW w:w="1706" w:type="dxa"/>
            <w:tcMar>
              <w:top w:w="45" w:type="dxa"/>
              <w:left w:w="75" w:type="dxa"/>
              <w:bottom w:w="45" w:type="dxa"/>
              <w:right w:w="75" w:type="dxa"/>
            </w:tcMar>
            <w:vAlign w:val="center"/>
            <w:hideMark/>
          </w:tcPr>
          <w:p w:rsidR="00527E3A" w:rsidRPr="00DF01C4" w:rsidRDefault="00527E3A" w:rsidP="006858C8">
            <w:pPr>
              <w:jc w:val="center"/>
            </w:pPr>
            <w:r>
              <w:rPr>
                <w:color w:val="000000"/>
              </w:rPr>
              <w:t>-0.967***</w:t>
            </w:r>
            <w:r>
              <w:rPr>
                <w:color w:val="000000"/>
              </w:rPr>
              <w:br/>
              <w:t>(0.140)</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-0.944***</w:t>
            </w:r>
            <w:r>
              <w:rPr>
                <w:color w:val="000000"/>
              </w:rPr>
              <w:br/>
              <w:t>(0.138)</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-0.630***</w:t>
            </w:r>
            <w:r>
              <w:rPr>
                <w:color w:val="000000"/>
              </w:rPr>
              <w:br/>
              <w:t>(0.124)</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-1.104***</w:t>
            </w:r>
            <w:r>
              <w:rPr>
                <w:color w:val="000000"/>
              </w:rPr>
              <w:br/>
              <w:t>(0.166)</w:t>
            </w:r>
          </w:p>
        </w:tc>
      </w:tr>
      <w:tr w:rsidR="00527E3A" w:rsidRPr="00DF01C4" w:rsidTr="006858C8">
        <w:trPr>
          <w:cantSplit/>
          <w:trHeight w:val="315"/>
          <w:jc w:val="center"/>
        </w:trPr>
        <w:tc>
          <w:tcPr>
            <w:tcW w:w="2400" w:type="dxa"/>
            <w:shd w:val="clear" w:color="auto" w:fill="F7F7F7"/>
            <w:tcMar>
              <w:top w:w="45" w:type="dxa"/>
              <w:left w:w="75" w:type="dxa"/>
              <w:bottom w:w="45" w:type="dxa"/>
              <w:right w:w="75" w:type="dxa"/>
            </w:tcMar>
            <w:vAlign w:val="center"/>
            <w:hideMark/>
          </w:tcPr>
          <w:p w:rsidR="00527E3A" w:rsidRPr="00DF01C4" w:rsidRDefault="00527E3A" w:rsidP="006858C8">
            <w:r>
              <w:rPr>
                <w:color w:val="000000"/>
              </w:rPr>
              <w:t>Observations</w:t>
            </w:r>
          </w:p>
        </w:tc>
        <w:tc>
          <w:tcPr>
            <w:tcW w:w="170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520</w:t>
            </w: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520</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520</w:t>
            </w: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520</w:t>
            </w:r>
          </w:p>
        </w:tc>
      </w:tr>
      <w:tr w:rsidR="00527E3A" w:rsidRPr="00DF01C4" w:rsidTr="006858C8">
        <w:trPr>
          <w:cantSplit/>
          <w:trHeight w:val="315"/>
          <w:jc w:val="center"/>
        </w:trPr>
        <w:tc>
          <w:tcPr>
            <w:tcW w:w="2400" w:type="dxa"/>
            <w:shd w:val="clear" w:color="auto" w:fill="F7F7F7"/>
            <w:tcMar>
              <w:top w:w="45" w:type="dxa"/>
              <w:left w:w="75" w:type="dxa"/>
              <w:bottom w:w="45" w:type="dxa"/>
              <w:right w:w="75" w:type="dxa"/>
            </w:tcMar>
            <w:vAlign w:val="center"/>
            <w:hideMark/>
          </w:tcPr>
          <w:p w:rsidR="00527E3A" w:rsidRPr="00DF01C4" w:rsidRDefault="00527E3A" w:rsidP="006858C8">
            <w:r>
              <w:rPr>
                <w:color w:val="000000"/>
              </w:rPr>
              <w:t>Weights</w:t>
            </w:r>
          </w:p>
        </w:tc>
        <w:tc>
          <w:tcPr>
            <w:tcW w:w="170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Yes</w:t>
            </w: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Yes</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Yes</w:t>
            </w: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No</w:t>
            </w:r>
          </w:p>
        </w:tc>
      </w:tr>
      <w:tr w:rsidR="00527E3A" w:rsidRPr="00DF01C4" w:rsidTr="006858C8">
        <w:trPr>
          <w:cantSplit/>
          <w:trHeight w:val="315"/>
          <w:jc w:val="center"/>
        </w:trPr>
        <w:tc>
          <w:tcPr>
            <w:tcW w:w="2400" w:type="dxa"/>
            <w:shd w:val="clear" w:color="auto" w:fill="F7F7F7"/>
            <w:tcMar>
              <w:top w:w="45" w:type="dxa"/>
              <w:left w:w="75" w:type="dxa"/>
              <w:bottom w:w="45" w:type="dxa"/>
              <w:right w:w="75" w:type="dxa"/>
            </w:tcMar>
            <w:vAlign w:val="center"/>
            <w:hideMark/>
          </w:tcPr>
          <w:p w:rsidR="00527E3A" w:rsidRPr="00DF01C4" w:rsidRDefault="00527E3A" w:rsidP="006858C8">
            <w:r>
              <w:rPr>
                <w:color w:val="000000"/>
              </w:rPr>
              <w:lastRenderedPageBreak/>
              <w:t>Country fixed effects</w:t>
            </w:r>
          </w:p>
        </w:tc>
        <w:tc>
          <w:tcPr>
            <w:tcW w:w="170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Yes</w:t>
            </w: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Yes</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No</w:t>
            </w: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Yes</w:t>
            </w:r>
          </w:p>
        </w:tc>
      </w:tr>
      <w:tr w:rsidR="00527E3A" w:rsidRPr="00DF01C4" w:rsidTr="006858C8">
        <w:trPr>
          <w:cantSplit/>
          <w:trHeight w:val="315"/>
          <w:jc w:val="center"/>
        </w:trPr>
        <w:tc>
          <w:tcPr>
            <w:tcW w:w="2400" w:type="dxa"/>
            <w:shd w:val="clear" w:color="auto" w:fill="F7F7F7"/>
            <w:tcMar>
              <w:top w:w="45" w:type="dxa"/>
              <w:left w:w="75" w:type="dxa"/>
              <w:bottom w:w="45" w:type="dxa"/>
              <w:right w:w="75" w:type="dxa"/>
            </w:tcMar>
            <w:vAlign w:val="center"/>
            <w:hideMark/>
          </w:tcPr>
          <w:p w:rsidR="00527E3A" w:rsidRPr="00DF01C4" w:rsidRDefault="00527E3A" w:rsidP="006858C8">
            <w:r>
              <w:rPr>
                <w:color w:val="000000"/>
              </w:rPr>
              <w:t>Year fixed effects</w:t>
            </w:r>
          </w:p>
        </w:tc>
        <w:tc>
          <w:tcPr>
            <w:tcW w:w="170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Yes</w:t>
            </w: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No</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No</w:t>
            </w: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Yes</w:t>
            </w:r>
          </w:p>
        </w:tc>
      </w:tr>
      <w:tr w:rsidR="00527E3A" w:rsidRPr="00DF01C4" w:rsidTr="006858C8">
        <w:trPr>
          <w:cantSplit/>
          <w:trHeight w:val="315"/>
          <w:jc w:val="center"/>
        </w:trPr>
        <w:tc>
          <w:tcPr>
            <w:tcW w:w="2400" w:type="dxa"/>
            <w:shd w:val="clear" w:color="auto" w:fill="F7F7F7"/>
            <w:tcMar>
              <w:top w:w="45" w:type="dxa"/>
              <w:left w:w="75" w:type="dxa"/>
              <w:bottom w:w="45" w:type="dxa"/>
              <w:right w:w="75" w:type="dxa"/>
            </w:tcMar>
            <w:vAlign w:val="center"/>
            <w:hideMark/>
          </w:tcPr>
          <w:p w:rsidR="00527E3A" w:rsidRPr="00DF01C4" w:rsidRDefault="00527E3A" w:rsidP="006858C8">
            <w:r>
              <w:rPr>
                <w:color w:val="000000"/>
              </w:rPr>
              <w:t>Adjusted R²</w:t>
            </w:r>
          </w:p>
        </w:tc>
        <w:tc>
          <w:tcPr>
            <w:tcW w:w="170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0.98</w:t>
            </w: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0.98</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0.27</w:t>
            </w: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0.98</w:t>
            </w:r>
          </w:p>
        </w:tc>
      </w:tr>
      <w:tr w:rsidR="00527E3A" w:rsidRPr="00DF01C4" w:rsidTr="006858C8">
        <w:trPr>
          <w:cantSplit/>
          <w:trHeight w:val="315"/>
          <w:jc w:val="center"/>
        </w:trPr>
        <w:tc>
          <w:tcPr>
            <w:tcW w:w="2400" w:type="dxa"/>
            <w:shd w:val="clear" w:color="auto" w:fill="F7F7F7"/>
            <w:tcMar>
              <w:top w:w="45" w:type="dxa"/>
              <w:left w:w="75" w:type="dxa"/>
              <w:bottom w:w="45" w:type="dxa"/>
              <w:right w:w="75" w:type="dxa"/>
            </w:tcMar>
            <w:vAlign w:val="center"/>
            <w:hideMark/>
          </w:tcPr>
          <w:p w:rsidR="00527E3A" w:rsidRPr="00DF01C4" w:rsidRDefault="00527E3A" w:rsidP="006858C8">
            <w:r>
              <w:rPr>
                <w:color w:val="000000"/>
              </w:rPr>
              <w:t>Within R²</w:t>
            </w:r>
          </w:p>
        </w:tc>
        <w:tc>
          <w:tcPr>
            <w:tcW w:w="170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0.82</w:t>
            </w: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0.87</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0.81</w:t>
            </w:r>
          </w:p>
        </w:tc>
      </w:tr>
    </w:tbl>
    <w:p w:rsidR="00527E3A" w:rsidRDefault="00527E3A" w:rsidP="00527E3A">
      <w:pPr>
        <w:spacing w:line="360" w:lineRule="auto"/>
        <w:rPr>
          <w:color w:val="000000"/>
        </w:rPr>
      </w:pPr>
      <w:r>
        <w:rPr>
          <w:i/>
          <w:color w:val="000000"/>
        </w:rPr>
        <w:t xml:space="preserve">Note. </w:t>
      </w:r>
      <w:r>
        <w:rPr>
          <w:color w:val="000000"/>
        </w:rPr>
        <w:t>Driscoll-</w:t>
      </w:r>
      <w:proofErr w:type="spellStart"/>
      <w:r>
        <w:rPr>
          <w:color w:val="000000"/>
        </w:rPr>
        <w:t>Kraay</w:t>
      </w:r>
      <w:proofErr w:type="spellEnd"/>
      <w:r>
        <w:rPr>
          <w:color w:val="000000"/>
        </w:rPr>
        <w:t xml:space="preserve"> standard errors with one lag are in parentheses. + p &lt; .10, * p &lt; .05, ** p &lt; .01, *** p &lt; .001.</w:t>
      </w:r>
    </w:p>
    <w:p w:rsidR="00527E3A" w:rsidRPr="00DF01C4" w:rsidRDefault="00527E3A" w:rsidP="00527E3A">
      <w:pPr>
        <w:spacing w:line="360" w:lineRule="auto"/>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00"/>
        <w:gridCol w:w="1606"/>
        <w:gridCol w:w="1843"/>
        <w:gridCol w:w="2126"/>
        <w:gridCol w:w="2126"/>
      </w:tblGrid>
      <w:tr w:rsidR="00527E3A" w:rsidRPr="00DF01C4" w:rsidTr="006858C8">
        <w:trPr>
          <w:cantSplit/>
          <w:trHeight w:val="315"/>
          <w:tblHeader/>
          <w:jc w:val="center"/>
        </w:trPr>
        <w:tc>
          <w:tcPr>
            <w:tcW w:w="2500" w:type="dxa"/>
            <w:shd w:val="clear" w:color="auto" w:fill="E7E6E6"/>
            <w:tcMar>
              <w:top w:w="45" w:type="dxa"/>
              <w:left w:w="75" w:type="dxa"/>
              <w:bottom w:w="45" w:type="dxa"/>
              <w:right w:w="75" w:type="dxa"/>
            </w:tcMar>
            <w:vAlign w:val="center"/>
            <w:hideMark/>
          </w:tcPr>
          <w:p w:rsidR="00527E3A" w:rsidRPr="00DF01C4" w:rsidRDefault="00527E3A" w:rsidP="006858C8">
            <w:pPr>
              <w:rPr>
                <w:b/>
                <w:bCs/>
              </w:rPr>
            </w:pPr>
            <w:r>
              <w:rPr>
                <w:b/>
                <w:bCs/>
                <w:color w:val="000000"/>
              </w:rPr>
              <w:t>Variable</w:t>
            </w:r>
          </w:p>
        </w:tc>
        <w:tc>
          <w:tcPr>
            <w:tcW w:w="1606" w:type="dxa"/>
            <w:shd w:val="clear" w:color="auto" w:fill="E7E6E6"/>
            <w:tcMar>
              <w:top w:w="45" w:type="dxa"/>
              <w:left w:w="75" w:type="dxa"/>
              <w:bottom w:w="45" w:type="dxa"/>
              <w:right w:w="75" w:type="dxa"/>
            </w:tcMar>
            <w:vAlign w:val="center"/>
            <w:hideMark/>
          </w:tcPr>
          <w:p w:rsidR="00527E3A" w:rsidRPr="00DF01C4" w:rsidRDefault="00527E3A" w:rsidP="006858C8">
            <w:pPr>
              <w:jc w:val="center"/>
              <w:rPr>
                <w:b/>
                <w:bCs/>
              </w:rPr>
            </w:pPr>
            <w:r>
              <w:rPr>
                <w:b/>
                <w:bCs/>
                <w:color w:val="000000"/>
              </w:rPr>
              <w:t xml:space="preserve">S1 Saturated </w:t>
            </w:r>
            <w:proofErr w:type="spellStart"/>
            <w:r>
              <w:rPr>
                <w:b/>
                <w:bCs/>
                <w:color w:val="000000"/>
              </w:rPr>
              <w:t>DiD</w:t>
            </w:r>
            <w:proofErr w:type="spellEnd"/>
          </w:p>
        </w:tc>
        <w:tc>
          <w:tcPr>
            <w:tcW w:w="1843" w:type="dxa"/>
            <w:shd w:val="clear" w:color="auto" w:fill="E7E6E6"/>
            <w:tcMar>
              <w:top w:w="45" w:type="dxa"/>
              <w:left w:w="75" w:type="dxa"/>
              <w:bottom w:w="45" w:type="dxa"/>
              <w:right w:w="75" w:type="dxa"/>
            </w:tcMar>
            <w:vAlign w:val="center"/>
            <w:hideMark/>
          </w:tcPr>
          <w:p w:rsidR="00527E3A" w:rsidRPr="00DF01C4" w:rsidRDefault="00527E3A" w:rsidP="006858C8">
            <w:pPr>
              <w:jc w:val="center"/>
              <w:rPr>
                <w:b/>
                <w:bCs/>
              </w:rPr>
            </w:pPr>
            <w:r>
              <w:rPr>
                <w:b/>
                <w:bCs/>
                <w:color w:val="000000"/>
              </w:rPr>
              <w:t xml:space="preserve">S2 + </w:t>
            </w:r>
            <w:proofErr w:type="spellStart"/>
            <w:r>
              <w:rPr>
                <w:b/>
                <w:bCs/>
                <w:color w:val="000000"/>
              </w:rPr>
              <w:t>GDPpc</w:t>
            </w:r>
            <w:proofErr w:type="spellEnd"/>
          </w:p>
        </w:tc>
        <w:tc>
          <w:tcPr>
            <w:tcW w:w="2126" w:type="dxa"/>
            <w:shd w:val="clear" w:color="auto" w:fill="E7E6E6"/>
            <w:tcMar>
              <w:top w:w="45" w:type="dxa"/>
              <w:left w:w="75" w:type="dxa"/>
              <w:bottom w:w="45" w:type="dxa"/>
              <w:right w:w="75" w:type="dxa"/>
            </w:tcMar>
            <w:vAlign w:val="center"/>
            <w:hideMark/>
          </w:tcPr>
          <w:p w:rsidR="00527E3A" w:rsidRPr="00DF01C4" w:rsidRDefault="00527E3A" w:rsidP="006858C8">
            <w:pPr>
              <w:jc w:val="center"/>
              <w:rPr>
                <w:b/>
                <w:bCs/>
              </w:rPr>
            </w:pPr>
            <w:r>
              <w:rPr>
                <w:b/>
                <w:bCs/>
                <w:color w:val="000000"/>
              </w:rPr>
              <w:t xml:space="preserve">S3 + </w:t>
            </w:r>
            <w:proofErr w:type="spellStart"/>
            <w:r>
              <w:rPr>
                <w:b/>
                <w:bCs/>
                <w:color w:val="000000"/>
              </w:rPr>
              <w:t>GDPpc</w:t>
            </w:r>
            <w:proofErr w:type="spellEnd"/>
            <w:r>
              <w:rPr>
                <w:b/>
                <w:bCs/>
                <w:color w:val="000000"/>
              </w:rPr>
              <w:t xml:space="preserve"> + Pop</w:t>
            </w:r>
          </w:p>
        </w:tc>
        <w:tc>
          <w:tcPr>
            <w:tcW w:w="2126" w:type="dxa"/>
            <w:shd w:val="clear" w:color="auto" w:fill="E7E6E6"/>
            <w:tcMar>
              <w:top w:w="45" w:type="dxa"/>
              <w:left w:w="75" w:type="dxa"/>
              <w:bottom w:w="45" w:type="dxa"/>
              <w:right w:w="75" w:type="dxa"/>
            </w:tcMar>
            <w:vAlign w:val="center"/>
            <w:hideMark/>
          </w:tcPr>
          <w:p w:rsidR="00527E3A" w:rsidRPr="00DF01C4" w:rsidRDefault="00527E3A" w:rsidP="006858C8">
            <w:pPr>
              <w:jc w:val="center"/>
              <w:rPr>
                <w:b/>
                <w:bCs/>
              </w:rPr>
            </w:pPr>
            <w:r>
              <w:rPr>
                <w:b/>
                <w:bCs/>
                <w:color w:val="000000"/>
              </w:rPr>
              <w:t xml:space="preserve">S4 + </w:t>
            </w:r>
            <w:proofErr w:type="spellStart"/>
            <w:r>
              <w:rPr>
                <w:b/>
                <w:bCs/>
                <w:color w:val="000000"/>
              </w:rPr>
              <w:t>GDPpc</w:t>
            </w:r>
            <w:proofErr w:type="spellEnd"/>
            <w:r>
              <w:rPr>
                <w:b/>
                <w:bCs/>
                <w:color w:val="000000"/>
              </w:rPr>
              <w:t xml:space="preserve"> + Pop + </w:t>
            </w:r>
            <w:proofErr w:type="spellStart"/>
            <w:r>
              <w:rPr>
                <w:b/>
                <w:bCs/>
                <w:color w:val="000000"/>
              </w:rPr>
              <w:t>YouthUnempl</w:t>
            </w:r>
            <w:proofErr w:type="spellEnd"/>
          </w:p>
        </w:tc>
      </w:tr>
      <w:tr w:rsidR="00527E3A" w:rsidRPr="00DF01C4" w:rsidTr="006858C8">
        <w:trPr>
          <w:cantSplit/>
          <w:trHeight w:val="41"/>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Austria</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-0.529***</w:t>
            </w:r>
            <w:r>
              <w:rPr>
                <w:color w:val="000000"/>
              </w:rPr>
              <w:br/>
              <w:t>(0.058)</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-0.521***</w:t>
            </w:r>
            <w:r>
              <w:rPr>
                <w:color w:val="000000"/>
              </w:rPr>
              <w:br/>
              <w:t>(0.059)</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-0.499***</w:t>
            </w:r>
            <w:r>
              <w:rPr>
                <w:color w:val="000000"/>
              </w:rPr>
              <w:br/>
              <w:t>(0.052)</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-0.504***</w:t>
            </w:r>
            <w:r>
              <w:rPr>
                <w:color w:val="000000"/>
              </w:rPr>
              <w:br/>
              <w:t>(0.057)</w:t>
            </w:r>
          </w:p>
        </w:tc>
      </w:tr>
      <w:tr w:rsidR="00527E3A" w:rsidRPr="00DF01C4" w:rsidTr="006858C8">
        <w:trPr>
          <w:cantSplit/>
          <w:trHeight w:val="41"/>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Belgium</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-0.581***</w:t>
            </w:r>
            <w:r>
              <w:rPr>
                <w:color w:val="000000"/>
              </w:rPr>
              <w:br/>
              <w:t>(0.073)</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-0.583***</w:t>
            </w:r>
            <w:r>
              <w:rPr>
                <w:color w:val="000000"/>
              </w:rPr>
              <w:br/>
              <w:t>(0.070)</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-0.570***</w:t>
            </w:r>
            <w:r>
              <w:rPr>
                <w:color w:val="000000"/>
              </w:rPr>
              <w:br/>
              <w:t>(0.064)</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-0.575***</w:t>
            </w:r>
            <w:r>
              <w:rPr>
                <w:color w:val="000000"/>
              </w:rPr>
              <w:br/>
              <w:t>(0.068)</w:t>
            </w:r>
          </w:p>
        </w:tc>
      </w:tr>
      <w:tr w:rsidR="00527E3A" w:rsidRPr="00DF01C4" w:rsidTr="006858C8">
        <w:trPr>
          <w:cantSplit/>
          <w:trHeight w:val="41"/>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Bulgaria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-1.855***</w:t>
            </w:r>
            <w:r>
              <w:rPr>
                <w:color w:val="000000"/>
              </w:rPr>
              <w:br/>
              <w:t>(0.149)</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-1.888***</w:t>
            </w:r>
            <w:r>
              <w:rPr>
                <w:color w:val="000000"/>
              </w:rPr>
              <w:br/>
              <w:t>(0.138)</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-1.770***</w:t>
            </w:r>
            <w:r>
              <w:rPr>
                <w:color w:val="000000"/>
              </w:rPr>
              <w:br/>
              <w:t>(0.095)</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-1.781***</w:t>
            </w:r>
            <w:r>
              <w:rPr>
                <w:color w:val="000000"/>
              </w:rPr>
              <w:br/>
              <w:t>(0.105)</w:t>
            </w:r>
          </w:p>
        </w:tc>
      </w:tr>
      <w:tr w:rsidR="00527E3A" w:rsidRPr="00DF01C4" w:rsidTr="006858C8">
        <w:trPr>
          <w:cantSplit/>
          <w:trHeight w:val="41"/>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Croatia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-1.616***</w:t>
            </w:r>
            <w:r>
              <w:rPr>
                <w:color w:val="000000"/>
              </w:rPr>
              <w:br/>
              <w:t>(0.127)</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-1.657***</w:t>
            </w:r>
            <w:r>
              <w:rPr>
                <w:color w:val="000000"/>
              </w:rPr>
              <w:br/>
              <w:t>(0.117)</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-1.528***</w:t>
            </w:r>
            <w:r>
              <w:rPr>
                <w:color w:val="000000"/>
              </w:rPr>
              <w:br/>
              <w:t>(0.097)</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-1.529***</w:t>
            </w:r>
            <w:r>
              <w:rPr>
                <w:color w:val="000000"/>
              </w:rPr>
              <w:br/>
              <w:t>(0.101)</w:t>
            </w:r>
          </w:p>
        </w:tc>
      </w:tr>
      <w:tr w:rsidR="00527E3A" w:rsidRPr="00DF01C4" w:rsidTr="006858C8">
        <w:trPr>
          <w:cantSplit/>
          <w:trHeight w:val="315"/>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Cyprus (European Union)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-0.887***</w:t>
            </w:r>
            <w:r>
              <w:rPr>
                <w:color w:val="000000"/>
              </w:rPr>
              <w:br/>
              <w:t>(0.069)</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-0.920***</w:t>
            </w:r>
            <w:r>
              <w:rPr>
                <w:color w:val="000000"/>
              </w:rPr>
              <w:br/>
              <w:t>(0.059)</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-0.948***</w:t>
            </w:r>
            <w:r>
              <w:rPr>
                <w:color w:val="000000"/>
              </w:rPr>
              <w:br/>
              <w:t>(0.060)</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-0.944***</w:t>
            </w:r>
            <w:r>
              <w:rPr>
                <w:color w:val="000000"/>
              </w:rPr>
              <w:br/>
              <w:t>(0.054)</w:t>
            </w:r>
          </w:p>
        </w:tc>
      </w:tr>
      <w:tr w:rsidR="00527E3A" w:rsidRPr="00DF01C4" w:rsidTr="006858C8">
        <w:trPr>
          <w:cantSplit/>
          <w:trHeight w:val="315"/>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Czech Republic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-1.121***</w:t>
            </w:r>
            <w:r>
              <w:rPr>
                <w:color w:val="000000"/>
              </w:rPr>
              <w:br/>
              <w:t>(0.064)</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-1.121***</w:t>
            </w:r>
            <w:r>
              <w:rPr>
                <w:color w:val="000000"/>
              </w:rPr>
              <w:br/>
              <w:t>(0.060)</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-1.070***</w:t>
            </w:r>
            <w:r>
              <w:rPr>
                <w:color w:val="000000"/>
              </w:rPr>
              <w:br/>
              <w:t>(0.071)</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-1.075***</w:t>
            </w:r>
            <w:r>
              <w:rPr>
                <w:color w:val="000000"/>
              </w:rPr>
              <w:br/>
              <w:t>(0.072)</w:t>
            </w:r>
          </w:p>
        </w:tc>
      </w:tr>
      <w:tr w:rsidR="00527E3A" w:rsidRPr="00DF01C4" w:rsidTr="006858C8">
        <w:trPr>
          <w:cantSplit/>
          <w:trHeight w:val="315"/>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Denmark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-1.035***</w:t>
            </w:r>
            <w:r>
              <w:rPr>
                <w:color w:val="000000"/>
              </w:rPr>
              <w:br/>
              <w:t>(0.131)</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-1.037***</w:t>
            </w:r>
            <w:r>
              <w:rPr>
                <w:color w:val="000000"/>
              </w:rPr>
              <w:br/>
              <w:t>(0.127)</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-1.025***</w:t>
            </w:r>
            <w:r>
              <w:rPr>
                <w:color w:val="000000"/>
              </w:rPr>
              <w:br/>
              <w:t>(0.122)</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-1.030***</w:t>
            </w:r>
            <w:r>
              <w:rPr>
                <w:color w:val="000000"/>
              </w:rPr>
              <w:br/>
              <w:t>(0.127)</w:t>
            </w:r>
          </w:p>
        </w:tc>
      </w:tr>
      <w:tr w:rsidR="00527E3A" w:rsidRPr="00DF01C4" w:rsidTr="006858C8">
        <w:trPr>
          <w:cantSplit/>
          <w:trHeight w:val="315"/>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Estonia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-1.412***</w:t>
            </w:r>
            <w:r>
              <w:rPr>
                <w:color w:val="000000"/>
              </w:rPr>
              <w:br/>
              <w:t>(0.132)</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-1.412***</w:t>
            </w:r>
            <w:r>
              <w:rPr>
                <w:color w:val="000000"/>
              </w:rPr>
              <w:br/>
              <w:t>(0.124)</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-1.393***</w:t>
            </w:r>
            <w:r>
              <w:rPr>
                <w:color w:val="000000"/>
              </w:rPr>
              <w:br/>
              <w:t>(0.120)</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-1.407***</w:t>
            </w:r>
            <w:r>
              <w:rPr>
                <w:color w:val="000000"/>
              </w:rPr>
              <w:br/>
              <w:t>(0.132)</w:t>
            </w:r>
          </w:p>
        </w:tc>
      </w:tr>
      <w:tr w:rsidR="00527E3A" w:rsidRPr="00DF01C4" w:rsidTr="006858C8">
        <w:trPr>
          <w:cantSplit/>
          <w:trHeight w:val="315"/>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Finland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-1.680***</w:t>
            </w:r>
            <w:r>
              <w:rPr>
                <w:color w:val="000000"/>
              </w:rPr>
              <w:br/>
              <w:t>(0.217)</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-1.669***</w:t>
            </w:r>
            <w:r>
              <w:rPr>
                <w:color w:val="000000"/>
              </w:rPr>
              <w:br/>
              <w:t>(0.220)</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-1.625***</w:t>
            </w:r>
            <w:r>
              <w:rPr>
                <w:color w:val="000000"/>
              </w:rPr>
              <w:br/>
              <w:t>(0.206)</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-1.622***</w:t>
            </w:r>
            <w:r>
              <w:rPr>
                <w:color w:val="000000"/>
              </w:rPr>
              <w:br/>
              <w:t>(0.206)</w:t>
            </w:r>
          </w:p>
        </w:tc>
      </w:tr>
      <w:tr w:rsidR="00527E3A" w:rsidRPr="00DF01C4" w:rsidTr="006858C8">
        <w:trPr>
          <w:cantSplit/>
          <w:trHeight w:val="315"/>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France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-0.575***</w:t>
            </w:r>
            <w:r>
              <w:rPr>
                <w:color w:val="000000"/>
              </w:rPr>
              <w:br/>
              <w:t>(0.069)</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-0.571***</w:t>
            </w:r>
            <w:r>
              <w:rPr>
                <w:color w:val="000000"/>
              </w:rPr>
              <w:br/>
              <w:t>(0.068)</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-0.541***</w:t>
            </w:r>
            <w:r>
              <w:rPr>
                <w:color w:val="000000"/>
              </w:rPr>
              <w:br/>
              <w:t>(0.058)</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-0.537***</w:t>
            </w:r>
            <w:r>
              <w:rPr>
                <w:color w:val="000000"/>
              </w:rPr>
              <w:br/>
              <w:t>(0.057)</w:t>
            </w:r>
          </w:p>
        </w:tc>
      </w:tr>
      <w:tr w:rsidR="00527E3A" w:rsidRPr="00DF01C4" w:rsidTr="006858C8">
        <w:trPr>
          <w:cantSplit/>
          <w:trHeight w:val="315"/>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lastRenderedPageBreak/>
              <w:t xml:space="preserve">Germany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-0.659***</w:t>
            </w:r>
            <w:r>
              <w:rPr>
                <w:color w:val="000000"/>
              </w:rPr>
              <w:br/>
              <w:t>(0.077)</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-0.650***</w:t>
            </w:r>
            <w:r>
              <w:rPr>
                <w:color w:val="000000"/>
              </w:rPr>
              <w:br/>
              <w:t>(0.079)</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-0.581***</w:t>
            </w:r>
            <w:r>
              <w:rPr>
                <w:color w:val="000000"/>
              </w:rPr>
              <w:br/>
              <w:t>(0.055)</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-0.584***</w:t>
            </w:r>
            <w:r>
              <w:rPr>
                <w:color w:val="000000"/>
              </w:rPr>
              <w:br/>
              <w:t>(0.058)</w:t>
            </w:r>
          </w:p>
        </w:tc>
      </w:tr>
      <w:tr w:rsidR="00527E3A" w:rsidRPr="00DF01C4" w:rsidTr="006858C8">
        <w:trPr>
          <w:cantSplit/>
          <w:trHeight w:val="315"/>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Greece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-0.819***</w:t>
            </w:r>
            <w:r>
              <w:rPr>
                <w:color w:val="000000"/>
              </w:rPr>
              <w:br/>
              <w:t>(0.067)</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-0.835***</w:t>
            </w:r>
            <w:r>
              <w:rPr>
                <w:color w:val="000000"/>
              </w:rPr>
              <w:br/>
              <w:t>(0.059)</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-0.735***</w:t>
            </w:r>
            <w:r>
              <w:rPr>
                <w:color w:val="000000"/>
              </w:rPr>
              <w:br/>
              <w:t>(0.035)</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-0.719***</w:t>
            </w:r>
            <w:r>
              <w:rPr>
                <w:color w:val="000000"/>
              </w:rPr>
              <w:br/>
              <w:t>(0.042)</w:t>
            </w:r>
          </w:p>
        </w:tc>
      </w:tr>
      <w:tr w:rsidR="00527E3A" w:rsidRPr="00DF01C4" w:rsidTr="006858C8">
        <w:trPr>
          <w:cantSplit/>
          <w:trHeight w:val="315"/>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Hungary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-1.076***</w:t>
            </w:r>
            <w:r>
              <w:rPr>
                <w:color w:val="000000"/>
              </w:rPr>
              <w:br/>
              <w:t>(0.086)</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-1.098***</w:t>
            </w:r>
            <w:r>
              <w:rPr>
                <w:color w:val="000000"/>
              </w:rPr>
              <w:br/>
              <w:t>(0.082)</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-1.008***</w:t>
            </w:r>
            <w:r>
              <w:rPr>
                <w:color w:val="000000"/>
              </w:rPr>
              <w:br/>
              <w:t>(0.080)</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-1.020***</w:t>
            </w:r>
            <w:r>
              <w:rPr>
                <w:color w:val="000000"/>
              </w:rPr>
              <w:br/>
              <w:t>(0.078)</w:t>
            </w:r>
          </w:p>
        </w:tc>
      </w:tr>
      <w:tr w:rsidR="00527E3A" w:rsidRPr="00DF01C4" w:rsidTr="006858C8">
        <w:trPr>
          <w:cantSplit/>
          <w:trHeight w:val="315"/>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Italy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-0.886***</w:t>
            </w:r>
            <w:r>
              <w:rPr>
                <w:color w:val="000000"/>
              </w:rPr>
              <w:br/>
              <w:t>(0.118)</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-0.892***</w:t>
            </w:r>
            <w:r>
              <w:rPr>
                <w:color w:val="000000"/>
              </w:rPr>
              <w:br/>
              <w:t>(0.113)</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-0.824***</w:t>
            </w:r>
            <w:r>
              <w:rPr>
                <w:color w:val="000000"/>
              </w:rPr>
              <w:br/>
              <w:t>(0.091)</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-0.811***</w:t>
            </w:r>
            <w:r>
              <w:rPr>
                <w:color w:val="000000"/>
              </w:rPr>
              <w:br/>
              <w:t>(0.084)</w:t>
            </w:r>
          </w:p>
        </w:tc>
      </w:tr>
      <w:tr w:rsidR="00527E3A" w:rsidRPr="00DF01C4" w:rsidTr="006858C8">
        <w:trPr>
          <w:cantSplit/>
          <w:trHeight w:val="315"/>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Latvia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-1.474***</w:t>
            </w:r>
            <w:r>
              <w:rPr>
                <w:color w:val="000000"/>
              </w:rPr>
              <w:br/>
              <w:t>(0.154)</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-1.488***</w:t>
            </w:r>
            <w:r>
              <w:rPr>
                <w:color w:val="000000"/>
              </w:rPr>
              <w:br/>
              <w:t>(0.145)</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-1.383***</w:t>
            </w:r>
            <w:r>
              <w:rPr>
                <w:color w:val="000000"/>
              </w:rPr>
              <w:br/>
              <w:t>(0.126)</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-1.389***</w:t>
            </w:r>
            <w:r>
              <w:rPr>
                <w:color w:val="000000"/>
              </w:rPr>
              <w:br/>
              <w:t>(0.129)</w:t>
            </w:r>
          </w:p>
        </w:tc>
      </w:tr>
      <w:tr w:rsidR="00527E3A" w:rsidRPr="00DF01C4" w:rsidTr="006858C8">
        <w:trPr>
          <w:cantSplit/>
          <w:trHeight w:val="41"/>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Lithuania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-2.163***</w:t>
            </w:r>
            <w:r>
              <w:rPr>
                <w:color w:val="000000"/>
              </w:rPr>
              <w:br/>
              <w:t>(0.347)</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-2.187***</w:t>
            </w:r>
            <w:r>
              <w:rPr>
                <w:color w:val="000000"/>
              </w:rPr>
              <w:br/>
              <w:t>(0.334)</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-2.157***</w:t>
            </w:r>
            <w:r>
              <w:rPr>
                <w:color w:val="000000"/>
              </w:rPr>
              <w:br/>
              <w:t>(0.331)</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-2.164***</w:t>
            </w:r>
            <w:r>
              <w:rPr>
                <w:color w:val="000000"/>
              </w:rPr>
              <w:br/>
              <w:t>(0.339)</w:t>
            </w:r>
          </w:p>
        </w:tc>
      </w:tr>
      <w:tr w:rsidR="00527E3A" w:rsidRPr="00DF01C4" w:rsidTr="006858C8">
        <w:trPr>
          <w:cantSplit/>
          <w:trHeight w:val="41"/>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Luxembourg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-0.505***</w:t>
            </w:r>
            <w:r>
              <w:rPr>
                <w:color w:val="000000"/>
              </w:rPr>
              <w:br/>
              <w:t>(0.056)</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-0.490***</w:t>
            </w:r>
            <w:r>
              <w:rPr>
                <w:color w:val="000000"/>
              </w:rPr>
              <w:br/>
              <w:t>(0.056)</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-0.575***</w:t>
            </w:r>
            <w:r>
              <w:rPr>
                <w:color w:val="000000"/>
              </w:rPr>
              <w:br/>
              <w:t>(0.085)</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-0.577***</w:t>
            </w:r>
            <w:r>
              <w:rPr>
                <w:color w:val="000000"/>
              </w:rPr>
              <w:br/>
              <w:t>(0.090)</w:t>
            </w:r>
          </w:p>
        </w:tc>
      </w:tr>
      <w:tr w:rsidR="00527E3A" w:rsidRPr="00DF01C4" w:rsidTr="006858C8">
        <w:trPr>
          <w:cantSplit/>
          <w:trHeight w:val="315"/>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Malta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-0.351***</w:t>
            </w:r>
            <w:r>
              <w:rPr>
                <w:color w:val="000000"/>
              </w:rPr>
              <w:br/>
              <w:t>(0.044)</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-0.376***</w:t>
            </w:r>
            <w:r>
              <w:rPr>
                <w:color w:val="000000"/>
              </w:rPr>
              <w:br/>
              <w:t>(0.050)</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-0.523***</w:t>
            </w:r>
            <w:r>
              <w:rPr>
                <w:color w:val="000000"/>
              </w:rPr>
              <w:br/>
              <w:t>(0.064)</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-0.526***</w:t>
            </w:r>
            <w:r>
              <w:rPr>
                <w:color w:val="000000"/>
              </w:rPr>
              <w:br/>
              <w:t>(0.065)</w:t>
            </w:r>
          </w:p>
        </w:tc>
      </w:tr>
      <w:tr w:rsidR="00527E3A" w:rsidRPr="00DF01C4" w:rsidTr="006858C8">
        <w:trPr>
          <w:cantSplit/>
          <w:trHeight w:val="315"/>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Netherlands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-0.521***</w:t>
            </w:r>
            <w:r>
              <w:rPr>
                <w:color w:val="000000"/>
              </w:rPr>
              <w:br/>
              <w:t>(0.023)</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-0.523***</w:t>
            </w:r>
            <w:r>
              <w:rPr>
                <w:color w:val="000000"/>
              </w:rPr>
              <w:br/>
              <w:t>(0.023)</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-0.522***</w:t>
            </w:r>
            <w:r>
              <w:rPr>
                <w:color w:val="000000"/>
              </w:rPr>
              <w:br/>
              <w:t>(0.024)</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-0.527***</w:t>
            </w:r>
            <w:r>
              <w:rPr>
                <w:color w:val="000000"/>
              </w:rPr>
              <w:br/>
              <w:t>(0.027)</w:t>
            </w:r>
          </w:p>
        </w:tc>
      </w:tr>
      <w:tr w:rsidR="00527E3A" w:rsidRPr="00DF01C4" w:rsidTr="006858C8">
        <w:trPr>
          <w:cantSplit/>
          <w:trHeight w:val="315"/>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Poland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-1.612***</w:t>
            </w:r>
            <w:r>
              <w:rPr>
                <w:color w:val="000000"/>
              </w:rPr>
              <w:br/>
              <w:t>(0.165)</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-1.649***</w:t>
            </w:r>
            <w:r>
              <w:rPr>
                <w:color w:val="000000"/>
              </w:rPr>
              <w:br/>
              <w:t>(0.152)</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-1.516***</w:t>
            </w:r>
            <w:r>
              <w:rPr>
                <w:color w:val="000000"/>
              </w:rPr>
              <w:br/>
              <w:t>(0.132)</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-1.524***</w:t>
            </w:r>
            <w:r>
              <w:rPr>
                <w:color w:val="000000"/>
              </w:rPr>
              <w:br/>
              <w:t>(0.135)</w:t>
            </w:r>
          </w:p>
        </w:tc>
      </w:tr>
      <w:tr w:rsidR="00527E3A" w:rsidRPr="00DF01C4" w:rsidTr="006858C8">
        <w:trPr>
          <w:cantSplit/>
          <w:trHeight w:val="41"/>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Portugal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-0.863+</w:t>
            </w:r>
            <w:r>
              <w:rPr>
                <w:color w:val="000000"/>
              </w:rPr>
              <w:br/>
              <w:t>(0.421)</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-0.867+</w:t>
            </w:r>
            <w:r>
              <w:rPr>
                <w:color w:val="000000"/>
              </w:rPr>
              <w:br/>
              <w:t>(0.420)</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-0.833+</w:t>
            </w:r>
            <w:r>
              <w:rPr>
                <w:color w:val="000000"/>
              </w:rPr>
              <w:br/>
              <w:t>(0.417)</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-0.836+</w:t>
            </w:r>
            <w:r>
              <w:rPr>
                <w:color w:val="000000"/>
              </w:rPr>
              <w:br/>
              <w:t>(0.421)</w:t>
            </w:r>
          </w:p>
        </w:tc>
      </w:tr>
      <w:tr w:rsidR="00527E3A" w:rsidRPr="00DF01C4" w:rsidTr="006858C8">
        <w:trPr>
          <w:cantSplit/>
          <w:trHeight w:val="96"/>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Romania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-1.653***</w:t>
            </w:r>
            <w:r>
              <w:rPr>
                <w:color w:val="000000"/>
              </w:rPr>
              <w:br/>
              <w:t>(0.154)</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-1.680***</w:t>
            </w:r>
            <w:r>
              <w:rPr>
                <w:color w:val="000000"/>
              </w:rPr>
              <w:br/>
              <w:t>(0.145)</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-1.577***</w:t>
            </w:r>
            <w:r>
              <w:rPr>
                <w:color w:val="000000"/>
              </w:rPr>
              <w:br/>
              <w:t>(0.124)</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-1.597***</w:t>
            </w:r>
            <w:r>
              <w:rPr>
                <w:color w:val="000000"/>
              </w:rPr>
              <w:br/>
              <w:t>(0.135)</w:t>
            </w:r>
          </w:p>
        </w:tc>
      </w:tr>
      <w:tr w:rsidR="00527E3A" w:rsidRPr="00DF01C4" w:rsidTr="006858C8">
        <w:trPr>
          <w:cantSplit/>
          <w:trHeight w:val="41"/>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Slovakia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-1.472***</w:t>
            </w:r>
            <w:r>
              <w:rPr>
                <w:color w:val="000000"/>
              </w:rPr>
              <w:br/>
              <w:t>(0.117)</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-1.482***</w:t>
            </w:r>
            <w:r>
              <w:rPr>
                <w:color w:val="000000"/>
              </w:rPr>
              <w:br/>
              <w:t>(0.113)</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-1.385***</w:t>
            </w:r>
            <w:r>
              <w:rPr>
                <w:color w:val="000000"/>
              </w:rPr>
              <w:br/>
              <w:t>(0.116)</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-1.396***</w:t>
            </w:r>
            <w:r>
              <w:rPr>
                <w:color w:val="000000"/>
              </w:rPr>
              <w:br/>
              <w:t>(0.110)</w:t>
            </w:r>
          </w:p>
        </w:tc>
      </w:tr>
      <w:tr w:rsidR="00527E3A" w:rsidRPr="00DF01C4" w:rsidTr="006858C8">
        <w:trPr>
          <w:cantSplit/>
          <w:trHeight w:val="41"/>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Slovenia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-1.201***</w:t>
            </w:r>
            <w:r>
              <w:rPr>
                <w:color w:val="000000"/>
              </w:rPr>
              <w:br/>
              <w:t>(0.121)</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-1.218***</w:t>
            </w:r>
            <w:r>
              <w:rPr>
                <w:color w:val="000000"/>
              </w:rPr>
              <w:br/>
              <w:t>(0.117)</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-1.171***</w:t>
            </w:r>
            <w:r>
              <w:rPr>
                <w:color w:val="000000"/>
              </w:rPr>
              <w:br/>
              <w:t>(0.099)</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-1.177***</w:t>
            </w:r>
            <w:r>
              <w:rPr>
                <w:color w:val="000000"/>
              </w:rPr>
              <w:br/>
              <w:t>(0.107)</w:t>
            </w:r>
          </w:p>
        </w:tc>
      </w:tr>
      <w:tr w:rsidR="00527E3A" w:rsidRPr="00DF01C4" w:rsidTr="006858C8">
        <w:trPr>
          <w:cantSplit/>
          <w:trHeight w:val="41"/>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 xml:space="preserve">Spain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-0.492***</w:t>
            </w:r>
            <w:r>
              <w:rPr>
                <w:color w:val="000000"/>
              </w:rPr>
              <w:br/>
              <w:t>(0.094)</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-0.488***</w:t>
            </w:r>
            <w:r>
              <w:rPr>
                <w:color w:val="000000"/>
              </w:rPr>
              <w:br/>
              <w:t>(0.096)</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-0.490**</w:t>
            </w:r>
            <w:r>
              <w:rPr>
                <w:color w:val="000000"/>
              </w:rPr>
              <w:br/>
              <w:t>(0.099)</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-0.476**</w:t>
            </w:r>
            <w:r>
              <w:rPr>
                <w:color w:val="000000"/>
              </w:rPr>
              <w:br/>
              <w:t>(0.102)</w:t>
            </w:r>
          </w:p>
        </w:tc>
      </w:tr>
      <w:tr w:rsidR="00527E3A" w:rsidRPr="00DF01C4" w:rsidTr="006858C8">
        <w:trPr>
          <w:cantSplit/>
          <w:trHeight w:val="41"/>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lastRenderedPageBreak/>
              <w:t xml:space="preserve">Sweden </w:t>
            </w:r>
          </w:p>
        </w:tc>
        <w:tc>
          <w:tcPr>
            <w:tcW w:w="1606" w:type="dxa"/>
            <w:tcMar>
              <w:top w:w="45" w:type="dxa"/>
              <w:left w:w="75" w:type="dxa"/>
              <w:bottom w:w="45" w:type="dxa"/>
              <w:right w:w="75" w:type="dxa"/>
            </w:tcMar>
            <w:vAlign w:val="center"/>
            <w:hideMark/>
          </w:tcPr>
          <w:p w:rsidR="00527E3A" w:rsidRPr="00DF01C4" w:rsidRDefault="00527E3A" w:rsidP="006858C8">
            <w:pPr>
              <w:jc w:val="center"/>
            </w:pPr>
            <w:r>
              <w:rPr>
                <w:color w:val="000000"/>
              </w:rPr>
              <w:t>-0.910***</w:t>
            </w:r>
            <w:r>
              <w:rPr>
                <w:color w:val="000000"/>
              </w:rPr>
              <w:br/>
              <w:t>(0.143)</w:t>
            </w: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-0.906***</w:t>
            </w:r>
            <w:r>
              <w:rPr>
                <w:color w:val="000000"/>
              </w:rPr>
              <w:br/>
              <w:t>(0.142)</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-0.916***</w:t>
            </w:r>
            <w:r>
              <w:rPr>
                <w:color w:val="000000"/>
              </w:rPr>
              <w:br/>
              <w:t>(0.141)</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-0.927***</w:t>
            </w:r>
            <w:r>
              <w:rPr>
                <w:color w:val="000000"/>
              </w:rPr>
              <w:br/>
              <w:t>(0.151)</w:t>
            </w:r>
          </w:p>
        </w:tc>
      </w:tr>
      <w:tr w:rsidR="00527E3A" w:rsidRPr="00DF01C4" w:rsidTr="006858C8">
        <w:trPr>
          <w:cantSplit/>
          <w:trHeight w:val="41"/>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proofErr w:type="spellStart"/>
            <w:r>
              <w:rPr>
                <w:bCs/>
                <w:color w:val="000000"/>
              </w:rPr>
              <w:t>c_log_GDPpc</w:t>
            </w:r>
            <w:proofErr w:type="spellEnd"/>
          </w:p>
        </w:tc>
        <w:tc>
          <w:tcPr>
            <w:tcW w:w="1606" w:type="dxa"/>
            <w:tcMar>
              <w:top w:w="45" w:type="dxa"/>
              <w:left w:w="75" w:type="dxa"/>
              <w:bottom w:w="45" w:type="dxa"/>
              <w:right w:w="75" w:type="dxa"/>
            </w:tcMar>
            <w:vAlign w:val="center"/>
            <w:hideMark/>
          </w:tcPr>
          <w:p w:rsidR="00527E3A" w:rsidRPr="00DF01C4" w:rsidRDefault="00527E3A" w:rsidP="006858C8">
            <w:pPr>
              <w:jc w:val="center"/>
              <w:rPr>
                <w:b/>
                <w:bCs/>
              </w:rPr>
            </w:pPr>
          </w:p>
        </w:tc>
        <w:tc>
          <w:tcPr>
            <w:tcW w:w="1843" w:type="dxa"/>
            <w:tcMar>
              <w:top w:w="45" w:type="dxa"/>
              <w:left w:w="75" w:type="dxa"/>
              <w:bottom w:w="45" w:type="dxa"/>
              <w:right w:w="75" w:type="dxa"/>
            </w:tcMar>
            <w:vAlign w:val="center"/>
            <w:hideMark/>
          </w:tcPr>
          <w:p w:rsidR="00527E3A" w:rsidRPr="00DF01C4" w:rsidRDefault="00527E3A" w:rsidP="006858C8">
            <w:pPr>
              <w:jc w:val="center"/>
            </w:pPr>
            <w:r>
              <w:rPr>
                <w:color w:val="000000"/>
              </w:rPr>
              <w:t>0.279</w:t>
            </w:r>
            <w:r>
              <w:rPr>
                <w:color w:val="000000"/>
              </w:rPr>
              <w:br/>
              <w:t>(0.254)</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0.332</w:t>
            </w:r>
            <w:r>
              <w:rPr>
                <w:color w:val="000000"/>
              </w:rPr>
              <w:br/>
              <w:t>(0.262)</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0.376</w:t>
            </w:r>
            <w:r>
              <w:rPr>
                <w:color w:val="000000"/>
              </w:rPr>
              <w:br/>
              <w:t>(0.236)</w:t>
            </w:r>
          </w:p>
        </w:tc>
      </w:tr>
      <w:tr w:rsidR="00527E3A" w:rsidRPr="00DF01C4" w:rsidTr="006858C8">
        <w:trPr>
          <w:cantSplit/>
          <w:trHeight w:val="41"/>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r>
              <w:rPr>
                <w:bCs/>
                <w:color w:val="000000"/>
              </w:rPr>
              <w:t>c_log_Pop15_64</w:t>
            </w:r>
          </w:p>
        </w:tc>
        <w:tc>
          <w:tcPr>
            <w:tcW w:w="1606" w:type="dxa"/>
            <w:tcMar>
              <w:top w:w="45" w:type="dxa"/>
              <w:left w:w="75" w:type="dxa"/>
              <w:bottom w:w="45" w:type="dxa"/>
              <w:right w:w="75" w:type="dxa"/>
            </w:tcMar>
            <w:vAlign w:val="center"/>
            <w:hideMark/>
          </w:tcPr>
          <w:p w:rsidR="00527E3A" w:rsidRPr="00DF01C4" w:rsidRDefault="00527E3A" w:rsidP="006858C8">
            <w:pPr>
              <w:jc w:val="center"/>
              <w:rPr>
                <w:b/>
                <w:bCs/>
              </w:rPr>
            </w:pPr>
          </w:p>
        </w:tc>
        <w:tc>
          <w:tcPr>
            <w:tcW w:w="1843" w:type="dxa"/>
            <w:tcMar>
              <w:top w:w="45" w:type="dxa"/>
              <w:left w:w="75" w:type="dxa"/>
              <w:bottom w:w="45" w:type="dxa"/>
              <w:right w:w="75" w:type="dxa"/>
            </w:tcMar>
            <w:vAlign w:val="center"/>
            <w:hideMark/>
          </w:tcPr>
          <w:p w:rsidR="00527E3A" w:rsidRPr="00DF01C4" w:rsidRDefault="00527E3A" w:rsidP="006858C8">
            <w:pPr>
              <w:jc w:val="center"/>
              <w:rPr>
                <w:b/>
                <w:bCs/>
              </w:rPr>
            </w:pP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1.646**</w:t>
            </w:r>
            <w:r>
              <w:rPr>
                <w:color w:val="000000"/>
              </w:rPr>
              <w:br/>
              <w:t>(0.359)</w:t>
            </w: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1.617**</w:t>
            </w:r>
            <w:r>
              <w:rPr>
                <w:color w:val="000000"/>
              </w:rPr>
              <w:br/>
              <w:t>(0.340)</w:t>
            </w:r>
          </w:p>
        </w:tc>
      </w:tr>
      <w:tr w:rsidR="00527E3A" w:rsidRPr="00DF01C4" w:rsidTr="006858C8">
        <w:trPr>
          <w:cantSplit/>
          <w:trHeight w:val="159"/>
          <w:jc w:val="center"/>
        </w:trPr>
        <w:tc>
          <w:tcPr>
            <w:tcW w:w="2500" w:type="dxa"/>
            <w:tcMar>
              <w:top w:w="45" w:type="dxa"/>
              <w:left w:w="75" w:type="dxa"/>
              <w:bottom w:w="45" w:type="dxa"/>
              <w:right w:w="75" w:type="dxa"/>
            </w:tcMar>
            <w:vAlign w:val="center"/>
            <w:hideMark/>
          </w:tcPr>
          <w:p w:rsidR="00527E3A" w:rsidRPr="00DF01C4" w:rsidRDefault="00527E3A" w:rsidP="006858C8">
            <w:pPr>
              <w:rPr>
                <w:b/>
                <w:bCs/>
              </w:rPr>
            </w:pPr>
            <w:proofErr w:type="spellStart"/>
            <w:r>
              <w:rPr>
                <w:bCs/>
                <w:color w:val="000000"/>
              </w:rPr>
              <w:t>c_YouthUnempl</w:t>
            </w:r>
            <w:proofErr w:type="spellEnd"/>
          </w:p>
        </w:tc>
        <w:tc>
          <w:tcPr>
            <w:tcW w:w="1606" w:type="dxa"/>
            <w:tcMar>
              <w:top w:w="45" w:type="dxa"/>
              <w:left w:w="75" w:type="dxa"/>
              <w:bottom w:w="45" w:type="dxa"/>
              <w:right w:w="75" w:type="dxa"/>
            </w:tcMar>
            <w:vAlign w:val="center"/>
            <w:hideMark/>
          </w:tcPr>
          <w:p w:rsidR="00527E3A" w:rsidRPr="00DF01C4" w:rsidRDefault="00527E3A" w:rsidP="006858C8">
            <w:pPr>
              <w:jc w:val="center"/>
              <w:rPr>
                <w:b/>
                <w:bCs/>
              </w:rPr>
            </w:pPr>
          </w:p>
        </w:tc>
        <w:tc>
          <w:tcPr>
            <w:tcW w:w="1843" w:type="dxa"/>
            <w:tcMar>
              <w:top w:w="45" w:type="dxa"/>
              <w:left w:w="75" w:type="dxa"/>
              <w:bottom w:w="45" w:type="dxa"/>
              <w:right w:w="75" w:type="dxa"/>
            </w:tcMar>
            <w:vAlign w:val="center"/>
            <w:hideMark/>
          </w:tcPr>
          <w:p w:rsidR="00527E3A" w:rsidRPr="00DF01C4" w:rsidRDefault="00527E3A" w:rsidP="006858C8">
            <w:pPr>
              <w:jc w:val="center"/>
              <w:rPr>
                <w:b/>
                <w:bCs/>
              </w:rPr>
            </w:pPr>
          </w:p>
        </w:tc>
        <w:tc>
          <w:tcPr>
            <w:tcW w:w="2126" w:type="dxa"/>
            <w:tcMar>
              <w:top w:w="45" w:type="dxa"/>
              <w:left w:w="75" w:type="dxa"/>
              <w:bottom w:w="45" w:type="dxa"/>
              <w:right w:w="75" w:type="dxa"/>
            </w:tcMar>
            <w:vAlign w:val="center"/>
            <w:hideMark/>
          </w:tcPr>
          <w:p w:rsidR="00527E3A" w:rsidRPr="00DF01C4" w:rsidRDefault="00527E3A" w:rsidP="006858C8">
            <w:pPr>
              <w:jc w:val="center"/>
              <w:rPr>
                <w:b/>
                <w:bCs/>
              </w:rPr>
            </w:pPr>
          </w:p>
        </w:tc>
        <w:tc>
          <w:tcPr>
            <w:tcW w:w="2126" w:type="dxa"/>
            <w:tcMar>
              <w:top w:w="45" w:type="dxa"/>
              <w:left w:w="75" w:type="dxa"/>
              <w:bottom w:w="45" w:type="dxa"/>
              <w:right w:w="75" w:type="dxa"/>
            </w:tcMar>
            <w:vAlign w:val="center"/>
            <w:hideMark/>
          </w:tcPr>
          <w:p w:rsidR="00527E3A" w:rsidRPr="00DF01C4" w:rsidRDefault="00527E3A" w:rsidP="006858C8">
            <w:pPr>
              <w:jc w:val="center"/>
            </w:pPr>
            <w:r>
              <w:rPr>
                <w:color w:val="000000"/>
              </w:rPr>
              <w:t>0.002</w:t>
            </w:r>
            <w:r>
              <w:rPr>
                <w:color w:val="000000"/>
              </w:rPr>
              <w:br/>
              <w:t>(0.003)</w:t>
            </w:r>
          </w:p>
        </w:tc>
      </w:tr>
      <w:tr w:rsidR="00527E3A" w:rsidRPr="00DF01C4" w:rsidTr="006858C8">
        <w:trPr>
          <w:cantSplit/>
          <w:trHeight w:val="315"/>
          <w:jc w:val="center"/>
        </w:trPr>
        <w:tc>
          <w:tcPr>
            <w:tcW w:w="2500" w:type="dxa"/>
            <w:shd w:val="clear" w:color="auto" w:fill="F7F7F7"/>
            <w:tcMar>
              <w:top w:w="45" w:type="dxa"/>
              <w:left w:w="75" w:type="dxa"/>
              <w:bottom w:w="45" w:type="dxa"/>
              <w:right w:w="75" w:type="dxa"/>
            </w:tcMar>
            <w:vAlign w:val="center"/>
            <w:hideMark/>
          </w:tcPr>
          <w:p w:rsidR="00527E3A" w:rsidRPr="00DF01C4" w:rsidRDefault="00527E3A" w:rsidP="006858C8">
            <w:proofErr w:type="spellStart"/>
            <w:r>
              <w:rPr>
                <w:color w:val="000000"/>
              </w:rPr>
              <w:t>Num.Obs</w:t>
            </w:r>
            <w:proofErr w:type="spellEnd"/>
            <w:r>
              <w:rPr>
                <w:color w:val="000000"/>
              </w:rPr>
              <w:t>.</w:t>
            </w:r>
          </w:p>
        </w:tc>
        <w:tc>
          <w:tcPr>
            <w:tcW w:w="160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468</w:t>
            </w: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468</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468</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468</w:t>
            </w:r>
          </w:p>
        </w:tc>
      </w:tr>
      <w:tr w:rsidR="00527E3A" w:rsidRPr="00DF01C4" w:rsidTr="006858C8">
        <w:trPr>
          <w:cantSplit/>
          <w:trHeight w:val="315"/>
          <w:jc w:val="center"/>
        </w:trPr>
        <w:tc>
          <w:tcPr>
            <w:tcW w:w="2500" w:type="dxa"/>
            <w:shd w:val="clear" w:color="auto" w:fill="F7F7F7"/>
            <w:tcMar>
              <w:top w:w="45" w:type="dxa"/>
              <w:left w:w="75" w:type="dxa"/>
              <w:bottom w:w="45" w:type="dxa"/>
              <w:right w:w="75" w:type="dxa"/>
            </w:tcMar>
            <w:vAlign w:val="center"/>
            <w:hideMark/>
          </w:tcPr>
          <w:p w:rsidR="00527E3A" w:rsidRPr="00DF01C4" w:rsidRDefault="00527E3A" w:rsidP="006858C8">
            <w:r>
              <w:rPr>
                <w:color w:val="000000"/>
              </w:rPr>
              <w:t>R2 Within</w:t>
            </w:r>
          </w:p>
        </w:tc>
        <w:tc>
          <w:tcPr>
            <w:tcW w:w="160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0.817</w:t>
            </w: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0.818</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0.830</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0.830</w:t>
            </w:r>
          </w:p>
        </w:tc>
      </w:tr>
      <w:tr w:rsidR="00527E3A" w:rsidRPr="00DF01C4" w:rsidTr="006858C8">
        <w:trPr>
          <w:cantSplit/>
          <w:trHeight w:val="315"/>
          <w:jc w:val="center"/>
        </w:trPr>
        <w:tc>
          <w:tcPr>
            <w:tcW w:w="2500" w:type="dxa"/>
            <w:shd w:val="clear" w:color="auto" w:fill="F7F7F7"/>
            <w:tcMar>
              <w:top w:w="45" w:type="dxa"/>
              <w:left w:w="75" w:type="dxa"/>
              <w:bottom w:w="45" w:type="dxa"/>
              <w:right w:w="75" w:type="dxa"/>
            </w:tcMar>
            <w:vAlign w:val="center"/>
            <w:hideMark/>
          </w:tcPr>
          <w:p w:rsidR="00527E3A" w:rsidRPr="00DF01C4" w:rsidRDefault="00527E3A" w:rsidP="006858C8">
            <w:r>
              <w:rPr>
                <w:color w:val="000000"/>
              </w:rPr>
              <w:t>R2 Within Adj.</w:t>
            </w:r>
          </w:p>
        </w:tc>
        <w:tc>
          <w:tcPr>
            <w:tcW w:w="160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0.804</w:t>
            </w: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0.805</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0.818</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0.817</w:t>
            </w:r>
          </w:p>
        </w:tc>
      </w:tr>
      <w:tr w:rsidR="00527E3A" w:rsidRPr="00DF01C4" w:rsidTr="006858C8">
        <w:trPr>
          <w:cantSplit/>
          <w:trHeight w:val="315"/>
          <w:jc w:val="center"/>
        </w:trPr>
        <w:tc>
          <w:tcPr>
            <w:tcW w:w="2500" w:type="dxa"/>
            <w:shd w:val="clear" w:color="auto" w:fill="F7F7F7"/>
            <w:tcMar>
              <w:top w:w="45" w:type="dxa"/>
              <w:left w:w="75" w:type="dxa"/>
              <w:bottom w:w="45" w:type="dxa"/>
              <w:right w:w="75" w:type="dxa"/>
            </w:tcMar>
            <w:vAlign w:val="center"/>
            <w:hideMark/>
          </w:tcPr>
          <w:p w:rsidR="00527E3A" w:rsidRPr="00DF01C4" w:rsidRDefault="00527E3A" w:rsidP="006858C8">
            <w:r>
              <w:rPr>
                <w:color w:val="000000"/>
              </w:rPr>
              <w:t xml:space="preserve">FE: </w:t>
            </w:r>
            <w:proofErr w:type="spellStart"/>
            <w:r>
              <w:rPr>
                <w:color w:val="000000"/>
              </w:rPr>
              <w:t>Domicile_named_country</w:t>
            </w:r>
            <w:proofErr w:type="spellEnd"/>
          </w:p>
        </w:tc>
        <w:tc>
          <w:tcPr>
            <w:tcW w:w="160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 xml:space="preserve">YES </w:t>
            </w: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 xml:space="preserve">YES </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 xml:space="preserve">YES </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 xml:space="preserve">YES </w:t>
            </w:r>
          </w:p>
        </w:tc>
      </w:tr>
      <w:tr w:rsidR="00527E3A" w:rsidRPr="00DF01C4" w:rsidTr="006858C8">
        <w:trPr>
          <w:cantSplit/>
          <w:trHeight w:val="315"/>
          <w:jc w:val="center"/>
        </w:trPr>
        <w:tc>
          <w:tcPr>
            <w:tcW w:w="2500" w:type="dxa"/>
            <w:shd w:val="clear" w:color="auto" w:fill="F7F7F7"/>
            <w:tcMar>
              <w:top w:w="45" w:type="dxa"/>
              <w:left w:w="75" w:type="dxa"/>
              <w:bottom w:w="45" w:type="dxa"/>
              <w:right w:w="75" w:type="dxa"/>
            </w:tcMar>
            <w:vAlign w:val="center"/>
            <w:hideMark/>
          </w:tcPr>
          <w:p w:rsidR="00527E3A" w:rsidRPr="00DF01C4" w:rsidRDefault="00527E3A" w:rsidP="006858C8">
            <w:r>
              <w:rPr>
                <w:color w:val="000000"/>
              </w:rPr>
              <w:t>FE: Year</w:t>
            </w:r>
          </w:p>
        </w:tc>
        <w:tc>
          <w:tcPr>
            <w:tcW w:w="160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 xml:space="preserve">YES </w:t>
            </w: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 xml:space="preserve">YES </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 xml:space="preserve">YES </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 xml:space="preserve">YES </w:t>
            </w:r>
          </w:p>
        </w:tc>
      </w:tr>
      <w:tr w:rsidR="00527E3A" w:rsidRPr="00DF01C4" w:rsidTr="006858C8">
        <w:trPr>
          <w:cantSplit/>
          <w:trHeight w:val="315"/>
          <w:jc w:val="center"/>
        </w:trPr>
        <w:tc>
          <w:tcPr>
            <w:tcW w:w="2500" w:type="dxa"/>
            <w:shd w:val="clear" w:color="auto" w:fill="F7F7F7"/>
            <w:tcMar>
              <w:top w:w="45" w:type="dxa"/>
              <w:left w:w="75" w:type="dxa"/>
              <w:bottom w:w="45" w:type="dxa"/>
              <w:right w:w="75" w:type="dxa"/>
            </w:tcMar>
            <w:vAlign w:val="center"/>
            <w:hideMark/>
          </w:tcPr>
          <w:p w:rsidR="00527E3A" w:rsidRPr="00DF01C4" w:rsidRDefault="00527E3A" w:rsidP="006858C8">
            <w:r>
              <w:rPr>
                <w:color w:val="000000"/>
              </w:rPr>
              <w:t>Weights</w:t>
            </w:r>
          </w:p>
        </w:tc>
        <w:tc>
          <w:tcPr>
            <w:tcW w:w="160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 xml:space="preserve">YES </w:t>
            </w:r>
          </w:p>
        </w:tc>
        <w:tc>
          <w:tcPr>
            <w:tcW w:w="1843"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 xml:space="preserve">YES </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 xml:space="preserve">YES </w:t>
            </w:r>
          </w:p>
        </w:tc>
        <w:tc>
          <w:tcPr>
            <w:tcW w:w="2126" w:type="dxa"/>
            <w:shd w:val="clear" w:color="auto" w:fill="F7F7F7"/>
            <w:tcMar>
              <w:top w:w="45" w:type="dxa"/>
              <w:left w:w="75" w:type="dxa"/>
              <w:bottom w:w="45" w:type="dxa"/>
              <w:right w:w="75" w:type="dxa"/>
            </w:tcMar>
            <w:vAlign w:val="center"/>
            <w:hideMark/>
          </w:tcPr>
          <w:p w:rsidR="00527E3A" w:rsidRPr="00DF01C4" w:rsidRDefault="00527E3A" w:rsidP="006858C8">
            <w:pPr>
              <w:jc w:val="center"/>
            </w:pPr>
            <w:r>
              <w:rPr>
                <w:color w:val="000000"/>
              </w:rPr>
              <w:t>YES</w:t>
            </w:r>
          </w:p>
        </w:tc>
      </w:tr>
    </w:tbl>
    <w:p w:rsidR="00527E3A" w:rsidRPr="00DF01C4" w:rsidRDefault="00527E3A" w:rsidP="00527E3A">
      <w:pPr>
        <w:keepNext/>
        <w:keepLines/>
        <w:spacing w:line="360" w:lineRule="auto"/>
      </w:pPr>
      <w:r>
        <w:rPr>
          <w:b/>
          <w:color w:val="000000"/>
        </w:rPr>
        <w:t>Table A2</w:t>
      </w:r>
    </w:p>
    <w:p w:rsidR="00527E3A" w:rsidRPr="00DF01C4" w:rsidRDefault="00527E3A" w:rsidP="00527E3A">
      <w:pPr>
        <w:keepNext/>
        <w:keepLines/>
        <w:spacing w:line="360" w:lineRule="auto"/>
      </w:pPr>
      <w:r>
        <w:rPr>
          <w:i/>
          <w:color w:val="000000"/>
        </w:rPr>
        <w:t>Country-specific log effects in the initial and later post-reform windows</w:t>
      </w:r>
    </w:p>
    <w:tbl>
      <w:tblPr>
        <w:tblW w:w="12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0"/>
        <w:gridCol w:w="1556"/>
        <w:gridCol w:w="1417"/>
        <w:gridCol w:w="1701"/>
        <w:gridCol w:w="1276"/>
        <w:gridCol w:w="1559"/>
        <w:gridCol w:w="1701"/>
        <w:gridCol w:w="1418"/>
      </w:tblGrid>
      <w:tr w:rsidR="00527E3A" w:rsidRPr="00DF01C4" w:rsidTr="006858C8">
        <w:trPr>
          <w:cantSplit/>
          <w:trHeight w:val="315"/>
          <w:tblHeader/>
          <w:jc w:val="center"/>
        </w:trPr>
        <w:tc>
          <w:tcPr>
            <w:tcW w:w="1700" w:type="dxa"/>
            <w:shd w:val="clear" w:color="auto" w:fill="E7E6E6"/>
            <w:tcMar>
              <w:top w:w="15" w:type="dxa"/>
              <w:left w:w="75" w:type="dxa"/>
              <w:bottom w:w="15" w:type="dxa"/>
              <w:right w:w="75" w:type="dxa"/>
            </w:tcMar>
            <w:vAlign w:val="center"/>
            <w:hideMark/>
          </w:tcPr>
          <w:p w:rsidR="00527E3A" w:rsidRPr="00DF01C4" w:rsidRDefault="00527E3A" w:rsidP="006858C8">
            <w:pPr>
              <w:jc w:val="center"/>
              <w:rPr>
                <w:b/>
                <w:bCs/>
              </w:rPr>
            </w:pPr>
            <w:r>
              <w:rPr>
                <w:b/>
                <w:bCs/>
                <w:color w:val="000000"/>
              </w:rPr>
              <w:t>Country</w:t>
            </w:r>
          </w:p>
        </w:tc>
        <w:tc>
          <w:tcPr>
            <w:tcW w:w="1556" w:type="dxa"/>
            <w:shd w:val="clear" w:color="auto" w:fill="E7E6E6"/>
            <w:tcMar>
              <w:top w:w="15" w:type="dxa"/>
              <w:left w:w="75" w:type="dxa"/>
              <w:bottom w:w="15" w:type="dxa"/>
              <w:right w:w="75" w:type="dxa"/>
            </w:tcMar>
            <w:vAlign w:val="center"/>
            <w:hideMark/>
          </w:tcPr>
          <w:p w:rsidR="00527E3A" w:rsidRPr="00DF01C4" w:rsidRDefault="00527E3A" w:rsidP="006858C8">
            <w:pPr>
              <w:jc w:val="center"/>
              <w:rPr>
                <w:b/>
                <w:bCs/>
              </w:rPr>
            </w:pPr>
            <w:r>
              <w:rPr>
                <w:b/>
                <w:bCs/>
                <w:color w:val="000000"/>
              </w:rPr>
              <w:t>Post</w:t>
            </w:r>
          </w:p>
        </w:tc>
        <w:tc>
          <w:tcPr>
            <w:tcW w:w="1417" w:type="dxa"/>
            <w:shd w:val="clear" w:color="auto" w:fill="E7E6E6"/>
            <w:tcMar>
              <w:top w:w="15" w:type="dxa"/>
              <w:left w:w="75" w:type="dxa"/>
              <w:bottom w:w="15" w:type="dxa"/>
              <w:right w:w="75" w:type="dxa"/>
            </w:tcMar>
            <w:vAlign w:val="center"/>
            <w:hideMark/>
          </w:tcPr>
          <w:p w:rsidR="00527E3A" w:rsidRPr="00DF01C4" w:rsidRDefault="00527E3A" w:rsidP="006858C8">
            <w:pPr>
              <w:jc w:val="center"/>
              <w:rPr>
                <w:b/>
                <w:bCs/>
              </w:rPr>
            </w:pPr>
            <w:r>
              <w:rPr>
                <w:b/>
                <w:bCs/>
                <w:color w:val="000000"/>
              </w:rPr>
              <w:t>Country</w:t>
            </w:r>
          </w:p>
        </w:tc>
        <w:tc>
          <w:tcPr>
            <w:tcW w:w="1701" w:type="dxa"/>
            <w:shd w:val="clear" w:color="auto" w:fill="E7E6E6"/>
            <w:tcMar>
              <w:top w:w="15" w:type="dxa"/>
              <w:left w:w="75" w:type="dxa"/>
              <w:bottom w:w="15" w:type="dxa"/>
              <w:right w:w="75" w:type="dxa"/>
            </w:tcMar>
            <w:vAlign w:val="center"/>
            <w:hideMark/>
          </w:tcPr>
          <w:p w:rsidR="00527E3A" w:rsidRPr="00DF01C4" w:rsidRDefault="00527E3A" w:rsidP="006858C8">
            <w:pPr>
              <w:jc w:val="center"/>
              <w:rPr>
                <w:b/>
                <w:bCs/>
              </w:rPr>
            </w:pPr>
            <w:r>
              <w:rPr>
                <w:b/>
                <w:bCs/>
                <w:color w:val="000000"/>
              </w:rPr>
              <w:t>Post</w:t>
            </w:r>
          </w:p>
        </w:tc>
        <w:tc>
          <w:tcPr>
            <w:tcW w:w="1276" w:type="dxa"/>
            <w:shd w:val="clear" w:color="auto" w:fill="E7E6E6"/>
            <w:tcMar>
              <w:top w:w="15" w:type="dxa"/>
              <w:left w:w="75" w:type="dxa"/>
              <w:bottom w:w="15" w:type="dxa"/>
              <w:right w:w="75" w:type="dxa"/>
            </w:tcMar>
            <w:vAlign w:val="center"/>
            <w:hideMark/>
          </w:tcPr>
          <w:p w:rsidR="00527E3A" w:rsidRPr="00DF01C4" w:rsidRDefault="00527E3A" w:rsidP="006858C8">
            <w:pPr>
              <w:jc w:val="center"/>
              <w:rPr>
                <w:b/>
                <w:bCs/>
              </w:rPr>
            </w:pPr>
            <w:r>
              <w:rPr>
                <w:b/>
                <w:bCs/>
                <w:color w:val="000000"/>
              </w:rPr>
              <w:t>Country</w:t>
            </w:r>
          </w:p>
        </w:tc>
        <w:tc>
          <w:tcPr>
            <w:tcW w:w="1559" w:type="dxa"/>
            <w:shd w:val="clear" w:color="auto" w:fill="E7E6E6"/>
            <w:tcMar>
              <w:top w:w="15" w:type="dxa"/>
              <w:left w:w="75" w:type="dxa"/>
              <w:bottom w:w="15" w:type="dxa"/>
              <w:right w:w="75" w:type="dxa"/>
            </w:tcMar>
            <w:vAlign w:val="center"/>
            <w:hideMark/>
          </w:tcPr>
          <w:p w:rsidR="00527E3A" w:rsidRPr="00DF01C4" w:rsidRDefault="00527E3A" w:rsidP="006858C8">
            <w:pPr>
              <w:jc w:val="center"/>
              <w:rPr>
                <w:b/>
                <w:bCs/>
              </w:rPr>
            </w:pPr>
            <w:r>
              <w:rPr>
                <w:b/>
                <w:bCs/>
                <w:color w:val="000000"/>
              </w:rPr>
              <w:t>Post 2023</w:t>
            </w:r>
          </w:p>
        </w:tc>
        <w:tc>
          <w:tcPr>
            <w:tcW w:w="1701" w:type="dxa"/>
            <w:shd w:val="clear" w:color="auto" w:fill="E7E6E6"/>
            <w:tcMar>
              <w:top w:w="15" w:type="dxa"/>
              <w:left w:w="75" w:type="dxa"/>
              <w:bottom w:w="15" w:type="dxa"/>
              <w:right w:w="75" w:type="dxa"/>
            </w:tcMar>
            <w:vAlign w:val="center"/>
            <w:hideMark/>
          </w:tcPr>
          <w:p w:rsidR="00527E3A" w:rsidRPr="00DF01C4" w:rsidRDefault="00527E3A" w:rsidP="006858C8">
            <w:pPr>
              <w:jc w:val="center"/>
              <w:rPr>
                <w:b/>
                <w:bCs/>
              </w:rPr>
            </w:pPr>
            <w:r>
              <w:rPr>
                <w:b/>
                <w:bCs/>
                <w:color w:val="000000"/>
              </w:rPr>
              <w:t>Country</w:t>
            </w:r>
          </w:p>
        </w:tc>
        <w:tc>
          <w:tcPr>
            <w:tcW w:w="1418" w:type="dxa"/>
            <w:shd w:val="clear" w:color="auto" w:fill="E7E6E6"/>
            <w:tcMar>
              <w:top w:w="15" w:type="dxa"/>
              <w:left w:w="75" w:type="dxa"/>
              <w:bottom w:w="15" w:type="dxa"/>
              <w:right w:w="75" w:type="dxa"/>
            </w:tcMar>
            <w:vAlign w:val="center"/>
            <w:hideMark/>
          </w:tcPr>
          <w:p w:rsidR="00527E3A" w:rsidRPr="00DF01C4" w:rsidRDefault="00527E3A" w:rsidP="006858C8">
            <w:pPr>
              <w:jc w:val="center"/>
              <w:rPr>
                <w:b/>
                <w:bCs/>
              </w:rPr>
            </w:pPr>
            <w:r>
              <w:rPr>
                <w:b/>
                <w:bCs/>
                <w:color w:val="000000"/>
              </w:rPr>
              <w:t>Post 2023</w:t>
            </w:r>
          </w:p>
        </w:tc>
      </w:tr>
      <w:tr w:rsidR="00527E3A" w:rsidRPr="00DF01C4" w:rsidTr="006858C8">
        <w:trPr>
          <w:cantSplit/>
          <w:trHeight w:val="315"/>
          <w:jc w:val="center"/>
        </w:trPr>
        <w:tc>
          <w:tcPr>
            <w:tcW w:w="1700" w:type="dxa"/>
            <w:tcMar>
              <w:top w:w="15" w:type="dxa"/>
              <w:left w:w="75" w:type="dxa"/>
              <w:bottom w:w="15" w:type="dxa"/>
              <w:right w:w="75" w:type="dxa"/>
            </w:tcMar>
            <w:vAlign w:val="center"/>
            <w:hideMark/>
          </w:tcPr>
          <w:p w:rsidR="00527E3A" w:rsidRPr="00DF01C4" w:rsidRDefault="00527E3A" w:rsidP="006858C8">
            <w:pPr>
              <w:jc w:val="center"/>
            </w:pPr>
            <w:r>
              <w:rPr>
                <w:color w:val="000000"/>
              </w:rPr>
              <w:t>Austria</w:t>
            </w:r>
          </w:p>
        </w:tc>
        <w:tc>
          <w:tcPr>
            <w:tcW w:w="1556" w:type="dxa"/>
            <w:tcMar>
              <w:top w:w="15" w:type="dxa"/>
              <w:left w:w="75" w:type="dxa"/>
              <w:bottom w:w="15" w:type="dxa"/>
              <w:right w:w="75" w:type="dxa"/>
            </w:tcMar>
            <w:vAlign w:val="center"/>
            <w:hideMark/>
          </w:tcPr>
          <w:p w:rsidR="00527E3A" w:rsidRPr="00DF01C4" w:rsidRDefault="00527E3A" w:rsidP="006858C8">
            <w:pPr>
              <w:jc w:val="center"/>
            </w:pPr>
            <w:r>
              <w:rPr>
                <w:color w:val="000000"/>
              </w:rPr>
              <w:t>-0.524***</w:t>
            </w:r>
            <w:r>
              <w:rPr>
                <w:color w:val="000000"/>
              </w:rPr>
              <w:br/>
              <w:t>(0.072)</w:t>
            </w:r>
          </w:p>
        </w:tc>
        <w:tc>
          <w:tcPr>
            <w:tcW w:w="1417" w:type="dxa"/>
            <w:tcMar>
              <w:top w:w="15" w:type="dxa"/>
              <w:left w:w="75" w:type="dxa"/>
              <w:bottom w:w="15" w:type="dxa"/>
              <w:right w:w="75" w:type="dxa"/>
            </w:tcMar>
            <w:vAlign w:val="center"/>
            <w:hideMark/>
          </w:tcPr>
          <w:p w:rsidR="00527E3A" w:rsidRPr="00DF01C4" w:rsidRDefault="00527E3A" w:rsidP="006858C8">
            <w:pPr>
              <w:jc w:val="center"/>
            </w:pPr>
            <w:r>
              <w:rPr>
                <w:color w:val="000000"/>
              </w:rPr>
              <w:t>Italy</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-0.813***</w:t>
            </w:r>
            <w:r>
              <w:rPr>
                <w:color w:val="000000"/>
              </w:rPr>
              <w:br/>
              <w:t>(0.102)</w:t>
            </w:r>
          </w:p>
        </w:tc>
        <w:tc>
          <w:tcPr>
            <w:tcW w:w="1276" w:type="dxa"/>
            <w:tcMar>
              <w:top w:w="15" w:type="dxa"/>
              <w:left w:w="75" w:type="dxa"/>
              <w:bottom w:w="15" w:type="dxa"/>
              <w:right w:w="75" w:type="dxa"/>
            </w:tcMar>
            <w:vAlign w:val="center"/>
            <w:hideMark/>
          </w:tcPr>
          <w:p w:rsidR="00527E3A" w:rsidRPr="00DF01C4" w:rsidRDefault="00527E3A" w:rsidP="006858C8">
            <w:pPr>
              <w:jc w:val="center"/>
            </w:pPr>
            <w:r>
              <w:rPr>
                <w:color w:val="000000"/>
              </w:rPr>
              <w:t>Austria</w:t>
            </w:r>
          </w:p>
        </w:tc>
        <w:tc>
          <w:tcPr>
            <w:tcW w:w="1559" w:type="dxa"/>
            <w:tcMar>
              <w:top w:w="15" w:type="dxa"/>
              <w:left w:w="75" w:type="dxa"/>
              <w:bottom w:w="15" w:type="dxa"/>
              <w:right w:w="75" w:type="dxa"/>
            </w:tcMar>
            <w:vAlign w:val="center"/>
            <w:hideMark/>
          </w:tcPr>
          <w:p w:rsidR="00527E3A" w:rsidRPr="00DF01C4" w:rsidRDefault="00527E3A" w:rsidP="006858C8">
            <w:pPr>
              <w:jc w:val="center"/>
            </w:pPr>
            <w:r>
              <w:rPr>
                <w:color w:val="000000"/>
              </w:rPr>
              <w:t>-0.585***</w:t>
            </w:r>
            <w:r>
              <w:rPr>
                <w:color w:val="000000"/>
              </w:rPr>
              <w:br/>
              <w:t>(0.032)</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Italy</w:t>
            </w:r>
          </w:p>
        </w:tc>
        <w:tc>
          <w:tcPr>
            <w:tcW w:w="1418" w:type="dxa"/>
            <w:tcMar>
              <w:top w:w="15" w:type="dxa"/>
              <w:left w:w="75" w:type="dxa"/>
              <w:bottom w:w="15" w:type="dxa"/>
              <w:right w:w="75" w:type="dxa"/>
            </w:tcMar>
            <w:vAlign w:val="center"/>
            <w:hideMark/>
          </w:tcPr>
          <w:p w:rsidR="00527E3A" w:rsidRPr="00DF01C4" w:rsidRDefault="00527E3A" w:rsidP="006858C8">
            <w:pPr>
              <w:jc w:val="center"/>
            </w:pPr>
            <w:r>
              <w:rPr>
                <w:color w:val="000000"/>
              </w:rPr>
              <w:t>-1.093***</w:t>
            </w:r>
            <w:r>
              <w:rPr>
                <w:color w:val="000000"/>
              </w:rPr>
              <w:br/>
              <w:t>(0.030)</w:t>
            </w:r>
          </w:p>
        </w:tc>
      </w:tr>
      <w:tr w:rsidR="00527E3A" w:rsidRPr="00DF01C4" w:rsidTr="006858C8">
        <w:trPr>
          <w:cantSplit/>
          <w:trHeight w:val="315"/>
          <w:jc w:val="center"/>
        </w:trPr>
        <w:tc>
          <w:tcPr>
            <w:tcW w:w="1700" w:type="dxa"/>
            <w:tcMar>
              <w:top w:w="15" w:type="dxa"/>
              <w:left w:w="75" w:type="dxa"/>
              <w:bottom w:w="15" w:type="dxa"/>
              <w:right w:w="75" w:type="dxa"/>
            </w:tcMar>
            <w:vAlign w:val="center"/>
            <w:hideMark/>
          </w:tcPr>
          <w:p w:rsidR="00527E3A" w:rsidRPr="00DF01C4" w:rsidRDefault="00527E3A" w:rsidP="006858C8">
            <w:pPr>
              <w:jc w:val="center"/>
            </w:pPr>
            <w:r>
              <w:rPr>
                <w:color w:val="000000"/>
              </w:rPr>
              <w:t>Belgium</w:t>
            </w:r>
          </w:p>
        </w:tc>
        <w:tc>
          <w:tcPr>
            <w:tcW w:w="1556" w:type="dxa"/>
            <w:tcMar>
              <w:top w:w="15" w:type="dxa"/>
              <w:left w:w="75" w:type="dxa"/>
              <w:bottom w:w="15" w:type="dxa"/>
              <w:right w:w="75" w:type="dxa"/>
            </w:tcMar>
            <w:vAlign w:val="center"/>
            <w:hideMark/>
          </w:tcPr>
          <w:p w:rsidR="00527E3A" w:rsidRPr="00DF01C4" w:rsidRDefault="00527E3A" w:rsidP="006858C8">
            <w:pPr>
              <w:jc w:val="center"/>
            </w:pPr>
            <w:r>
              <w:rPr>
                <w:color w:val="000000"/>
              </w:rPr>
              <w:t>-0.551***</w:t>
            </w:r>
            <w:r>
              <w:rPr>
                <w:color w:val="000000"/>
              </w:rPr>
              <w:br/>
              <w:t>(0.078)</w:t>
            </w:r>
          </w:p>
        </w:tc>
        <w:tc>
          <w:tcPr>
            <w:tcW w:w="1417" w:type="dxa"/>
            <w:tcMar>
              <w:top w:w="15" w:type="dxa"/>
              <w:left w:w="75" w:type="dxa"/>
              <w:bottom w:w="15" w:type="dxa"/>
              <w:right w:w="75" w:type="dxa"/>
            </w:tcMar>
            <w:vAlign w:val="center"/>
            <w:hideMark/>
          </w:tcPr>
          <w:p w:rsidR="00527E3A" w:rsidRPr="00DF01C4" w:rsidRDefault="00527E3A" w:rsidP="006858C8">
            <w:pPr>
              <w:jc w:val="center"/>
            </w:pPr>
            <w:r>
              <w:rPr>
                <w:color w:val="000000"/>
              </w:rPr>
              <w:t>Latvia</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-1.429***</w:t>
            </w:r>
            <w:r>
              <w:rPr>
                <w:color w:val="000000"/>
              </w:rPr>
              <w:br/>
              <w:t>(0.189)</w:t>
            </w:r>
          </w:p>
        </w:tc>
        <w:tc>
          <w:tcPr>
            <w:tcW w:w="1276" w:type="dxa"/>
            <w:tcMar>
              <w:top w:w="15" w:type="dxa"/>
              <w:left w:w="75" w:type="dxa"/>
              <w:bottom w:w="15" w:type="dxa"/>
              <w:right w:w="75" w:type="dxa"/>
            </w:tcMar>
            <w:vAlign w:val="center"/>
            <w:hideMark/>
          </w:tcPr>
          <w:p w:rsidR="00527E3A" w:rsidRPr="00DF01C4" w:rsidRDefault="00527E3A" w:rsidP="006858C8">
            <w:pPr>
              <w:jc w:val="center"/>
            </w:pPr>
            <w:r>
              <w:rPr>
                <w:color w:val="000000"/>
              </w:rPr>
              <w:t>Belgium</w:t>
            </w:r>
          </w:p>
        </w:tc>
        <w:tc>
          <w:tcPr>
            <w:tcW w:w="1559" w:type="dxa"/>
            <w:tcMar>
              <w:top w:w="15" w:type="dxa"/>
              <w:left w:w="75" w:type="dxa"/>
              <w:bottom w:w="15" w:type="dxa"/>
              <w:right w:w="75" w:type="dxa"/>
            </w:tcMar>
            <w:vAlign w:val="center"/>
            <w:hideMark/>
          </w:tcPr>
          <w:p w:rsidR="00527E3A" w:rsidRPr="00DF01C4" w:rsidRDefault="00527E3A" w:rsidP="006858C8">
            <w:pPr>
              <w:jc w:val="center"/>
            </w:pPr>
            <w:r>
              <w:rPr>
                <w:color w:val="000000"/>
              </w:rPr>
              <w:t>-0.681***</w:t>
            </w:r>
            <w:r>
              <w:rPr>
                <w:color w:val="000000"/>
              </w:rPr>
              <w:br/>
              <w:t>(0.022)</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Latvia</w:t>
            </w:r>
          </w:p>
        </w:tc>
        <w:tc>
          <w:tcPr>
            <w:tcW w:w="1418" w:type="dxa"/>
            <w:tcMar>
              <w:top w:w="15" w:type="dxa"/>
              <w:left w:w="75" w:type="dxa"/>
              <w:bottom w:w="15" w:type="dxa"/>
              <w:right w:w="75" w:type="dxa"/>
            </w:tcMar>
            <w:vAlign w:val="center"/>
            <w:hideMark/>
          </w:tcPr>
          <w:p w:rsidR="00527E3A" w:rsidRPr="00DF01C4" w:rsidRDefault="00527E3A" w:rsidP="006858C8">
            <w:pPr>
              <w:jc w:val="center"/>
            </w:pPr>
            <w:r>
              <w:rPr>
                <w:color w:val="000000"/>
              </w:rPr>
              <w:t>-1.636***</w:t>
            </w:r>
            <w:r>
              <w:rPr>
                <w:color w:val="000000"/>
              </w:rPr>
              <w:br/>
              <w:t>(0.033)</w:t>
            </w:r>
          </w:p>
        </w:tc>
      </w:tr>
      <w:tr w:rsidR="00527E3A" w:rsidRPr="00DF01C4" w:rsidTr="006858C8">
        <w:trPr>
          <w:cantSplit/>
          <w:trHeight w:val="315"/>
          <w:jc w:val="center"/>
        </w:trPr>
        <w:tc>
          <w:tcPr>
            <w:tcW w:w="1700" w:type="dxa"/>
            <w:tcMar>
              <w:top w:w="15" w:type="dxa"/>
              <w:left w:w="75" w:type="dxa"/>
              <w:bottom w:w="15" w:type="dxa"/>
              <w:right w:w="75" w:type="dxa"/>
            </w:tcMar>
            <w:vAlign w:val="center"/>
            <w:hideMark/>
          </w:tcPr>
          <w:p w:rsidR="00527E3A" w:rsidRPr="00DF01C4" w:rsidRDefault="00527E3A" w:rsidP="006858C8">
            <w:pPr>
              <w:jc w:val="center"/>
            </w:pPr>
            <w:r>
              <w:rPr>
                <w:color w:val="000000"/>
              </w:rPr>
              <w:t>Bulgaria</w:t>
            </w:r>
          </w:p>
        </w:tc>
        <w:tc>
          <w:tcPr>
            <w:tcW w:w="1556" w:type="dxa"/>
            <w:tcMar>
              <w:top w:w="15" w:type="dxa"/>
              <w:left w:w="75" w:type="dxa"/>
              <w:bottom w:w="15" w:type="dxa"/>
              <w:right w:w="75" w:type="dxa"/>
            </w:tcMar>
            <w:vAlign w:val="center"/>
            <w:hideMark/>
          </w:tcPr>
          <w:p w:rsidR="00527E3A" w:rsidRPr="00DF01C4" w:rsidRDefault="00527E3A" w:rsidP="006858C8">
            <w:pPr>
              <w:jc w:val="center"/>
            </w:pPr>
            <w:r>
              <w:rPr>
                <w:color w:val="000000"/>
              </w:rPr>
              <w:t>-1.795***</w:t>
            </w:r>
            <w:r>
              <w:rPr>
                <w:color w:val="000000"/>
              </w:rPr>
              <w:br/>
              <w:t>(0.169)</w:t>
            </w:r>
          </w:p>
        </w:tc>
        <w:tc>
          <w:tcPr>
            <w:tcW w:w="1417" w:type="dxa"/>
            <w:tcMar>
              <w:top w:w="15" w:type="dxa"/>
              <w:left w:w="75" w:type="dxa"/>
              <w:bottom w:w="15" w:type="dxa"/>
              <w:right w:w="75" w:type="dxa"/>
            </w:tcMar>
            <w:vAlign w:val="center"/>
            <w:hideMark/>
          </w:tcPr>
          <w:p w:rsidR="00527E3A" w:rsidRPr="00DF01C4" w:rsidRDefault="00527E3A" w:rsidP="006858C8">
            <w:pPr>
              <w:jc w:val="center"/>
            </w:pPr>
            <w:r>
              <w:rPr>
                <w:color w:val="000000"/>
              </w:rPr>
              <w:t>Lithuania</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-2.026***</w:t>
            </w:r>
            <w:r>
              <w:rPr>
                <w:color w:val="000000"/>
              </w:rPr>
              <w:br/>
              <w:t>(0.384)</w:t>
            </w:r>
          </w:p>
        </w:tc>
        <w:tc>
          <w:tcPr>
            <w:tcW w:w="1276" w:type="dxa"/>
            <w:tcMar>
              <w:top w:w="15" w:type="dxa"/>
              <w:left w:w="75" w:type="dxa"/>
              <w:bottom w:w="15" w:type="dxa"/>
              <w:right w:w="75" w:type="dxa"/>
            </w:tcMar>
            <w:vAlign w:val="center"/>
            <w:hideMark/>
          </w:tcPr>
          <w:p w:rsidR="00527E3A" w:rsidRPr="00DF01C4" w:rsidRDefault="00527E3A" w:rsidP="006858C8">
            <w:pPr>
              <w:jc w:val="center"/>
            </w:pPr>
            <w:r>
              <w:rPr>
                <w:color w:val="000000"/>
              </w:rPr>
              <w:t>Bulgaria</w:t>
            </w:r>
          </w:p>
        </w:tc>
        <w:tc>
          <w:tcPr>
            <w:tcW w:w="1559" w:type="dxa"/>
            <w:tcMar>
              <w:top w:w="15" w:type="dxa"/>
              <w:left w:w="75" w:type="dxa"/>
              <w:bottom w:w="15" w:type="dxa"/>
              <w:right w:w="75" w:type="dxa"/>
            </w:tcMar>
            <w:vAlign w:val="center"/>
            <w:hideMark/>
          </w:tcPr>
          <w:p w:rsidR="00527E3A" w:rsidRPr="00DF01C4" w:rsidRDefault="00527E3A" w:rsidP="006858C8">
            <w:pPr>
              <w:jc w:val="center"/>
            </w:pPr>
            <w:r>
              <w:rPr>
                <w:color w:val="000000"/>
              </w:rPr>
              <w:t>-2.025***</w:t>
            </w:r>
            <w:r>
              <w:rPr>
                <w:color w:val="000000"/>
              </w:rPr>
              <w:br/>
              <w:t>(0.048)</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Lithuania</w:t>
            </w:r>
          </w:p>
        </w:tc>
        <w:tc>
          <w:tcPr>
            <w:tcW w:w="1418" w:type="dxa"/>
            <w:tcMar>
              <w:top w:w="15" w:type="dxa"/>
              <w:left w:w="75" w:type="dxa"/>
              <w:bottom w:w="15" w:type="dxa"/>
              <w:right w:w="75" w:type="dxa"/>
            </w:tcMar>
            <w:vAlign w:val="center"/>
            <w:hideMark/>
          </w:tcPr>
          <w:p w:rsidR="00527E3A" w:rsidRPr="00DF01C4" w:rsidRDefault="00527E3A" w:rsidP="006858C8">
            <w:pPr>
              <w:jc w:val="center"/>
            </w:pPr>
            <w:r>
              <w:rPr>
                <w:color w:val="000000"/>
              </w:rPr>
              <w:t>-2.394***</w:t>
            </w:r>
            <w:r>
              <w:rPr>
                <w:color w:val="000000"/>
              </w:rPr>
              <w:br/>
              <w:t>(0.113)</w:t>
            </w:r>
          </w:p>
        </w:tc>
      </w:tr>
      <w:tr w:rsidR="00527E3A" w:rsidRPr="00DF01C4" w:rsidTr="006858C8">
        <w:trPr>
          <w:cantSplit/>
          <w:trHeight w:val="315"/>
          <w:jc w:val="center"/>
        </w:trPr>
        <w:tc>
          <w:tcPr>
            <w:tcW w:w="1700" w:type="dxa"/>
            <w:tcMar>
              <w:top w:w="15" w:type="dxa"/>
              <w:left w:w="75" w:type="dxa"/>
              <w:bottom w:w="15" w:type="dxa"/>
              <w:right w:w="75" w:type="dxa"/>
            </w:tcMar>
            <w:vAlign w:val="center"/>
            <w:hideMark/>
          </w:tcPr>
          <w:p w:rsidR="00527E3A" w:rsidRPr="00DF01C4" w:rsidRDefault="00527E3A" w:rsidP="006858C8">
            <w:pPr>
              <w:jc w:val="center"/>
            </w:pPr>
            <w:r>
              <w:rPr>
                <w:color w:val="000000"/>
              </w:rPr>
              <w:t>Croatia</w:t>
            </w:r>
          </w:p>
        </w:tc>
        <w:tc>
          <w:tcPr>
            <w:tcW w:w="1556" w:type="dxa"/>
            <w:tcMar>
              <w:top w:w="15" w:type="dxa"/>
              <w:left w:w="75" w:type="dxa"/>
              <w:bottom w:w="15" w:type="dxa"/>
              <w:right w:w="75" w:type="dxa"/>
            </w:tcMar>
            <w:vAlign w:val="center"/>
            <w:hideMark/>
          </w:tcPr>
          <w:p w:rsidR="00527E3A" w:rsidRPr="00DF01C4" w:rsidRDefault="00527E3A" w:rsidP="006858C8">
            <w:pPr>
              <w:jc w:val="center"/>
            </w:pPr>
            <w:r>
              <w:rPr>
                <w:color w:val="000000"/>
              </w:rPr>
              <w:t>-1.591***</w:t>
            </w:r>
            <w:r>
              <w:rPr>
                <w:color w:val="000000"/>
              </w:rPr>
              <w:br/>
              <w:t>(0.158)</w:t>
            </w:r>
          </w:p>
        </w:tc>
        <w:tc>
          <w:tcPr>
            <w:tcW w:w="1417" w:type="dxa"/>
            <w:tcMar>
              <w:top w:w="15" w:type="dxa"/>
              <w:left w:w="75" w:type="dxa"/>
              <w:bottom w:w="15" w:type="dxa"/>
              <w:right w:w="75" w:type="dxa"/>
            </w:tcMar>
            <w:vAlign w:val="center"/>
            <w:hideMark/>
          </w:tcPr>
          <w:p w:rsidR="00527E3A" w:rsidRPr="00DF01C4" w:rsidRDefault="00527E3A" w:rsidP="006858C8">
            <w:pPr>
              <w:jc w:val="center"/>
            </w:pPr>
            <w:r>
              <w:rPr>
                <w:color w:val="000000"/>
              </w:rPr>
              <w:t>Luxembourg</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-0.490***</w:t>
            </w:r>
            <w:r>
              <w:rPr>
                <w:color w:val="000000"/>
              </w:rPr>
              <w:br/>
              <w:t>(0.066)</w:t>
            </w:r>
          </w:p>
        </w:tc>
        <w:tc>
          <w:tcPr>
            <w:tcW w:w="1276" w:type="dxa"/>
            <w:tcMar>
              <w:top w:w="15" w:type="dxa"/>
              <w:left w:w="75" w:type="dxa"/>
              <w:bottom w:w="15" w:type="dxa"/>
              <w:right w:w="75" w:type="dxa"/>
            </w:tcMar>
            <w:vAlign w:val="center"/>
            <w:hideMark/>
          </w:tcPr>
          <w:p w:rsidR="00527E3A" w:rsidRPr="00DF01C4" w:rsidRDefault="00527E3A" w:rsidP="006858C8">
            <w:pPr>
              <w:jc w:val="center"/>
            </w:pPr>
            <w:r>
              <w:rPr>
                <w:color w:val="000000"/>
              </w:rPr>
              <w:t>Croatia</w:t>
            </w:r>
          </w:p>
        </w:tc>
        <w:tc>
          <w:tcPr>
            <w:tcW w:w="1559" w:type="dxa"/>
            <w:tcMar>
              <w:top w:w="15" w:type="dxa"/>
              <w:left w:w="75" w:type="dxa"/>
              <w:bottom w:w="15" w:type="dxa"/>
              <w:right w:w="75" w:type="dxa"/>
            </w:tcMar>
            <w:vAlign w:val="center"/>
            <w:hideMark/>
          </w:tcPr>
          <w:p w:rsidR="00527E3A" w:rsidRPr="00DF01C4" w:rsidRDefault="00527E3A" w:rsidP="006858C8">
            <w:pPr>
              <w:jc w:val="center"/>
            </w:pPr>
            <w:r>
              <w:rPr>
                <w:color w:val="000000"/>
              </w:rPr>
              <w:t>-1.751***</w:t>
            </w:r>
            <w:r>
              <w:rPr>
                <w:color w:val="000000"/>
              </w:rPr>
              <w:br/>
              <w:t>(0.039)</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Luxembourg</w:t>
            </w:r>
          </w:p>
        </w:tc>
        <w:tc>
          <w:tcPr>
            <w:tcW w:w="1418" w:type="dxa"/>
            <w:tcMar>
              <w:top w:w="15" w:type="dxa"/>
              <w:left w:w="75" w:type="dxa"/>
              <w:bottom w:w="15" w:type="dxa"/>
              <w:right w:w="75" w:type="dxa"/>
            </w:tcMar>
            <w:vAlign w:val="center"/>
            <w:hideMark/>
          </w:tcPr>
          <w:p w:rsidR="00527E3A" w:rsidRPr="00DF01C4" w:rsidRDefault="00527E3A" w:rsidP="006858C8">
            <w:pPr>
              <w:jc w:val="center"/>
            </w:pPr>
            <w:r>
              <w:rPr>
                <w:color w:val="000000"/>
              </w:rPr>
              <w:t>-0.498***</w:t>
            </w:r>
            <w:r>
              <w:rPr>
                <w:color w:val="000000"/>
              </w:rPr>
              <w:br/>
              <w:t>(0.038)</w:t>
            </w:r>
          </w:p>
        </w:tc>
      </w:tr>
      <w:tr w:rsidR="00527E3A" w:rsidRPr="00DF01C4" w:rsidTr="006858C8">
        <w:trPr>
          <w:cantSplit/>
          <w:trHeight w:val="315"/>
          <w:jc w:val="center"/>
        </w:trPr>
        <w:tc>
          <w:tcPr>
            <w:tcW w:w="1700" w:type="dxa"/>
            <w:tcMar>
              <w:top w:w="15" w:type="dxa"/>
              <w:left w:w="75" w:type="dxa"/>
              <w:bottom w:w="15" w:type="dxa"/>
              <w:right w:w="75" w:type="dxa"/>
            </w:tcMar>
            <w:vAlign w:val="center"/>
            <w:hideMark/>
          </w:tcPr>
          <w:p w:rsidR="00527E3A" w:rsidRPr="00DF01C4" w:rsidRDefault="00527E3A" w:rsidP="006858C8">
            <w:pPr>
              <w:jc w:val="center"/>
            </w:pPr>
            <w:r>
              <w:rPr>
                <w:color w:val="000000"/>
              </w:rPr>
              <w:t>Cyprus</w:t>
            </w:r>
          </w:p>
        </w:tc>
        <w:tc>
          <w:tcPr>
            <w:tcW w:w="1556" w:type="dxa"/>
            <w:tcMar>
              <w:top w:w="15" w:type="dxa"/>
              <w:left w:w="75" w:type="dxa"/>
              <w:bottom w:w="15" w:type="dxa"/>
              <w:right w:w="75" w:type="dxa"/>
            </w:tcMar>
            <w:vAlign w:val="center"/>
            <w:hideMark/>
          </w:tcPr>
          <w:p w:rsidR="00527E3A" w:rsidRPr="00DF01C4" w:rsidRDefault="00527E3A" w:rsidP="006858C8">
            <w:pPr>
              <w:jc w:val="center"/>
            </w:pPr>
            <w:r>
              <w:rPr>
                <w:color w:val="000000"/>
              </w:rPr>
              <w:t>-0.869***</w:t>
            </w:r>
            <w:r>
              <w:rPr>
                <w:color w:val="000000"/>
              </w:rPr>
              <w:br/>
              <w:t>(0.072)</w:t>
            </w:r>
          </w:p>
        </w:tc>
        <w:tc>
          <w:tcPr>
            <w:tcW w:w="1417" w:type="dxa"/>
            <w:tcMar>
              <w:top w:w="15" w:type="dxa"/>
              <w:left w:w="75" w:type="dxa"/>
              <w:bottom w:w="15" w:type="dxa"/>
              <w:right w:w="75" w:type="dxa"/>
            </w:tcMar>
            <w:vAlign w:val="center"/>
            <w:hideMark/>
          </w:tcPr>
          <w:p w:rsidR="00527E3A" w:rsidRPr="00DF01C4" w:rsidRDefault="00527E3A" w:rsidP="006858C8">
            <w:pPr>
              <w:jc w:val="center"/>
            </w:pPr>
            <w:r>
              <w:rPr>
                <w:color w:val="000000"/>
              </w:rPr>
              <w:t>Malta</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-0.321***</w:t>
            </w:r>
            <w:r>
              <w:rPr>
                <w:color w:val="000000"/>
              </w:rPr>
              <w:br/>
              <w:t>(0.040)</w:t>
            </w:r>
          </w:p>
        </w:tc>
        <w:tc>
          <w:tcPr>
            <w:tcW w:w="1276" w:type="dxa"/>
            <w:tcMar>
              <w:top w:w="15" w:type="dxa"/>
              <w:left w:w="75" w:type="dxa"/>
              <w:bottom w:w="15" w:type="dxa"/>
              <w:right w:w="75" w:type="dxa"/>
            </w:tcMar>
            <w:vAlign w:val="center"/>
            <w:hideMark/>
          </w:tcPr>
          <w:p w:rsidR="00527E3A" w:rsidRPr="00DF01C4" w:rsidRDefault="00527E3A" w:rsidP="006858C8">
            <w:pPr>
              <w:jc w:val="center"/>
            </w:pPr>
            <w:r>
              <w:rPr>
                <w:color w:val="000000"/>
              </w:rPr>
              <w:t>Cyprus</w:t>
            </w:r>
          </w:p>
        </w:tc>
        <w:tc>
          <w:tcPr>
            <w:tcW w:w="1559" w:type="dxa"/>
            <w:tcMar>
              <w:top w:w="15" w:type="dxa"/>
              <w:left w:w="75" w:type="dxa"/>
              <w:bottom w:w="15" w:type="dxa"/>
              <w:right w:w="75" w:type="dxa"/>
            </w:tcMar>
            <w:vAlign w:val="center"/>
            <w:hideMark/>
          </w:tcPr>
          <w:p w:rsidR="00527E3A" w:rsidRPr="00DF01C4" w:rsidRDefault="00527E3A" w:rsidP="006858C8">
            <w:pPr>
              <w:jc w:val="center"/>
            </w:pPr>
            <w:r>
              <w:rPr>
                <w:color w:val="000000"/>
              </w:rPr>
              <w:t>-0.952***</w:t>
            </w:r>
            <w:r>
              <w:rPr>
                <w:color w:val="000000"/>
              </w:rPr>
              <w:br/>
              <w:t>(0.056)</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Malta</w:t>
            </w:r>
          </w:p>
        </w:tc>
        <w:tc>
          <w:tcPr>
            <w:tcW w:w="1418" w:type="dxa"/>
            <w:tcMar>
              <w:top w:w="15" w:type="dxa"/>
              <w:left w:w="75" w:type="dxa"/>
              <w:bottom w:w="15" w:type="dxa"/>
              <w:right w:w="75" w:type="dxa"/>
            </w:tcMar>
            <w:vAlign w:val="center"/>
            <w:hideMark/>
          </w:tcPr>
          <w:p w:rsidR="00527E3A" w:rsidRPr="00DF01C4" w:rsidRDefault="00527E3A" w:rsidP="006858C8">
            <w:pPr>
              <w:jc w:val="center"/>
            </w:pPr>
            <w:r>
              <w:rPr>
                <w:color w:val="000000"/>
              </w:rPr>
              <w:t>-0.423***</w:t>
            </w:r>
            <w:r>
              <w:rPr>
                <w:color w:val="000000"/>
              </w:rPr>
              <w:br/>
              <w:t>(0.041)</w:t>
            </w:r>
          </w:p>
        </w:tc>
      </w:tr>
      <w:tr w:rsidR="00527E3A" w:rsidRPr="00DF01C4" w:rsidTr="006858C8">
        <w:trPr>
          <w:cantSplit/>
          <w:trHeight w:val="315"/>
          <w:jc w:val="center"/>
        </w:trPr>
        <w:tc>
          <w:tcPr>
            <w:tcW w:w="1700" w:type="dxa"/>
            <w:tcMar>
              <w:top w:w="15" w:type="dxa"/>
              <w:left w:w="75" w:type="dxa"/>
              <w:bottom w:w="15" w:type="dxa"/>
              <w:right w:w="75" w:type="dxa"/>
            </w:tcMar>
            <w:vAlign w:val="center"/>
            <w:hideMark/>
          </w:tcPr>
          <w:p w:rsidR="00527E3A" w:rsidRPr="00DF01C4" w:rsidRDefault="00527E3A" w:rsidP="006858C8">
            <w:pPr>
              <w:jc w:val="center"/>
            </w:pPr>
            <w:r>
              <w:rPr>
                <w:color w:val="000000"/>
              </w:rPr>
              <w:lastRenderedPageBreak/>
              <w:t>Czech Republic</w:t>
            </w:r>
          </w:p>
        </w:tc>
        <w:tc>
          <w:tcPr>
            <w:tcW w:w="1556" w:type="dxa"/>
            <w:tcMar>
              <w:top w:w="15" w:type="dxa"/>
              <w:left w:w="75" w:type="dxa"/>
              <w:bottom w:w="15" w:type="dxa"/>
              <w:right w:w="75" w:type="dxa"/>
            </w:tcMar>
            <w:vAlign w:val="center"/>
            <w:hideMark/>
          </w:tcPr>
          <w:p w:rsidR="00527E3A" w:rsidRPr="00DF01C4" w:rsidRDefault="00527E3A" w:rsidP="006858C8">
            <w:pPr>
              <w:jc w:val="center"/>
            </w:pPr>
            <w:r>
              <w:rPr>
                <w:color w:val="000000"/>
              </w:rPr>
              <w:t>-1.107***</w:t>
            </w:r>
            <w:r>
              <w:rPr>
                <w:color w:val="000000"/>
              </w:rPr>
              <w:br/>
              <w:t>(0.078)</w:t>
            </w:r>
          </w:p>
        </w:tc>
        <w:tc>
          <w:tcPr>
            <w:tcW w:w="1417" w:type="dxa"/>
            <w:tcMar>
              <w:top w:w="15" w:type="dxa"/>
              <w:left w:w="75" w:type="dxa"/>
              <w:bottom w:w="15" w:type="dxa"/>
              <w:right w:w="75" w:type="dxa"/>
            </w:tcMar>
            <w:vAlign w:val="center"/>
            <w:hideMark/>
          </w:tcPr>
          <w:p w:rsidR="00527E3A" w:rsidRPr="00DF01C4" w:rsidRDefault="00527E3A" w:rsidP="006858C8">
            <w:pPr>
              <w:jc w:val="center"/>
            </w:pPr>
            <w:r>
              <w:rPr>
                <w:color w:val="000000"/>
              </w:rPr>
              <w:t>Netherlands</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-0.518***</w:t>
            </w:r>
            <w:r>
              <w:rPr>
                <w:color w:val="000000"/>
              </w:rPr>
              <w:br/>
              <w:t>(0.030)</w:t>
            </w:r>
          </w:p>
        </w:tc>
        <w:tc>
          <w:tcPr>
            <w:tcW w:w="1276" w:type="dxa"/>
            <w:tcMar>
              <w:top w:w="15" w:type="dxa"/>
              <w:left w:w="75" w:type="dxa"/>
              <w:bottom w:w="15" w:type="dxa"/>
              <w:right w:w="75" w:type="dxa"/>
            </w:tcMar>
            <w:vAlign w:val="center"/>
            <w:hideMark/>
          </w:tcPr>
          <w:p w:rsidR="00527E3A" w:rsidRPr="00DF01C4" w:rsidRDefault="00527E3A" w:rsidP="006858C8">
            <w:pPr>
              <w:jc w:val="center"/>
            </w:pPr>
            <w:r>
              <w:rPr>
                <w:color w:val="000000"/>
              </w:rPr>
              <w:t>Czech Republic</w:t>
            </w:r>
          </w:p>
        </w:tc>
        <w:tc>
          <w:tcPr>
            <w:tcW w:w="1559" w:type="dxa"/>
            <w:tcMar>
              <w:top w:w="15" w:type="dxa"/>
              <w:left w:w="75" w:type="dxa"/>
              <w:bottom w:w="15" w:type="dxa"/>
              <w:right w:w="75" w:type="dxa"/>
            </w:tcMar>
            <w:vAlign w:val="center"/>
            <w:hideMark/>
          </w:tcPr>
          <w:p w:rsidR="00527E3A" w:rsidRPr="00DF01C4" w:rsidRDefault="00527E3A" w:rsidP="006858C8">
            <w:pPr>
              <w:jc w:val="center"/>
            </w:pPr>
            <w:r>
              <w:rPr>
                <w:color w:val="000000"/>
              </w:rPr>
              <w:t>-1.183***</w:t>
            </w:r>
            <w:r>
              <w:rPr>
                <w:color w:val="000000"/>
              </w:rPr>
              <w:br/>
              <w:t>(0.045)</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Netherlands</w:t>
            </w:r>
          </w:p>
        </w:tc>
        <w:tc>
          <w:tcPr>
            <w:tcW w:w="1418" w:type="dxa"/>
            <w:tcMar>
              <w:top w:w="15" w:type="dxa"/>
              <w:left w:w="75" w:type="dxa"/>
              <w:bottom w:w="15" w:type="dxa"/>
              <w:right w:w="75" w:type="dxa"/>
            </w:tcMar>
            <w:vAlign w:val="center"/>
            <w:hideMark/>
          </w:tcPr>
          <w:p w:rsidR="00527E3A" w:rsidRPr="00DF01C4" w:rsidRDefault="00527E3A" w:rsidP="006858C8">
            <w:pPr>
              <w:jc w:val="center"/>
            </w:pPr>
            <w:r>
              <w:rPr>
                <w:color w:val="000000"/>
              </w:rPr>
              <w:t>-0.561***</w:t>
            </w:r>
            <w:r>
              <w:rPr>
                <w:color w:val="000000"/>
              </w:rPr>
              <w:br/>
              <w:t>(0.021)</w:t>
            </w:r>
          </w:p>
        </w:tc>
      </w:tr>
      <w:tr w:rsidR="00527E3A" w:rsidRPr="00DF01C4" w:rsidTr="006858C8">
        <w:trPr>
          <w:cantSplit/>
          <w:trHeight w:val="315"/>
          <w:jc w:val="center"/>
        </w:trPr>
        <w:tc>
          <w:tcPr>
            <w:tcW w:w="1700" w:type="dxa"/>
            <w:tcMar>
              <w:top w:w="15" w:type="dxa"/>
              <w:left w:w="75" w:type="dxa"/>
              <w:bottom w:w="15" w:type="dxa"/>
              <w:right w:w="75" w:type="dxa"/>
            </w:tcMar>
            <w:vAlign w:val="center"/>
            <w:hideMark/>
          </w:tcPr>
          <w:p w:rsidR="00527E3A" w:rsidRPr="00DF01C4" w:rsidRDefault="00527E3A" w:rsidP="006858C8">
            <w:pPr>
              <w:jc w:val="center"/>
            </w:pPr>
            <w:r>
              <w:rPr>
                <w:color w:val="000000"/>
              </w:rPr>
              <w:t>Denmark</w:t>
            </w:r>
          </w:p>
        </w:tc>
        <w:tc>
          <w:tcPr>
            <w:tcW w:w="1556" w:type="dxa"/>
            <w:tcMar>
              <w:top w:w="15" w:type="dxa"/>
              <w:left w:w="75" w:type="dxa"/>
              <w:bottom w:w="15" w:type="dxa"/>
              <w:right w:w="75" w:type="dxa"/>
            </w:tcMar>
            <w:vAlign w:val="center"/>
            <w:hideMark/>
          </w:tcPr>
          <w:p w:rsidR="00527E3A" w:rsidRPr="00DF01C4" w:rsidRDefault="00527E3A" w:rsidP="006858C8">
            <w:pPr>
              <w:jc w:val="center"/>
            </w:pPr>
            <w:r>
              <w:rPr>
                <w:color w:val="000000"/>
              </w:rPr>
              <w:t>-0.962***</w:t>
            </w:r>
            <w:r>
              <w:rPr>
                <w:color w:val="000000"/>
              </w:rPr>
              <w:br/>
              <w:t>(0.114)</w:t>
            </w:r>
          </w:p>
        </w:tc>
        <w:tc>
          <w:tcPr>
            <w:tcW w:w="1417" w:type="dxa"/>
            <w:tcMar>
              <w:top w:w="15" w:type="dxa"/>
              <w:left w:w="75" w:type="dxa"/>
              <w:bottom w:w="15" w:type="dxa"/>
              <w:right w:w="75" w:type="dxa"/>
            </w:tcMar>
            <w:vAlign w:val="center"/>
            <w:hideMark/>
          </w:tcPr>
          <w:p w:rsidR="00527E3A" w:rsidRPr="00DF01C4" w:rsidRDefault="00527E3A" w:rsidP="006858C8">
            <w:pPr>
              <w:jc w:val="center"/>
            </w:pPr>
            <w:r>
              <w:rPr>
                <w:color w:val="000000"/>
              </w:rPr>
              <w:t>Poland</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-1.529***</w:t>
            </w:r>
            <w:r>
              <w:rPr>
                <w:color w:val="000000"/>
              </w:rPr>
              <w:br/>
              <w:t>(0.175)</w:t>
            </w:r>
          </w:p>
        </w:tc>
        <w:tc>
          <w:tcPr>
            <w:tcW w:w="1276" w:type="dxa"/>
            <w:tcMar>
              <w:top w:w="15" w:type="dxa"/>
              <w:left w:w="75" w:type="dxa"/>
              <w:bottom w:w="15" w:type="dxa"/>
              <w:right w:w="75" w:type="dxa"/>
            </w:tcMar>
            <w:vAlign w:val="center"/>
            <w:hideMark/>
          </w:tcPr>
          <w:p w:rsidR="00527E3A" w:rsidRPr="00DF01C4" w:rsidRDefault="00527E3A" w:rsidP="006858C8">
            <w:pPr>
              <w:jc w:val="center"/>
            </w:pPr>
            <w:r>
              <w:rPr>
                <w:color w:val="000000"/>
              </w:rPr>
              <w:t>Denmark</w:t>
            </w:r>
          </w:p>
        </w:tc>
        <w:tc>
          <w:tcPr>
            <w:tcW w:w="1559" w:type="dxa"/>
            <w:tcMar>
              <w:top w:w="15" w:type="dxa"/>
              <w:left w:w="75" w:type="dxa"/>
              <w:bottom w:w="15" w:type="dxa"/>
              <w:right w:w="75" w:type="dxa"/>
            </w:tcMar>
            <w:vAlign w:val="center"/>
            <w:hideMark/>
          </w:tcPr>
          <w:p w:rsidR="00527E3A" w:rsidRPr="00DF01C4" w:rsidRDefault="00527E3A" w:rsidP="006858C8">
            <w:pPr>
              <w:jc w:val="center"/>
            </w:pPr>
            <w:r>
              <w:rPr>
                <w:color w:val="000000"/>
              </w:rPr>
              <w:t>-1.173***</w:t>
            </w:r>
            <w:r>
              <w:rPr>
                <w:color w:val="000000"/>
              </w:rPr>
              <w:br/>
              <w:t>(0.055)</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Poland</w:t>
            </w:r>
          </w:p>
        </w:tc>
        <w:tc>
          <w:tcPr>
            <w:tcW w:w="1418" w:type="dxa"/>
            <w:tcMar>
              <w:top w:w="15" w:type="dxa"/>
              <w:left w:w="75" w:type="dxa"/>
              <w:bottom w:w="15" w:type="dxa"/>
              <w:right w:w="75" w:type="dxa"/>
            </w:tcMar>
            <w:vAlign w:val="center"/>
            <w:hideMark/>
          </w:tcPr>
          <w:p w:rsidR="00527E3A" w:rsidRPr="00DF01C4" w:rsidRDefault="00527E3A" w:rsidP="006858C8">
            <w:pPr>
              <w:jc w:val="center"/>
            </w:pPr>
            <w:r>
              <w:rPr>
                <w:color w:val="000000"/>
              </w:rPr>
              <w:t>-1.877***</w:t>
            </w:r>
            <w:r>
              <w:rPr>
                <w:color w:val="000000"/>
              </w:rPr>
              <w:br/>
              <w:t>(0.057)</w:t>
            </w:r>
          </w:p>
        </w:tc>
      </w:tr>
      <w:tr w:rsidR="00527E3A" w:rsidRPr="00DF01C4" w:rsidTr="006858C8">
        <w:trPr>
          <w:cantSplit/>
          <w:trHeight w:val="315"/>
          <w:jc w:val="center"/>
        </w:trPr>
        <w:tc>
          <w:tcPr>
            <w:tcW w:w="1700" w:type="dxa"/>
            <w:tcMar>
              <w:top w:w="15" w:type="dxa"/>
              <w:left w:w="75" w:type="dxa"/>
              <w:bottom w:w="15" w:type="dxa"/>
              <w:right w:w="75" w:type="dxa"/>
            </w:tcMar>
            <w:vAlign w:val="center"/>
            <w:hideMark/>
          </w:tcPr>
          <w:p w:rsidR="00527E3A" w:rsidRPr="00DF01C4" w:rsidRDefault="00527E3A" w:rsidP="006858C8">
            <w:pPr>
              <w:jc w:val="center"/>
            </w:pPr>
            <w:r>
              <w:rPr>
                <w:color w:val="000000"/>
              </w:rPr>
              <w:t>Estonia</w:t>
            </w:r>
          </w:p>
        </w:tc>
        <w:tc>
          <w:tcPr>
            <w:tcW w:w="1556" w:type="dxa"/>
            <w:tcMar>
              <w:top w:w="15" w:type="dxa"/>
              <w:left w:w="75" w:type="dxa"/>
              <w:bottom w:w="15" w:type="dxa"/>
              <w:right w:w="75" w:type="dxa"/>
            </w:tcMar>
            <w:vAlign w:val="center"/>
            <w:hideMark/>
          </w:tcPr>
          <w:p w:rsidR="00527E3A" w:rsidRPr="00DF01C4" w:rsidRDefault="00527E3A" w:rsidP="006858C8">
            <w:pPr>
              <w:jc w:val="center"/>
            </w:pPr>
            <w:r>
              <w:rPr>
                <w:color w:val="000000"/>
              </w:rPr>
              <w:t>-1.341***</w:t>
            </w:r>
            <w:r>
              <w:rPr>
                <w:color w:val="000000"/>
              </w:rPr>
              <w:br/>
              <w:t>(0.128)</w:t>
            </w:r>
          </w:p>
        </w:tc>
        <w:tc>
          <w:tcPr>
            <w:tcW w:w="1417" w:type="dxa"/>
            <w:tcMar>
              <w:top w:w="15" w:type="dxa"/>
              <w:left w:w="75" w:type="dxa"/>
              <w:bottom w:w="15" w:type="dxa"/>
              <w:right w:w="75" w:type="dxa"/>
            </w:tcMar>
            <w:vAlign w:val="center"/>
            <w:hideMark/>
          </w:tcPr>
          <w:p w:rsidR="00527E3A" w:rsidRPr="00DF01C4" w:rsidRDefault="00527E3A" w:rsidP="006858C8">
            <w:pPr>
              <w:jc w:val="center"/>
            </w:pPr>
            <w:r>
              <w:rPr>
                <w:color w:val="000000"/>
              </w:rPr>
              <w:t>Portugal</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-0.705</w:t>
            </w:r>
            <w:r>
              <w:rPr>
                <w:color w:val="000000"/>
              </w:rPr>
              <w:br/>
              <w:t>(0.495)</w:t>
            </w:r>
          </w:p>
        </w:tc>
        <w:tc>
          <w:tcPr>
            <w:tcW w:w="1276" w:type="dxa"/>
            <w:tcMar>
              <w:top w:w="15" w:type="dxa"/>
              <w:left w:w="75" w:type="dxa"/>
              <w:bottom w:w="15" w:type="dxa"/>
              <w:right w:w="75" w:type="dxa"/>
            </w:tcMar>
            <w:vAlign w:val="center"/>
            <w:hideMark/>
          </w:tcPr>
          <w:p w:rsidR="00527E3A" w:rsidRPr="00DF01C4" w:rsidRDefault="00527E3A" w:rsidP="006858C8">
            <w:pPr>
              <w:jc w:val="center"/>
            </w:pPr>
            <w:r>
              <w:rPr>
                <w:color w:val="000000"/>
              </w:rPr>
              <w:t>Estonia</w:t>
            </w:r>
          </w:p>
        </w:tc>
        <w:tc>
          <w:tcPr>
            <w:tcW w:w="1559" w:type="dxa"/>
            <w:tcMar>
              <w:top w:w="15" w:type="dxa"/>
              <w:left w:w="75" w:type="dxa"/>
              <w:bottom w:w="15" w:type="dxa"/>
              <w:right w:w="75" w:type="dxa"/>
            </w:tcMar>
            <w:vAlign w:val="center"/>
            <w:hideMark/>
          </w:tcPr>
          <w:p w:rsidR="00527E3A" w:rsidRPr="00DF01C4" w:rsidRDefault="00527E3A" w:rsidP="006858C8">
            <w:pPr>
              <w:jc w:val="center"/>
            </w:pPr>
            <w:r>
              <w:rPr>
                <w:color w:val="000000"/>
              </w:rPr>
              <w:t>-1.607***</w:t>
            </w:r>
            <w:r>
              <w:rPr>
                <w:color w:val="000000"/>
              </w:rPr>
              <w:br/>
              <w:t>(0.033)</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Portugal</w:t>
            </w:r>
          </w:p>
        </w:tc>
        <w:tc>
          <w:tcPr>
            <w:tcW w:w="1418" w:type="dxa"/>
            <w:tcMar>
              <w:top w:w="15" w:type="dxa"/>
              <w:left w:w="75" w:type="dxa"/>
              <w:bottom w:w="15" w:type="dxa"/>
              <w:right w:w="75" w:type="dxa"/>
            </w:tcMar>
            <w:vAlign w:val="center"/>
            <w:hideMark/>
          </w:tcPr>
          <w:p w:rsidR="00527E3A" w:rsidRPr="00DF01C4" w:rsidRDefault="00527E3A" w:rsidP="006858C8">
            <w:pPr>
              <w:jc w:val="center"/>
            </w:pPr>
            <w:r>
              <w:rPr>
                <w:color w:val="000000"/>
              </w:rPr>
              <w:t>-1.291***</w:t>
            </w:r>
            <w:r>
              <w:rPr>
                <w:color w:val="000000"/>
              </w:rPr>
              <w:br/>
              <w:t>(0.135)</w:t>
            </w:r>
          </w:p>
        </w:tc>
      </w:tr>
      <w:tr w:rsidR="00527E3A" w:rsidRPr="00DF01C4" w:rsidTr="006858C8">
        <w:trPr>
          <w:cantSplit/>
          <w:trHeight w:val="315"/>
          <w:jc w:val="center"/>
        </w:trPr>
        <w:tc>
          <w:tcPr>
            <w:tcW w:w="1700" w:type="dxa"/>
            <w:tcMar>
              <w:top w:w="15" w:type="dxa"/>
              <w:left w:w="75" w:type="dxa"/>
              <w:bottom w:w="15" w:type="dxa"/>
              <w:right w:w="75" w:type="dxa"/>
            </w:tcMar>
            <w:vAlign w:val="center"/>
            <w:hideMark/>
          </w:tcPr>
          <w:p w:rsidR="00527E3A" w:rsidRPr="00DF01C4" w:rsidRDefault="00527E3A" w:rsidP="006858C8">
            <w:pPr>
              <w:jc w:val="center"/>
            </w:pPr>
            <w:r>
              <w:rPr>
                <w:color w:val="000000"/>
              </w:rPr>
              <w:t>Finland</w:t>
            </w:r>
          </w:p>
        </w:tc>
        <w:tc>
          <w:tcPr>
            <w:tcW w:w="1556" w:type="dxa"/>
            <w:tcMar>
              <w:top w:w="15" w:type="dxa"/>
              <w:left w:w="75" w:type="dxa"/>
              <w:bottom w:w="15" w:type="dxa"/>
              <w:right w:w="75" w:type="dxa"/>
            </w:tcMar>
            <w:vAlign w:val="center"/>
            <w:hideMark/>
          </w:tcPr>
          <w:p w:rsidR="00527E3A" w:rsidRPr="00DF01C4" w:rsidRDefault="00527E3A" w:rsidP="006858C8">
            <w:pPr>
              <w:jc w:val="center"/>
            </w:pPr>
            <w:r>
              <w:rPr>
                <w:color w:val="000000"/>
              </w:rPr>
              <w:t>-1.571***</w:t>
            </w:r>
            <w:r>
              <w:rPr>
                <w:color w:val="000000"/>
              </w:rPr>
              <w:br/>
              <w:t>(0.206)</w:t>
            </w:r>
          </w:p>
        </w:tc>
        <w:tc>
          <w:tcPr>
            <w:tcW w:w="1417" w:type="dxa"/>
            <w:tcMar>
              <w:top w:w="15" w:type="dxa"/>
              <w:left w:w="75" w:type="dxa"/>
              <w:bottom w:w="15" w:type="dxa"/>
              <w:right w:w="75" w:type="dxa"/>
            </w:tcMar>
            <w:vAlign w:val="center"/>
            <w:hideMark/>
          </w:tcPr>
          <w:p w:rsidR="00527E3A" w:rsidRPr="00DF01C4" w:rsidRDefault="00527E3A" w:rsidP="006858C8">
            <w:pPr>
              <w:jc w:val="center"/>
            </w:pPr>
            <w:r>
              <w:rPr>
                <w:color w:val="000000"/>
              </w:rPr>
              <w:t>Romania</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-1.604***</w:t>
            </w:r>
            <w:r>
              <w:rPr>
                <w:color w:val="000000"/>
              </w:rPr>
              <w:br/>
              <w:t>(0.188)</w:t>
            </w:r>
          </w:p>
        </w:tc>
        <w:tc>
          <w:tcPr>
            <w:tcW w:w="1276" w:type="dxa"/>
            <w:tcMar>
              <w:top w:w="15" w:type="dxa"/>
              <w:left w:w="75" w:type="dxa"/>
              <w:bottom w:w="15" w:type="dxa"/>
              <w:right w:w="75" w:type="dxa"/>
            </w:tcMar>
            <w:vAlign w:val="center"/>
            <w:hideMark/>
          </w:tcPr>
          <w:p w:rsidR="00527E3A" w:rsidRPr="00DF01C4" w:rsidRDefault="00527E3A" w:rsidP="006858C8">
            <w:pPr>
              <w:jc w:val="center"/>
            </w:pPr>
            <w:r>
              <w:rPr>
                <w:color w:val="000000"/>
              </w:rPr>
              <w:t>Finland</w:t>
            </w:r>
          </w:p>
        </w:tc>
        <w:tc>
          <w:tcPr>
            <w:tcW w:w="1559" w:type="dxa"/>
            <w:tcMar>
              <w:top w:w="15" w:type="dxa"/>
              <w:left w:w="75" w:type="dxa"/>
              <w:bottom w:w="15" w:type="dxa"/>
              <w:right w:w="75" w:type="dxa"/>
            </w:tcMar>
            <w:vAlign w:val="center"/>
            <w:hideMark/>
          </w:tcPr>
          <w:p w:rsidR="00527E3A" w:rsidRPr="00DF01C4" w:rsidRDefault="00527E3A" w:rsidP="006858C8">
            <w:pPr>
              <w:jc w:val="center"/>
            </w:pPr>
            <w:r>
              <w:rPr>
                <w:color w:val="000000"/>
              </w:rPr>
              <w:t>-2.035***</w:t>
            </w:r>
            <w:r>
              <w:rPr>
                <w:color w:val="000000"/>
              </w:rPr>
              <w:br/>
              <w:t>(0.063)</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Romania</w:t>
            </w:r>
          </w:p>
        </w:tc>
        <w:tc>
          <w:tcPr>
            <w:tcW w:w="1418" w:type="dxa"/>
            <w:tcMar>
              <w:top w:w="15" w:type="dxa"/>
              <w:left w:w="75" w:type="dxa"/>
              <w:bottom w:w="15" w:type="dxa"/>
              <w:right w:w="75" w:type="dxa"/>
            </w:tcMar>
            <w:vAlign w:val="center"/>
            <w:hideMark/>
          </w:tcPr>
          <w:p w:rsidR="00527E3A" w:rsidRPr="00DF01C4" w:rsidRDefault="00527E3A" w:rsidP="006858C8">
            <w:pPr>
              <w:jc w:val="center"/>
            </w:pPr>
            <w:r>
              <w:rPr>
                <w:color w:val="000000"/>
              </w:rPr>
              <w:t>-1.873***</w:t>
            </w:r>
            <w:r>
              <w:rPr>
                <w:color w:val="000000"/>
              </w:rPr>
              <w:br/>
              <w:t>(0.051)</w:t>
            </w:r>
          </w:p>
        </w:tc>
      </w:tr>
      <w:tr w:rsidR="00527E3A" w:rsidRPr="00DF01C4" w:rsidTr="006858C8">
        <w:trPr>
          <w:cantSplit/>
          <w:trHeight w:val="315"/>
          <w:jc w:val="center"/>
        </w:trPr>
        <w:tc>
          <w:tcPr>
            <w:tcW w:w="1700" w:type="dxa"/>
            <w:tcMar>
              <w:top w:w="15" w:type="dxa"/>
              <w:left w:w="75" w:type="dxa"/>
              <w:bottom w:w="15" w:type="dxa"/>
              <w:right w:w="75" w:type="dxa"/>
            </w:tcMar>
            <w:vAlign w:val="center"/>
            <w:hideMark/>
          </w:tcPr>
          <w:p w:rsidR="00527E3A" w:rsidRPr="00DF01C4" w:rsidRDefault="00527E3A" w:rsidP="006858C8">
            <w:pPr>
              <w:jc w:val="center"/>
            </w:pPr>
            <w:r>
              <w:rPr>
                <w:color w:val="000000"/>
              </w:rPr>
              <w:t>France</w:t>
            </w:r>
          </w:p>
        </w:tc>
        <w:tc>
          <w:tcPr>
            <w:tcW w:w="1556" w:type="dxa"/>
            <w:tcMar>
              <w:top w:w="15" w:type="dxa"/>
              <w:left w:w="75" w:type="dxa"/>
              <w:bottom w:w="15" w:type="dxa"/>
              <w:right w:w="75" w:type="dxa"/>
            </w:tcMar>
            <w:vAlign w:val="center"/>
            <w:hideMark/>
          </w:tcPr>
          <w:p w:rsidR="00527E3A" w:rsidRPr="00DF01C4" w:rsidRDefault="00527E3A" w:rsidP="006858C8">
            <w:pPr>
              <w:jc w:val="center"/>
            </w:pPr>
            <w:r>
              <w:rPr>
                <w:color w:val="000000"/>
              </w:rPr>
              <w:t>-0.542***</w:t>
            </w:r>
            <w:r>
              <w:rPr>
                <w:color w:val="000000"/>
              </w:rPr>
              <w:br/>
              <w:t>(0.073)</w:t>
            </w:r>
          </w:p>
        </w:tc>
        <w:tc>
          <w:tcPr>
            <w:tcW w:w="1417" w:type="dxa"/>
            <w:tcMar>
              <w:top w:w="15" w:type="dxa"/>
              <w:left w:w="75" w:type="dxa"/>
              <w:bottom w:w="15" w:type="dxa"/>
              <w:right w:w="75" w:type="dxa"/>
            </w:tcMar>
            <w:vAlign w:val="center"/>
            <w:hideMark/>
          </w:tcPr>
          <w:p w:rsidR="00527E3A" w:rsidRPr="00DF01C4" w:rsidRDefault="00527E3A" w:rsidP="006858C8">
            <w:pPr>
              <w:jc w:val="center"/>
            </w:pPr>
            <w:r>
              <w:rPr>
                <w:color w:val="000000"/>
              </w:rPr>
              <w:t>Slovakia</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-1.397***</w:t>
            </w:r>
            <w:r>
              <w:rPr>
                <w:color w:val="000000"/>
              </w:rPr>
              <w:br/>
              <w:t>(0.111)</w:t>
            </w:r>
          </w:p>
        </w:tc>
        <w:tc>
          <w:tcPr>
            <w:tcW w:w="1276" w:type="dxa"/>
            <w:tcMar>
              <w:top w:w="15" w:type="dxa"/>
              <w:left w:w="75" w:type="dxa"/>
              <w:bottom w:w="15" w:type="dxa"/>
              <w:right w:w="75" w:type="dxa"/>
            </w:tcMar>
            <w:vAlign w:val="center"/>
            <w:hideMark/>
          </w:tcPr>
          <w:p w:rsidR="00527E3A" w:rsidRPr="00DF01C4" w:rsidRDefault="00527E3A" w:rsidP="006858C8">
            <w:pPr>
              <w:jc w:val="center"/>
            </w:pPr>
            <w:r>
              <w:rPr>
                <w:color w:val="000000"/>
              </w:rPr>
              <w:t>France</w:t>
            </w:r>
          </w:p>
        </w:tc>
        <w:tc>
          <w:tcPr>
            <w:tcW w:w="1559" w:type="dxa"/>
            <w:tcMar>
              <w:top w:w="15" w:type="dxa"/>
              <w:left w:w="75" w:type="dxa"/>
              <w:bottom w:w="15" w:type="dxa"/>
              <w:right w:w="75" w:type="dxa"/>
            </w:tcMar>
            <w:vAlign w:val="center"/>
            <w:hideMark/>
          </w:tcPr>
          <w:p w:rsidR="00527E3A" w:rsidRPr="00DF01C4" w:rsidRDefault="00527E3A" w:rsidP="006858C8">
            <w:pPr>
              <w:jc w:val="center"/>
            </w:pPr>
            <w:r>
              <w:rPr>
                <w:color w:val="000000"/>
              </w:rPr>
              <w:t>-0.679***</w:t>
            </w:r>
            <w:r>
              <w:rPr>
                <w:color w:val="000000"/>
              </w:rPr>
              <w:br/>
              <w:t>(0.006)</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Slovakia</w:t>
            </w:r>
          </w:p>
        </w:tc>
        <w:tc>
          <w:tcPr>
            <w:tcW w:w="1418" w:type="dxa"/>
            <w:tcMar>
              <w:top w:w="15" w:type="dxa"/>
              <w:left w:w="75" w:type="dxa"/>
              <w:bottom w:w="15" w:type="dxa"/>
              <w:right w:w="75" w:type="dxa"/>
            </w:tcMar>
            <w:vAlign w:val="center"/>
            <w:hideMark/>
          </w:tcPr>
          <w:p w:rsidR="00527E3A" w:rsidRPr="00DF01C4" w:rsidRDefault="00527E3A" w:rsidP="006858C8">
            <w:pPr>
              <w:jc w:val="center"/>
            </w:pPr>
            <w:r>
              <w:rPr>
                <w:color w:val="000000"/>
              </w:rPr>
              <w:t>-1.695***</w:t>
            </w:r>
            <w:r>
              <w:rPr>
                <w:color w:val="000000"/>
              </w:rPr>
              <w:br/>
              <w:t>(0.090)</w:t>
            </w:r>
          </w:p>
        </w:tc>
      </w:tr>
      <w:tr w:rsidR="00527E3A" w:rsidRPr="00DF01C4" w:rsidTr="006858C8">
        <w:trPr>
          <w:cantSplit/>
          <w:trHeight w:val="315"/>
          <w:jc w:val="center"/>
        </w:trPr>
        <w:tc>
          <w:tcPr>
            <w:tcW w:w="1700" w:type="dxa"/>
            <w:tcMar>
              <w:top w:w="15" w:type="dxa"/>
              <w:left w:w="75" w:type="dxa"/>
              <w:bottom w:w="15" w:type="dxa"/>
              <w:right w:w="75" w:type="dxa"/>
            </w:tcMar>
            <w:vAlign w:val="center"/>
            <w:hideMark/>
          </w:tcPr>
          <w:p w:rsidR="00527E3A" w:rsidRPr="00DF01C4" w:rsidRDefault="00527E3A" w:rsidP="006858C8">
            <w:pPr>
              <w:jc w:val="center"/>
            </w:pPr>
            <w:r>
              <w:rPr>
                <w:color w:val="000000"/>
              </w:rPr>
              <w:t>Germany</w:t>
            </w:r>
          </w:p>
        </w:tc>
        <w:tc>
          <w:tcPr>
            <w:tcW w:w="1556" w:type="dxa"/>
            <w:tcMar>
              <w:top w:w="15" w:type="dxa"/>
              <w:left w:w="75" w:type="dxa"/>
              <w:bottom w:w="15" w:type="dxa"/>
              <w:right w:w="75" w:type="dxa"/>
            </w:tcMar>
            <w:vAlign w:val="center"/>
            <w:hideMark/>
          </w:tcPr>
          <w:p w:rsidR="00527E3A" w:rsidRPr="00DF01C4" w:rsidRDefault="00527E3A" w:rsidP="006858C8">
            <w:pPr>
              <w:jc w:val="center"/>
            </w:pPr>
            <w:r>
              <w:rPr>
                <w:color w:val="000000"/>
              </w:rPr>
              <w:t>-0.615***</w:t>
            </w:r>
            <w:r>
              <w:rPr>
                <w:color w:val="000000"/>
              </w:rPr>
              <w:br/>
              <w:t>(0.070)</w:t>
            </w:r>
          </w:p>
        </w:tc>
        <w:tc>
          <w:tcPr>
            <w:tcW w:w="1417" w:type="dxa"/>
            <w:tcMar>
              <w:top w:w="15" w:type="dxa"/>
              <w:left w:w="75" w:type="dxa"/>
              <w:bottom w:w="15" w:type="dxa"/>
              <w:right w:w="75" w:type="dxa"/>
            </w:tcMar>
            <w:vAlign w:val="center"/>
            <w:hideMark/>
          </w:tcPr>
          <w:p w:rsidR="00527E3A" w:rsidRPr="00DF01C4" w:rsidRDefault="00527E3A" w:rsidP="006858C8">
            <w:pPr>
              <w:jc w:val="center"/>
            </w:pPr>
            <w:r>
              <w:rPr>
                <w:color w:val="000000"/>
              </w:rPr>
              <w:t>Slovenia</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-1.229***</w:t>
            </w:r>
            <w:r>
              <w:rPr>
                <w:color w:val="000000"/>
              </w:rPr>
              <w:br/>
              <w:t>(0.161)</w:t>
            </w:r>
          </w:p>
        </w:tc>
        <w:tc>
          <w:tcPr>
            <w:tcW w:w="1276" w:type="dxa"/>
            <w:tcMar>
              <w:top w:w="15" w:type="dxa"/>
              <w:left w:w="75" w:type="dxa"/>
              <w:bottom w:w="15" w:type="dxa"/>
              <w:right w:w="75" w:type="dxa"/>
            </w:tcMar>
            <w:vAlign w:val="center"/>
            <w:hideMark/>
          </w:tcPr>
          <w:p w:rsidR="00527E3A" w:rsidRPr="00DF01C4" w:rsidRDefault="00527E3A" w:rsidP="006858C8">
            <w:pPr>
              <w:jc w:val="center"/>
            </w:pPr>
            <w:r>
              <w:rPr>
                <w:color w:val="000000"/>
              </w:rPr>
              <w:t>Germany</w:t>
            </w:r>
          </w:p>
        </w:tc>
        <w:tc>
          <w:tcPr>
            <w:tcW w:w="1559" w:type="dxa"/>
            <w:tcMar>
              <w:top w:w="15" w:type="dxa"/>
              <w:left w:w="75" w:type="dxa"/>
              <w:bottom w:w="15" w:type="dxa"/>
              <w:right w:w="75" w:type="dxa"/>
            </w:tcMar>
            <w:vAlign w:val="center"/>
            <w:hideMark/>
          </w:tcPr>
          <w:p w:rsidR="00527E3A" w:rsidRPr="00DF01C4" w:rsidRDefault="00527E3A" w:rsidP="006858C8">
            <w:pPr>
              <w:jc w:val="center"/>
            </w:pPr>
            <w:r>
              <w:rPr>
                <w:color w:val="000000"/>
              </w:rPr>
              <w:t>-0.781***</w:t>
            </w:r>
            <w:r>
              <w:rPr>
                <w:color w:val="000000"/>
              </w:rPr>
              <w:br/>
              <w:t>(0.027)</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Slovenia</w:t>
            </w:r>
          </w:p>
        </w:tc>
        <w:tc>
          <w:tcPr>
            <w:tcW w:w="1418" w:type="dxa"/>
            <w:tcMar>
              <w:top w:w="15" w:type="dxa"/>
              <w:left w:w="75" w:type="dxa"/>
              <w:bottom w:w="15" w:type="dxa"/>
              <w:right w:w="75" w:type="dxa"/>
            </w:tcMar>
            <w:vAlign w:val="center"/>
            <w:hideMark/>
          </w:tcPr>
          <w:p w:rsidR="00527E3A" w:rsidRPr="00DF01C4" w:rsidRDefault="00527E3A" w:rsidP="006858C8">
            <w:pPr>
              <w:jc w:val="center"/>
            </w:pPr>
            <w:r>
              <w:rPr>
                <w:color w:val="000000"/>
              </w:rPr>
              <w:t>-1.355***</w:t>
            </w:r>
            <w:r>
              <w:rPr>
                <w:color w:val="000000"/>
              </w:rPr>
              <w:br/>
              <w:t>(0.151)</w:t>
            </w:r>
          </w:p>
        </w:tc>
      </w:tr>
      <w:tr w:rsidR="00527E3A" w:rsidRPr="00DF01C4" w:rsidTr="006858C8">
        <w:trPr>
          <w:cantSplit/>
          <w:trHeight w:val="315"/>
          <w:jc w:val="center"/>
        </w:trPr>
        <w:tc>
          <w:tcPr>
            <w:tcW w:w="1700" w:type="dxa"/>
            <w:tcMar>
              <w:top w:w="15" w:type="dxa"/>
              <w:left w:w="75" w:type="dxa"/>
              <w:bottom w:w="15" w:type="dxa"/>
              <w:right w:w="75" w:type="dxa"/>
            </w:tcMar>
            <w:vAlign w:val="center"/>
            <w:hideMark/>
          </w:tcPr>
          <w:p w:rsidR="00527E3A" w:rsidRPr="00DF01C4" w:rsidRDefault="00527E3A" w:rsidP="006858C8">
            <w:pPr>
              <w:jc w:val="center"/>
            </w:pPr>
            <w:r>
              <w:rPr>
                <w:color w:val="000000"/>
              </w:rPr>
              <w:t>Greece</w:t>
            </w:r>
          </w:p>
        </w:tc>
        <w:tc>
          <w:tcPr>
            <w:tcW w:w="1556" w:type="dxa"/>
            <w:tcMar>
              <w:top w:w="15" w:type="dxa"/>
              <w:left w:w="75" w:type="dxa"/>
              <w:bottom w:w="15" w:type="dxa"/>
              <w:right w:w="75" w:type="dxa"/>
            </w:tcMar>
            <w:vAlign w:val="center"/>
            <w:hideMark/>
          </w:tcPr>
          <w:p w:rsidR="00527E3A" w:rsidRPr="00DF01C4" w:rsidRDefault="00527E3A" w:rsidP="006858C8">
            <w:pPr>
              <w:jc w:val="center"/>
            </w:pPr>
            <w:r>
              <w:rPr>
                <w:color w:val="000000"/>
              </w:rPr>
              <w:t>-0.778***</w:t>
            </w:r>
            <w:r>
              <w:rPr>
                <w:color w:val="000000"/>
              </w:rPr>
              <w:br/>
              <w:t>(0.062)</w:t>
            </w:r>
          </w:p>
        </w:tc>
        <w:tc>
          <w:tcPr>
            <w:tcW w:w="1417" w:type="dxa"/>
            <w:tcMar>
              <w:top w:w="15" w:type="dxa"/>
              <w:left w:w="75" w:type="dxa"/>
              <w:bottom w:w="15" w:type="dxa"/>
              <w:right w:w="75" w:type="dxa"/>
            </w:tcMar>
            <w:vAlign w:val="center"/>
            <w:hideMark/>
          </w:tcPr>
          <w:p w:rsidR="00527E3A" w:rsidRPr="00DF01C4" w:rsidRDefault="00527E3A" w:rsidP="006858C8">
            <w:pPr>
              <w:jc w:val="center"/>
            </w:pPr>
            <w:r>
              <w:rPr>
                <w:color w:val="000000"/>
              </w:rPr>
              <w:t>Spain</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-0.465**</w:t>
            </w:r>
            <w:r>
              <w:rPr>
                <w:color w:val="000000"/>
              </w:rPr>
              <w:br/>
              <w:t>(0.106)</w:t>
            </w:r>
          </w:p>
        </w:tc>
        <w:tc>
          <w:tcPr>
            <w:tcW w:w="1276" w:type="dxa"/>
            <w:tcMar>
              <w:top w:w="15" w:type="dxa"/>
              <w:left w:w="75" w:type="dxa"/>
              <w:bottom w:w="15" w:type="dxa"/>
              <w:right w:w="75" w:type="dxa"/>
            </w:tcMar>
            <w:vAlign w:val="center"/>
            <w:hideMark/>
          </w:tcPr>
          <w:p w:rsidR="00527E3A" w:rsidRPr="00DF01C4" w:rsidRDefault="00527E3A" w:rsidP="006858C8">
            <w:pPr>
              <w:jc w:val="center"/>
            </w:pPr>
            <w:r>
              <w:rPr>
                <w:color w:val="000000"/>
              </w:rPr>
              <w:t>Greece</w:t>
            </w:r>
          </w:p>
        </w:tc>
        <w:tc>
          <w:tcPr>
            <w:tcW w:w="1559" w:type="dxa"/>
            <w:tcMar>
              <w:top w:w="15" w:type="dxa"/>
              <w:left w:w="75" w:type="dxa"/>
              <w:bottom w:w="15" w:type="dxa"/>
              <w:right w:w="75" w:type="dxa"/>
            </w:tcMar>
            <w:vAlign w:val="center"/>
            <w:hideMark/>
          </w:tcPr>
          <w:p w:rsidR="00527E3A" w:rsidRPr="00DF01C4" w:rsidRDefault="00527E3A" w:rsidP="006858C8">
            <w:pPr>
              <w:jc w:val="center"/>
            </w:pPr>
            <w:r>
              <w:rPr>
                <w:color w:val="000000"/>
              </w:rPr>
              <w:t>-0.997***</w:t>
            </w:r>
            <w:r>
              <w:rPr>
                <w:color w:val="000000"/>
              </w:rPr>
              <w:br/>
              <w:t>(0.035)</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Spain</w:t>
            </w:r>
          </w:p>
        </w:tc>
        <w:tc>
          <w:tcPr>
            <w:tcW w:w="1418" w:type="dxa"/>
            <w:tcMar>
              <w:top w:w="15" w:type="dxa"/>
              <w:left w:w="75" w:type="dxa"/>
              <w:bottom w:w="15" w:type="dxa"/>
              <w:right w:w="75" w:type="dxa"/>
            </w:tcMar>
            <w:vAlign w:val="center"/>
            <w:hideMark/>
          </w:tcPr>
          <w:p w:rsidR="00527E3A" w:rsidRPr="00DF01C4" w:rsidRDefault="00527E3A" w:rsidP="006858C8">
            <w:pPr>
              <w:jc w:val="center"/>
            </w:pPr>
            <w:r>
              <w:rPr>
                <w:color w:val="000000"/>
              </w:rPr>
              <w:t>-0.572***</w:t>
            </w:r>
            <w:r>
              <w:rPr>
                <w:color w:val="000000"/>
              </w:rPr>
              <w:br/>
              <w:t>(0.067)</w:t>
            </w:r>
          </w:p>
        </w:tc>
      </w:tr>
      <w:tr w:rsidR="00527E3A" w:rsidRPr="00DF01C4" w:rsidTr="006858C8">
        <w:trPr>
          <w:cantSplit/>
          <w:trHeight w:val="315"/>
          <w:jc w:val="center"/>
        </w:trPr>
        <w:tc>
          <w:tcPr>
            <w:tcW w:w="1700" w:type="dxa"/>
            <w:tcMar>
              <w:top w:w="15" w:type="dxa"/>
              <w:left w:w="75" w:type="dxa"/>
              <w:bottom w:w="15" w:type="dxa"/>
              <w:right w:w="75" w:type="dxa"/>
            </w:tcMar>
            <w:vAlign w:val="center"/>
            <w:hideMark/>
          </w:tcPr>
          <w:p w:rsidR="00527E3A" w:rsidRPr="00DF01C4" w:rsidRDefault="00527E3A" w:rsidP="006858C8">
            <w:pPr>
              <w:jc w:val="center"/>
            </w:pPr>
            <w:r>
              <w:rPr>
                <w:color w:val="000000"/>
              </w:rPr>
              <w:t>Hungary</w:t>
            </w:r>
          </w:p>
        </w:tc>
        <w:tc>
          <w:tcPr>
            <w:tcW w:w="1556" w:type="dxa"/>
            <w:tcMar>
              <w:top w:w="15" w:type="dxa"/>
              <w:left w:w="75" w:type="dxa"/>
              <w:bottom w:w="15" w:type="dxa"/>
              <w:right w:w="75" w:type="dxa"/>
            </w:tcMar>
            <w:vAlign w:val="center"/>
            <w:hideMark/>
          </w:tcPr>
          <w:p w:rsidR="00527E3A" w:rsidRPr="00DF01C4" w:rsidRDefault="00527E3A" w:rsidP="006858C8">
            <w:pPr>
              <w:jc w:val="center"/>
            </w:pPr>
            <w:r>
              <w:rPr>
                <w:color w:val="000000"/>
              </w:rPr>
              <w:t>-1.064***</w:t>
            </w:r>
            <w:r>
              <w:rPr>
                <w:color w:val="000000"/>
              </w:rPr>
              <w:br/>
              <w:t>(0.111)</w:t>
            </w:r>
          </w:p>
        </w:tc>
        <w:tc>
          <w:tcPr>
            <w:tcW w:w="1417" w:type="dxa"/>
            <w:tcMar>
              <w:top w:w="15" w:type="dxa"/>
              <w:left w:w="75" w:type="dxa"/>
              <w:bottom w:w="15" w:type="dxa"/>
              <w:right w:w="75" w:type="dxa"/>
            </w:tcMar>
            <w:vAlign w:val="center"/>
            <w:hideMark/>
          </w:tcPr>
          <w:p w:rsidR="00527E3A" w:rsidRPr="00DF01C4" w:rsidRDefault="00527E3A" w:rsidP="006858C8">
            <w:pPr>
              <w:jc w:val="center"/>
            </w:pPr>
            <w:r>
              <w:rPr>
                <w:color w:val="000000"/>
              </w:rPr>
              <w:t>Sweden</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-0.825***</w:t>
            </w:r>
            <w:r>
              <w:rPr>
                <w:color w:val="000000"/>
              </w:rPr>
              <w:br/>
              <w:t>(0.126)</w:t>
            </w:r>
          </w:p>
        </w:tc>
        <w:tc>
          <w:tcPr>
            <w:tcW w:w="1276" w:type="dxa"/>
            <w:tcMar>
              <w:top w:w="15" w:type="dxa"/>
              <w:left w:w="75" w:type="dxa"/>
              <w:bottom w:w="15" w:type="dxa"/>
              <w:right w:w="75" w:type="dxa"/>
            </w:tcMar>
            <w:vAlign w:val="center"/>
            <w:hideMark/>
          </w:tcPr>
          <w:p w:rsidR="00527E3A" w:rsidRPr="00DF01C4" w:rsidRDefault="00527E3A" w:rsidP="006858C8">
            <w:pPr>
              <w:jc w:val="center"/>
            </w:pPr>
            <w:r>
              <w:rPr>
                <w:color w:val="000000"/>
              </w:rPr>
              <w:t>Hungary</w:t>
            </w:r>
          </w:p>
        </w:tc>
        <w:tc>
          <w:tcPr>
            <w:tcW w:w="1559" w:type="dxa"/>
            <w:tcMar>
              <w:top w:w="15" w:type="dxa"/>
              <w:left w:w="75" w:type="dxa"/>
              <w:bottom w:w="15" w:type="dxa"/>
              <w:right w:w="75" w:type="dxa"/>
            </w:tcMar>
            <w:vAlign w:val="center"/>
            <w:hideMark/>
          </w:tcPr>
          <w:p w:rsidR="00527E3A" w:rsidRPr="00DF01C4" w:rsidRDefault="00527E3A" w:rsidP="006858C8">
            <w:pPr>
              <w:jc w:val="center"/>
            </w:pPr>
            <w:r>
              <w:rPr>
                <w:color w:val="000000"/>
              </w:rPr>
              <w:t>-1.190***</w:t>
            </w:r>
            <w:r>
              <w:rPr>
                <w:color w:val="000000"/>
              </w:rPr>
              <w:br/>
              <w:t>(0.064)</w:t>
            </w:r>
          </w:p>
        </w:tc>
        <w:tc>
          <w:tcPr>
            <w:tcW w:w="1701" w:type="dxa"/>
            <w:tcMar>
              <w:top w:w="15" w:type="dxa"/>
              <w:left w:w="75" w:type="dxa"/>
              <w:bottom w:w="15" w:type="dxa"/>
              <w:right w:w="75" w:type="dxa"/>
            </w:tcMar>
            <w:vAlign w:val="center"/>
            <w:hideMark/>
          </w:tcPr>
          <w:p w:rsidR="00527E3A" w:rsidRPr="00DF01C4" w:rsidRDefault="00527E3A" w:rsidP="006858C8">
            <w:pPr>
              <w:jc w:val="center"/>
            </w:pPr>
            <w:r>
              <w:rPr>
                <w:color w:val="000000"/>
              </w:rPr>
              <w:t>Sweden</w:t>
            </w:r>
          </w:p>
        </w:tc>
        <w:tc>
          <w:tcPr>
            <w:tcW w:w="1418" w:type="dxa"/>
            <w:tcMar>
              <w:top w:w="15" w:type="dxa"/>
              <w:left w:w="75" w:type="dxa"/>
              <w:bottom w:w="15" w:type="dxa"/>
              <w:right w:w="75" w:type="dxa"/>
            </w:tcMar>
            <w:vAlign w:val="center"/>
            <w:hideMark/>
          </w:tcPr>
          <w:p w:rsidR="00527E3A" w:rsidRPr="00DF01C4" w:rsidRDefault="00527E3A" w:rsidP="006858C8">
            <w:pPr>
              <w:jc w:val="center"/>
            </w:pPr>
            <w:r>
              <w:rPr>
                <w:color w:val="000000"/>
              </w:rPr>
              <w:t>-1.180***</w:t>
            </w:r>
            <w:r>
              <w:rPr>
                <w:color w:val="000000"/>
              </w:rPr>
              <w:br/>
              <w:t>(0.033)</w:t>
            </w:r>
          </w:p>
        </w:tc>
      </w:tr>
      <w:tr w:rsidR="00527E3A" w:rsidRPr="00DF01C4" w:rsidTr="006858C8">
        <w:trPr>
          <w:cantSplit/>
          <w:trHeight w:val="315"/>
          <w:jc w:val="center"/>
        </w:trPr>
        <w:tc>
          <w:tcPr>
            <w:tcW w:w="1700" w:type="dxa"/>
            <w:shd w:val="clear" w:color="auto" w:fill="F7F7F7"/>
            <w:tcMar>
              <w:top w:w="15" w:type="dxa"/>
              <w:left w:w="75" w:type="dxa"/>
              <w:bottom w:w="15" w:type="dxa"/>
              <w:right w:w="75" w:type="dxa"/>
            </w:tcMar>
            <w:vAlign w:val="center"/>
            <w:hideMark/>
          </w:tcPr>
          <w:p w:rsidR="00527E3A" w:rsidRPr="00DF01C4" w:rsidRDefault="00527E3A" w:rsidP="006858C8">
            <w:pPr>
              <w:jc w:val="center"/>
            </w:pPr>
            <w:r>
              <w:rPr>
                <w:color w:val="000000"/>
              </w:rPr>
              <w:t xml:space="preserve">Observations </w:t>
            </w:r>
          </w:p>
        </w:tc>
        <w:tc>
          <w:tcPr>
            <w:tcW w:w="10628" w:type="dxa"/>
            <w:gridSpan w:val="7"/>
            <w:shd w:val="clear" w:color="auto" w:fill="F7F7F7"/>
            <w:tcMar>
              <w:top w:w="15" w:type="dxa"/>
              <w:left w:w="75" w:type="dxa"/>
              <w:bottom w:w="15" w:type="dxa"/>
              <w:right w:w="75" w:type="dxa"/>
            </w:tcMar>
            <w:vAlign w:val="center"/>
            <w:hideMark/>
          </w:tcPr>
          <w:p w:rsidR="00527E3A" w:rsidRPr="00DF01C4" w:rsidRDefault="00527E3A" w:rsidP="006858C8">
            <w:pPr>
              <w:jc w:val="center"/>
            </w:pPr>
            <w:r>
              <w:rPr>
                <w:color w:val="000000"/>
              </w:rPr>
              <w:t>520</w:t>
            </w:r>
          </w:p>
        </w:tc>
      </w:tr>
      <w:tr w:rsidR="00527E3A" w:rsidRPr="00DF01C4" w:rsidTr="006858C8">
        <w:trPr>
          <w:cantSplit/>
          <w:trHeight w:val="315"/>
          <w:jc w:val="center"/>
        </w:trPr>
        <w:tc>
          <w:tcPr>
            <w:tcW w:w="1700" w:type="dxa"/>
            <w:shd w:val="clear" w:color="auto" w:fill="F7F7F7"/>
            <w:tcMar>
              <w:top w:w="15" w:type="dxa"/>
              <w:left w:w="75" w:type="dxa"/>
              <w:bottom w:w="15" w:type="dxa"/>
              <w:right w:w="75" w:type="dxa"/>
            </w:tcMar>
            <w:vAlign w:val="center"/>
            <w:hideMark/>
          </w:tcPr>
          <w:p w:rsidR="00527E3A" w:rsidRPr="00DF01C4" w:rsidRDefault="00527E3A" w:rsidP="006858C8">
            <w:pPr>
              <w:jc w:val="center"/>
            </w:pPr>
            <w:r>
              <w:rPr>
                <w:color w:val="000000"/>
              </w:rPr>
              <w:t xml:space="preserve">Weights </w:t>
            </w:r>
          </w:p>
        </w:tc>
        <w:tc>
          <w:tcPr>
            <w:tcW w:w="10628" w:type="dxa"/>
            <w:gridSpan w:val="7"/>
            <w:vMerge w:val="restart"/>
            <w:shd w:val="clear" w:color="auto" w:fill="F7F7F7"/>
            <w:tcMar>
              <w:top w:w="15" w:type="dxa"/>
              <w:left w:w="75" w:type="dxa"/>
              <w:bottom w:w="15" w:type="dxa"/>
              <w:right w:w="75" w:type="dxa"/>
            </w:tcMar>
            <w:vAlign w:val="center"/>
            <w:hideMark/>
          </w:tcPr>
          <w:p w:rsidR="00527E3A" w:rsidRPr="00DF01C4" w:rsidRDefault="00527E3A" w:rsidP="006858C8">
            <w:pPr>
              <w:jc w:val="center"/>
            </w:pPr>
            <w:r>
              <w:rPr>
                <w:color w:val="000000"/>
              </w:rPr>
              <w:t>YES</w:t>
            </w:r>
          </w:p>
        </w:tc>
      </w:tr>
      <w:tr w:rsidR="00527E3A" w:rsidRPr="00DF01C4" w:rsidTr="006858C8">
        <w:trPr>
          <w:cantSplit/>
          <w:trHeight w:val="315"/>
          <w:jc w:val="center"/>
        </w:trPr>
        <w:tc>
          <w:tcPr>
            <w:tcW w:w="1700" w:type="dxa"/>
            <w:shd w:val="clear" w:color="auto" w:fill="F7F7F7"/>
            <w:tcMar>
              <w:top w:w="15" w:type="dxa"/>
              <w:left w:w="75" w:type="dxa"/>
              <w:bottom w:w="15" w:type="dxa"/>
              <w:right w:w="75" w:type="dxa"/>
            </w:tcMar>
            <w:vAlign w:val="center"/>
            <w:hideMark/>
          </w:tcPr>
          <w:p w:rsidR="00527E3A" w:rsidRPr="00DF01C4" w:rsidRDefault="00527E3A" w:rsidP="006858C8">
            <w:pPr>
              <w:jc w:val="center"/>
            </w:pPr>
            <w:r>
              <w:rPr>
                <w:color w:val="000000"/>
              </w:rPr>
              <w:t>Country FE</w:t>
            </w:r>
          </w:p>
        </w:tc>
        <w:tc>
          <w:tcPr>
            <w:tcW w:w="10628" w:type="dxa"/>
            <w:gridSpan w:val="7"/>
            <w:vMerge/>
            <w:vAlign w:val="center"/>
            <w:hideMark/>
          </w:tcPr>
          <w:p w:rsidR="00527E3A" w:rsidRPr="00DF01C4" w:rsidRDefault="00527E3A" w:rsidP="006858C8"/>
        </w:tc>
      </w:tr>
      <w:tr w:rsidR="00527E3A" w:rsidRPr="00DF01C4" w:rsidTr="006858C8">
        <w:trPr>
          <w:cantSplit/>
          <w:trHeight w:val="315"/>
          <w:jc w:val="center"/>
        </w:trPr>
        <w:tc>
          <w:tcPr>
            <w:tcW w:w="1700" w:type="dxa"/>
            <w:shd w:val="clear" w:color="auto" w:fill="F7F7F7"/>
            <w:tcMar>
              <w:top w:w="15" w:type="dxa"/>
              <w:left w:w="75" w:type="dxa"/>
              <w:bottom w:w="15" w:type="dxa"/>
              <w:right w:w="75" w:type="dxa"/>
            </w:tcMar>
            <w:vAlign w:val="center"/>
            <w:hideMark/>
          </w:tcPr>
          <w:p w:rsidR="00527E3A" w:rsidRPr="00DF01C4" w:rsidRDefault="00527E3A" w:rsidP="006858C8">
            <w:pPr>
              <w:jc w:val="center"/>
            </w:pPr>
            <w:r>
              <w:rPr>
                <w:color w:val="000000"/>
              </w:rPr>
              <w:t>Time FE</w:t>
            </w:r>
          </w:p>
        </w:tc>
        <w:tc>
          <w:tcPr>
            <w:tcW w:w="10628" w:type="dxa"/>
            <w:gridSpan w:val="7"/>
            <w:vMerge/>
            <w:vAlign w:val="center"/>
            <w:hideMark/>
          </w:tcPr>
          <w:p w:rsidR="00527E3A" w:rsidRPr="00DF01C4" w:rsidRDefault="00527E3A" w:rsidP="006858C8"/>
        </w:tc>
      </w:tr>
      <w:tr w:rsidR="00527E3A" w:rsidRPr="00DF01C4" w:rsidTr="006858C8">
        <w:trPr>
          <w:cantSplit/>
          <w:trHeight w:val="315"/>
          <w:jc w:val="center"/>
        </w:trPr>
        <w:tc>
          <w:tcPr>
            <w:tcW w:w="1700" w:type="dxa"/>
            <w:shd w:val="clear" w:color="auto" w:fill="F7F7F7"/>
            <w:tcMar>
              <w:top w:w="15" w:type="dxa"/>
              <w:left w:w="75" w:type="dxa"/>
              <w:bottom w:w="15" w:type="dxa"/>
              <w:right w:w="75" w:type="dxa"/>
            </w:tcMar>
            <w:vAlign w:val="center"/>
            <w:hideMark/>
          </w:tcPr>
          <w:p w:rsidR="00527E3A" w:rsidRPr="00DF01C4" w:rsidRDefault="00527E3A" w:rsidP="006858C8">
            <w:pPr>
              <w:jc w:val="center"/>
            </w:pPr>
            <w:r>
              <w:rPr>
                <w:color w:val="000000"/>
              </w:rPr>
              <w:t xml:space="preserve">Adj. R2: </w:t>
            </w:r>
          </w:p>
        </w:tc>
        <w:tc>
          <w:tcPr>
            <w:tcW w:w="10628" w:type="dxa"/>
            <w:gridSpan w:val="7"/>
            <w:shd w:val="clear" w:color="auto" w:fill="F7F7F7"/>
            <w:tcMar>
              <w:top w:w="15" w:type="dxa"/>
              <w:left w:w="75" w:type="dxa"/>
              <w:bottom w:w="15" w:type="dxa"/>
              <w:right w:w="75" w:type="dxa"/>
            </w:tcMar>
            <w:vAlign w:val="center"/>
            <w:hideMark/>
          </w:tcPr>
          <w:p w:rsidR="00527E3A" w:rsidRPr="00DF01C4" w:rsidRDefault="00527E3A" w:rsidP="006858C8">
            <w:pPr>
              <w:jc w:val="center"/>
            </w:pPr>
            <w:r>
              <w:rPr>
                <w:color w:val="000000"/>
              </w:rPr>
              <w:t>0.98</w:t>
            </w:r>
          </w:p>
        </w:tc>
      </w:tr>
      <w:tr w:rsidR="00527E3A" w:rsidRPr="00DF01C4" w:rsidTr="006858C8">
        <w:trPr>
          <w:cantSplit/>
          <w:trHeight w:val="315"/>
          <w:jc w:val="center"/>
        </w:trPr>
        <w:tc>
          <w:tcPr>
            <w:tcW w:w="1700" w:type="dxa"/>
            <w:shd w:val="clear" w:color="auto" w:fill="F7F7F7"/>
            <w:tcMar>
              <w:top w:w="15" w:type="dxa"/>
              <w:left w:w="75" w:type="dxa"/>
              <w:bottom w:w="15" w:type="dxa"/>
              <w:right w:w="75" w:type="dxa"/>
            </w:tcMar>
            <w:vAlign w:val="center"/>
            <w:hideMark/>
          </w:tcPr>
          <w:p w:rsidR="00527E3A" w:rsidRPr="00DF01C4" w:rsidRDefault="00527E3A" w:rsidP="006858C8">
            <w:pPr>
              <w:jc w:val="center"/>
            </w:pPr>
            <w:r>
              <w:rPr>
                <w:color w:val="000000"/>
              </w:rPr>
              <w:t>Within R2:</w:t>
            </w:r>
          </w:p>
        </w:tc>
        <w:tc>
          <w:tcPr>
            <w:tcW w:w="10628" w:type="dxa"/>
            <w:gridSpan w:val="7"/>
            <w:shd w:val="clear" w:color="auto" w:fill="F7F7F7"/>
            <w:tcMar>
              <w:top w:w="15" w:type="dxa"/>
              <w:left w:w="75" w:type="dxa"/>
              <w:bottom w:w="15" w:type="dxa"/>
              <w:right w:w="75" w:type="dxa"/>
            </w:tcMar>
            <w:vAlign w:val="center"/>
            <w:hideMark/>
          </w:tcPr>
          <w:p w:rsidR="00527E3A" w:rsidRPr="00DF01C4" w:rsidRDefault="00527E3A" w:rsidP="006858C8">
            <w:pPr>
              <w:jc w:val="center"/>
            </w:pPr>
            <w:r>
              <w:rPr>
                <w:color w:val="000000"/>
              </w:rPr>
              <w:t>0.84</w:t>
            </w:r>
          </w:p>
        </w:tc>
      </w:tr>
    </w:tbl>
    <w:p w:rsidR="00527E3A" w:rsidRPr="00DF01C4" w:rsidRDefault="00527E3A" w:rsidP="00527E3A">
      <w:pPr>
        <w:spacing w:line="360" w:lineRule="auto"/>
        <w:sectPr w:rsidR="00527E3A" w:rsidRPr="00DF01C4" w:rsidSect="00DF01C4">
          <w:type w:val="continuous"/>
          <w:pgSz w:w="15840" w:h="12240" w:orient="landscape"/>
          <w:pgMar w:top="792" w:right="792" w:bottom="792" w:left="792" w:header="432" w:footer="432" w:gutter="0"/>
          <w:lnNumType w:countBy="1" w:restart="continuous"/>
          <w:cols w:space="720"/>
          <w:docGrid w:linePitch="360"/>
        </w:sectPr>
      </w:pPr>
    </w:p>
    <w:p w:rsidR="00527E3A" w:rsidRPr="00DF01C4" w:rsidRDefault="00527E3A" w:rsidP="00527E3A">
      <w:pPr>
        <w:pStyle w:val="Heading1"/>
        <w:spacing w:before="0" w:beforeAutospacing="0" w:after="0" w:afterAutospacing="0" w:line="360" w:lineRule="auto"/>
        <w:rPr>
          <w:sz w:val="24"/>
          <w:szCs w:val="24"/>
        </w:rPr>
      </w:pPr>
      <w:r>
        <w:rPr>
          <w:sz w:val="24"/>
          <w:szCs w:val="24"/>
        </w:rPr>
        <w:lastRenderedPageBreak/>
        <w:t>A6. Income-contingent loan calibration</w:t>
      </w:r>
    </w:p>
    <w:p w:rsidR="00527E3A" w:rsidRPr="00DF01C4" w:rsidRDefault="00527E3A" w:rsidP="00527E3A">
      <w:pPr>
        <w:pStyle w:val="Heading2"/>
        <w:spacing w:before="0" w:beforeAutospacing="0" w:after="0" w:afterAutospacing="0" w:line="360" w:lineRule="auto"/>
        <w:rPr>
          <w:sz w:val="24"/>
          <w:szCs w:val="24"/>
        </w:rPr>
      </w:pPr>
      <w:r>
        <w:rPr>
          <w:sz w:val="24"/>
          <w:szCs w:val="24"/>
        </w:rPr>
        <w:t>A6.1 RPI calibration</w:t>
      </w:r>
    </w:p>
    <w:p w:rsidR="00527E3A" w:rsidRPr="00DF01C4" w:rsidRDefault="00527E3A" w:rsidP="00527E3A">
      <w:pPr>
        <w:keepLines/>
        <w:spacing w:line="360" w:lineRule="auto"/>
        <w:ind w:firstLine="360"/>
        <w:jc w:val="both"/>
      </w:pPr>
      <w:r>
        <w:rPr>
          <w:color w:val="000000"/>
        </w:rPr>
        <w:t>Student-loan interest-rate years change in September, while the repayment projection is organized from April to March. Each calibration year uses five months from the earlier rate year and seven months from the later rate year. The weighted RPI is 1.9583% for April 2021 to March 2022 and 3.6583% for April 2025 to March 2026.</w:t>
      </w:r>
    </w:p>
    <w:p w:rsidR="00527E3A" w:rsidRPr="00DF01C4" w:rsidRDefault="00527E3A" w:rsidP="00527E3A">
      <w:pPr>
        <w:keepNext/>
        <w:keepLines/>
        <w:spacing w:line="360" w:lineRule="auto"/>
        <w:jc w:val="center"/>
      </w:pPr>
      <w:r>
        <w:rPr>
          <w:noProof/>
        </w:rPr>
        <w:drawing>
          <wp:inline distT="0" distB="0" distL="0" distR="0" wp14:anchorId="2D9C3759" wp14:editId="5D0419F0">
            <wp:extent cx="5943600" cy="2742295"/>
            <wp:effectExtent l="0" t="0" r="0" b="0"/>
            <wp:docPr id="2" name="Picture 2" descr="Timeline showing the weighted RPI calibration for the 2021-2022 and 2025-2026 repayment years." title="Figure 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a2.png"/>
                    <pic:cNvPicPr/>
                  </pic:nvPicPr>
                  <pic:blipFill>
                    <a:blip r:embed="rId8"/>
                    <a:stretch>
                      <a:fillRect/>
                    </a:stretch>
                  </pic:blipFill>
                  <pic:spPr>
                    <a:xfrm>
                      <a:off x="0" y="0"/>
                      <a:ext cx="5943600" cy="2742295"/>
                    </a:xfrm>
                    <a:prstGeom prst="rect">
                      <a:avLst/>
                    </a:prstGeom>
                  </pic:spPr>
                </pic:pic>
              </a:graphicData>
            </a:graphic>
          </wp:inline>
        </w:drawing>
      </w:r>
    </w:p>
    <w:p w:rsidR="00527E3A" w:rsidRPr="00DF01C4" w:rsidRDefault="00527E3A" w:rsidP="00527E3A">
      <w:pPr>
        <w:keepNext/>
        <w:keepLines/>
        <w:spacing w:line="360" w:lineRule="auto"/>
      </w:pPr>
      <w:r>
        <w:rPr>
          <w:b/>
          <w:color w:val="000000"/>
        </w:rPr>
        <w:t>Figure A2</w:t>
      </w:r>
      <w:r>
        <w:t xml:space="preserve">. </w:t>
      </w:r>
      <w:r>
        <w:rPr>
          <w:i/>
          <w:color w:val="000000"/>
        </w:rPr>
        <w:t>Plan 2 RPI calibration across the two repayment years</w:t>
      </w:r>
    </w:p>
    <w:p w:rsidR="00527E3A" w:rsidRPr="00DF01C4" w:rsidRDefault="00527E3A" w:rsidP="00527E3A">
      <w:pPr>
        <w:spacing w:line="360" w:lineRule="auto"/>
      </w:pPr>
      <w:r>
        <w:rPr>
          <w:i/>
          <w:color w:val="000000"/>
        </w:rPr>
        <w:t xml:space="preserve">Note. </w:t>
      </w:r>
      <w:r>
        <w:rPr>
          <w:color w:val="000000"/>
        </w:rPr>
        <w:t xml:space="preserve">Five months cover April through August and seven months cover September through March. Source values come from the Student Loans Company announcements listed in the references </w:t>
      </w:r>
      <w:r>
        <w:t>(Student Loans Company, 2020, 2021, 2024, 2025)</w:t>
      </w:r>
    </w:p>
    <w:p w:rsidR="00527E3A" w:rsidRPr="00DF01C4" w:rsidRDefault="00527E3A" w:rsidP="00527E3A">
      <w:pPr>
        <w:pStyle w:val="Heading2"/>
        <w:pageBreakBefore/>
        <w:spacing w:before="0" w:beforeAutospacing="0" w:after="0" w:afterAutospacing="0" w:line="360" w:lineRule="auto"/>
        <w:rPr>
          <w:sz w:val="24"/>
          <w:szCs w:val="24"/>
        </w:rPr>
      </w:pPr>
      <w:r>
        <w:rPr>
          <w:sz w:val="24"/>
          <w:szCs w:val="24"/>
        </w:rPr>
        <w:lastRenderedPageBreak/>
        <w:t>A6.2 Overseas earnings thresholds</w:t>
      </w:r>
    </w:p>
    <w:p w:rsidR="00527E3A" w:rsidRPr="00EE1E62" w:rsidRDefault="00527E3A" w:rsidP="00527E3A">
      <w:pPr>
        <w:keepLines/>
        <w:spacing w:line="360" w:lineRule="auto"/>
        <w:ind w:firstLine="360"/>
        <w:jc w:val="both"/>
        <w:rPr>
          <w:color w:val="000000"/>
        </w:rPr>
      </w:pPr>
      <w:r>
        <w:rPr>
          <w:color w:val="000000"/>
        </w:rPr>
        <w:t>Tables A3 and A4 group the treated EU origins by their Plan 2 overseas lower and upper earnings thresholds. The values are stated in pounds. The 2021-2022 schedule represents the pre-reform repayment environment, while the 2025-2026 schedule is used for the later calibration.</w:t>
      </w:r>
    </w:p>
    <w:p w:rsidR="00527E3A" w:rsidRPr="00DF01C4" w:rsidRDefault="00527E3A" w:rsidP="00527E3A">
      <w:pPr>
        <w:keepLines/>
        <w:spacing w:line="360" w:lineRule="auto"/>
        <w:jc w:val="both"/>
      </w:pPr>
    </w:p>
    <w:p w:rsidR="00527E3A" w:rsidRPr="00DF01C4" w:rsidRDefault="00527E3A" w:rsidP="00527E3A">
      <w:pPr>
        <w:keepNext/>
        <w:keepLines/>
        <w:spacing w:line="360" w:lineRule="auto"/>
      </w:pPr>
      <w:r>
        <w:rPr>
          <w:b/>
          <w:color w:val="000000"/>
        </w:rPr>
        <w:t>Table A3</w:t>
      </w:r>
    </w:p>
    <w:p w:rsidR="00527E3A" w:rsidRPr="00DF01C4" w:rsidRDefault="00527E3A" w:rsidP="00527E3A">
      <w:pPr>
        <w:keepNext/>
        <w:keepLines/>
        <w:spacing w:line="360" w:lineRule="auto"/>
      </w:pPr>
      <w:r>
        <w:rPr>
          <w:i/>
          <w:color w:val="000000"/>
        </w:rPr>
        <w:t xml:space="preserve">Plan 2 overseas earnings thresholds in 2021-2022. </w:t>
      </w:r>
    </w:p>
    <w:tbl>
      <w:tblPr>
        <w:tblW w:w="9360" w:type="dxa"/>
        <w:tblBorders>
          <w:top w:val="single" w:sz="10" w:space="0" w:color="000000"/>
          <w:left w:val="nil"/>
          <w:bottom w:val="single" w:sz="10" w:space="0" w:color="000000"/>
          <w:right w:val="nil"/>
          <w:insideH w:val="single" w:sz="4" w:space="0" w:color="D9D9D9"/>
          <w:insideV w:val="nil"/>
        </w:tblBorders>
        <w:tblLayout w:type="fixed"/>
        <w:tblLook w:val="04A0" w:firstRow="1" w:lastRow="0" w:firstColumn="1" w:lastColumn="0" w:noHBand="0" w:noVBand="1"/>
      </w:tblPr>
      <w:tblGrid>
        <w:gridCol w:w="6000"/>
        <w:gridCol w:w="1680"/>
        <w:gridCol w:w="1680"/>
      </w:tblGrid>
      <w:tr w:rsidR="00527E3A" w:rsidRPr="00DF01C4" w:rsidTr="006858C8">
        <w:trPr>
          <w:cantSplit/>
          <w:tblHeader/>
        </w:trPr>
        <w:tc>
          <w:tcPr>
            <w:tcW w:w="6000" w:type="dxa"/>
            <w:shd w:val="clear" w:color="auto" w:fill="E7E6E6"/>
            <w:tcMar>
              <w:top w:w="45" w:type="dxa"/>
              <w:left w:w="75" w:type="dxa"/>
              <w:bottom w:w="45" w:type="dxa"/>
              <w:right w:w="75" w:type="dxa"/>
            </w:tcMar>
            <w:vAlign w:val="center"/>
          </w:tcPr>
          <w:p w:rsidR="00527E3A" w:rsidRPr="00DF01C4" w:rsidRDefault="00527E3A" w:rsidP="006858C8">
            <w:pPr>
              <w:spacing w:line="360" w:lineRule="auto"/>
            </w:pPr>
            <w:r>
              <w:rPr>
                <w:b/>
                <w:color w:val="000000"/>
              </w:rPr>
              <w:t>Countries</w:t>
            </w:r>
          </w:p>
        </w:tc>
        <w:tc>
          <w:tcPr>
            <w:tcW w:w="1680" w:type="dxa"/>
            <w:shd w:val="clear" w:color="auto" w:fill="E7E6E6"/>
            <w:tcMar>
              <w:top w:w="45" w:type="dxa"/>
              <w:left w:w="75" w:type="dxa"/>
              <w:bottom w:w="45" w:type="dxa"/>
              <w:right w:w="75" w:type="dxa"/>
            </w:tcMar>
            <w:vAlign w:val="center"/>
          </w:tcPr>
          <w:p w:rsidR="00527E3A" w:rsidRPr="00DF01C4" w:rsidRDefault="00527E3A" w:rsidP="006858C8">
            <w:pPr>
              <w:spacing w:line="360" w:lineRule="auto"/>
              <w:jc w:val="center"/>
            </w:pPr>
            <w:r>
              <w:rPr>
                <w:b/>
                <w:color w:val="000000"/>
              </w:rPr>
              <w:t>Lower threshold</w:t>
            </w:r>
          </w:p>
        </w:tc>
        <w:tc>
          <w:tcPr>
            <w:tcW w:w="1680" w:type="dxa"/>
            <w:shd w:val="clear" w:color="auto" w:fill="E7E6E6"/>
            <w:tcMar>
              <w:top w:w="45" w:type="dxa"/>
              <w:left w:w="75" w:type="dxa"/>
              <w:bottom w:w="45" w:type="dxa"/>
              <w:right w:w="75" w:type="dxa"/>
            </w:tcMar>
            <w:vAlign w:val="center"/>
          </w:tcPr>
          <w:p w:rsidR="00527E3A" w:rsidRPr="00DF01C4" w:rsidRDefault="00527E3A" w:rsidP="006858C8">
            <w:pPr>
              <w:spacing w:line="360" w:lineRule="auto"/>
              <w:jc w:val="center"/>
            </w:pPr>
            <w:r>
              <w:rPr>
                <w:b/>
                <w:color w:val="000000"/>
              </w:rPr>
              <w:t>Upper threshold</w:t>
            </w:r>
          </w:p>
        </w:tc>
      </w:tr>
      <w:tr w:rsidR="00527E3A" w:rsidRPr="00DF01C4" w:rsidTr="006858C8">
        <w:trPr>
          <w:cantSplit/>
        </w:trPr>
        <w:tc>
          <w:tcPr>
            <w:tcW w:w="6000" w:type="dxa"/>
            <w:tcMar>
              <w:top w:w="45" w:type="dxa"/>
              <w:left w:w="75" w:type="dxa"/>
              <w:bottom w:w="45" w:type="dxa"/>
              <w:right w:w="75" w:type="dxa"/>
            </w:tcMar>
            <w:vAlign w:val="center"/>
          </w:tcPr>
          <w:p w:rsidR="00527E3A" w:rsidRPr="00DF01C4" w:rsidRDefault="00527E3A" w:rsidP="006858C8">
            <w:pPr>
              <w:spacing w:line="360" w:lineRule="auto"/>
            </w:pPr>
            <w:r>
              <w:rPr>
                <w:color w:val="000000"/>
              </w:rPr>
              <w:t>Bulgaria, Romania</w:t>
            </w:r>
          </w:p>
        </w:tc>
        <w:tc>
          <w:tcPr>
            <w:tcW w:w="1680" w:type="dxa"/>
            <w:tcMar>
              <w:top w:w="45" w:type="dxa"/>
              <w:left w:w="75" w:type="dxa"/>
              <w:bottom w:w="45" w:type="dxa"/>
              <w:right w:w="75" w:type="dxa"/>
            </w:tcMar>
            <w:vAlign w:val="center"/>
          </w:tcPr>
          <w:p w:rsidR="00527E3A" w:rsidRPr="00DF01C4" w:rsidRDefault="00527E3A" w:rsidP="006858C8">
            <w:pPr>
              <w:spacing w:line="360" w:lineRule="auto"/>
              <w:jc w:val="center"/>
            </w:pPr>
            <w:r>
              <w:rPr>
                <w:color w:val="000000"/>
              </w:rPr>
              <w:t>£10,920</w:t>
            </w:r>
          </w:p>
        </w:tc>
        <w:tc>
          <w:tcPr>
            <w:tcW w:w="1680" w:type="dxa"/>
            <w:tcMar>
              <w:top w:w="45" w:type="dxa"/>
              <w:left w:w="75" w:type="dxa"/>
              <w:bottom w:w="45" w:type="dxa"/>
              <w:right w:w="75" w:type="dxa"/>
            </w:tcMar>
            <w:vAlign w:val="center"/>
          </w:tcPr>
          <w:p w:rsidR="00527E3A" w:rsidRPr="00DF01C4" w:rsidRDefault="00527E3A" w:rsidP="006858C8">
            <w:pPr>
              <w:spacing w:line="360" w:lineRule="auto"/>
              <w:jc w:val="center"/>
            </w:pPr>
            <w:r>
              <w:rPr>
                <w:color w:val="000000"/>
              </w:rPr>
              <w:t>£19,655</w:t>
            </w:r>
          </w:p>
        </w:tc>
      </w:tr>
      <w:tr w:rsidR="00527E3A" w:rsidRPr="00DF01C4" w:rsidTr="006858C8">
        <w:trPr>
          <w:cantSplit/>
        </w:trPr>
        <w:tc>
          <w:tcPr>
            <w:tcW w:w="6000" w:type="dxa"/>
            <w:tcMar>
              <w:top w:w="45" w:type="dxa"/>
              <w:left w:w="75" w:type="dxa"/>
              <w:bottom w:w="45" w:type="dxa"/>
              <w:right w:w="75" w:type="dxa"/>
            </w:tcMar>
            <w:vAlign w:val="center"/>
          </w:tcPr>
          <w:p w:rsidR="00527E3A" w:rsidRPr="00DF01C4" w:rsidRDefault="00527E3A" w:rsidP="006858C8">
            <w:pPr>
              <w:spacing w:line="360" w:lineRule="auto"/>
            </w:pPr>
            <w:r>
              <w:rPr>
                <w:color w:val="000000"/>
              </w:rPr>
              <w:t>Croatia, Czech Republic, Hungary, Latvia, Lithuania, Poland, Slovakia</w:t>
            </w:r>
          </w:p>
        </w:tc>
        <w:tc>
          <w:tcPr>
            <w:tcW w:w="1680" w:type="dxa"/>
            <w:tcMar>
              <w:top w:w="45" w:type="dxa"/>
              <w:left w:w="75" w:type="dxa"/>
              <w:bottom w:w="45" w:type="dxa"/>
              <w:right w:w="75" w:type="dxa"/>
            </w:tcMar>
            <w:vAlign w:val="center"/>
          </w:tcPr>
          <w:p w:rsidR="00527E3A" w:rsidRPr="00DF01C4" w:rsidRDefault="00527E3A" w:rsidP="006858C8">
            <w:pPr>
              <w:spacing w:line="360" w:lineRule="auto"/>
              <w:jc w:val="center"/>
            </w:pPr>
            <w:r>
              <w:rPr>
                <w:color w:val="000000"/>
              </w:rPr>
              <w:t>£16,380</w:t>
            </w:r>
          </w:p>
        </w:tc>
        <w:tc>
          <w:tcPr>
            <w:tcW w:w="1680" w:type="dxa"/>
            <w:tcMar>
              <w:top w:w="45" w:type="dxa"/>
              <w:left w:w="75" w:type="dxa"/>
              <w:bottom w:w="45" w:type="dxa"/>
              <w:right w:w="75" w:type="dxa"/>
            </w:tcMar>
            <w:vAlign w:val="center"/>
          </w:tcPr>
          <w:p w:rsidR="00527E3A" w:rsidRPr="00DF01C4" w:rsidRDefault="00527E3A" w:rsidP="006858C8">
            <w:pPr>
              <w:spacing w:line="360" w:lineRule="auto"/>
              <w:jc w:val="center"/>
            </w:pPr>
            <w:r>
              <w:rPr>
                <w:color w:val="000000"/>
              </w:rPr>
              <w:t>£29,480</w:t>
            </w:r>
          </w:p>
        </w:tc>
      </w:tr>
      <w:tr w:rsidR="00527E3A" w:rsidRPr="00DF01C4" w:rsidTr="006858C8">
        <w:trPr>
          <w:cantSplit/>
        </w:trPr>
        <w:tc>
          <w:tcPr>
            <w:tcW w:w="6000" w:type="dxa"/>
            <w:tcMar>
              <w:top w:w="45" w:type="dxa"/>
              <w:left w:w="75" w:type="dxa"/>
              <w:bottom w:w="45" w:type="dxa"/>
              <w:right w:w="75" w:type="dxa"/>
            </w:tcMar>
            <w:vAlign w:val="center"/>
          </w:tcPr>
          <w:p w:rsidR="00527E3A" w:rsidRPr="00DF01C4" w:rsidRDefault="00527E3A" w:rsidP="006858C8">
            <w:pPr>
              <w:spacing w:line="360" w:lineRule="auto"/>
            </w:pPr>
            <w:r>
              <w:rPr>
                <w:color w:val="000000"/>
              </w:rPr>
              <w:t>Cyprus, Estonia, Greece, Italy, Malta, Portugal, Slovenia, Spain</w:t>
            </w:r>
          </w:p>
        </w:tc>
        <w:tc>
          <w:tcPr>
            <w:tcW w:w="1680" w:type="dxa"/>
            <w:tcMar>
              <w:top w:w="45" w:type="dxa"/>
              <w:left w:w="75" w:type="dxa"/>
              <w:bottom w:w="45" w:type="dxa"/>
              <w:right w:w="75" w:type="dxa"/>
            </w:tcMar>
            <w:vAlign w:val="center"/>
          </w:tcPr>
          <w:p w:rsidR="00527E3A" w:rsidRPr="00DF01C4" w:rsidRDefault="00527E3A" w:rsidP="006858C8">
            <w:pPr>
              <w:spacing w:line="360" w:lineRule="auto"/>
              <w:jc w:val="center"/>
            </w:pPr>
            <w:r>
              <w:rPr>
                <w:color w:val="000000"/>
              </w:rPr>
              <w:t>£21,840</w:t>
            </w:r>
          </w:p>
        </w:tc>
        <w:tc>
          <w:tcPr>
            <w:tcW w:w="1680" w:type="dxa"/>
            <w:tcMar>
              <w:top w:w="45" w:type="dxa"/>
              <w:left w:w="75" w:type="dxa"/>
              <w:bottom w:w="45" w:type="dxa"/>
              <w:right w:w="75" w:type="dxa"/>
            </w:tcMar>
            <w:vAlign w:val="center"/>
          </w:tcPr>
          <w:p w:rsidR="00527E3A" w:rsidRPr="00DF01C4" w:rsidRDefault="00527E3A" w:rsidP="006858C8">
            <w:pPr>
              <w:spacing w:line="360" w:lineRule="auto"/>
              <w:jc w:val="center"/>
            </w:pPr>
            <w:r>
              <w:rPr>
                <w:color w:val="000000"/>
              </w:rPr>
              <w:t>£39,305</w:t>
            </w:r>
          </w:p>
        </w:tc>
      </w:tr>
      <w:tr w:rsidR="00527E3A" w:rsidRPr="00DF01C4" w:rsidTr="006858C8">
        <w:trPr>
          <w:cantSplit/>
        </w:trPr>
        <w:tc>
          <w:tcPr>
            <w:tcW w:w="6000" w:type="dxa"/>
            <w:tcMar>
              <w:top w:w="45" w:type="dxa"/>
              <w:left w:w="75" w:type="dxa"/>
              <w:bottom w:w="45" w:type="dxa"/>
              <w:right w:w="75" w:type="dxa"/>
            </w:tcMar>
            <w:vAlign w:val="center"/>
          </w:tcPr>
          <w:p w:rsidR="00527E3A" w:rsidRPr="00DF01C4" w:rsidRDefault="00527E3A" w:rsidP="006858C8">
            <w:pPr>
              <w:spacing w:line="360" w:lineRule="auto"/>
            </w:pPr>
            <w:r>
              <w:rPr>
                <w:color w:val="000000"/>
              </w:rPr>
              <w:t>Austria, Belgium, Finland, France, Germany, Luxembourg, Netherlands, Sweden</w:t>
            </w:r>
          </w:p>
        </w:tc>
        <w:tc>
          <w:tcPr>
            <w:tcW w:w="1680" w:type="dxa"/>
            <w:tcMar>
              <w:top w:w="45" w:type="dxa"/>
              <w:left w:w="75" w:type="dxa"/>
              <w:bottom w:w="45" w:type="dxa"/>
              <w:right w:w="75" w:type="dxa"/>
            </w:tcMar>
            <w:vAlign w:val="center"/>
          </w:tcPr>
          <w:p w:rsidR="00527E3A" w:rsidRPr="00DF01C4" w:rsidRDefault="00527E3A" w:rsidP="006858C8">
            <w:pPr>
              <w:spacing w:line="360" w:lineRule="auto"/>
              <w:jc w:val="center"/>
            </w:pPr>
            <w:r>
              <w:rPr>
                <w:color w:val="000000"/>
              </w:rPr>
              <w:t>£27,295</w:t>
            </w:r>
          </w:p>
        </w:tc>
        <w:tc>
          <w:tcPr>
            <w:tcW w:w="1680" w:type="dxa"/>
            <w:tcMar>
              <w:top w:w="45" w:type="dxa"/>
              <w:left w:w="75" w:type="dxa"/>
              <w:bottom w:w="45" w:type="dxa"/>
              <w:right w:w="75" w:type="dxa"/>
            </w:tcMar>
            <w:vAlign w:val="center"/>
          </w:tcPr>
          <w:p w:rsidR="00527E3A" w:rsidRPr="00DF01C4" w:rsidRDefault="00527E3A" w:rsidP="006858C8">
            <w:pPr>
              <w:spacing w:line="360" w:lineRule="auto"/>
              <w:jc w:val="center"/>
            </w:pPr>
            <w:r>
              <w:rPr>
                <w:color w:val="000000"/>
              </w:rPr>
              <w:t>£49,130</w:t>
            </w:r>
          </w:p>
        </w:tc>
      </w:tr>
      <w:tr w:rsidR="00527E3A" w:rsidRPr="00DF01C4" w:rsidTr="006858C8">
        <w:trPr>
          <w:cantSplit/>
        </w:trPr>
        <w:tc>
          <w:tcPr>
            <w:tcW w:w="6000" w:type="dxa"/>
            <w:tcMar>
              <w:top w:w="45" w:type="dxa"/>
              <w:left w:w="75" w:type="dxa"/>
              <w:bottom w:w="45" w:type="dxa"/>
              <w:right w:w="75" w:type="dxa"/>
            </w:tcMar>
            <w:vAlign w:val="center"/>
          </w:tcPr>
          <w:p w:rsidR="00527E3A" w:rsidRPr="00DF01C4" w:rsidRDefault="00527E3A" w:rsidP="006858C8">
            <w:pPr>
              <w:spacing w:line="360" w:lineRule="auto"/>
            </w:pPr>
            <w:r>
              <w:rPr>
                <w:color w:val="000000"/>
              </w:rPr>
              <w:t>Denmark</w:t>
            </w:r>
          </w:p>
        </w:tc>
        <w:tc>
          <w:tcPr>
            <w:tcW w:w="1680" w:type="dxa"/>
            <w:tcMar>
              <w:top w:w="45" w:type="dxa"/>
              <w:left w:w="75" w:type="dxa"/>
              <w:bottom w:w="45" w:type="dxa"/>
              <w:right w:w="75" w:type="dxa"/>
            </w:tcMar>
            <w:vAlign w:val="center"/>
          </w:tcPr>
          <w:p w:rsidR="00527E3A" w:rsidRPr="00DF01C4" w:rsidRDefault="00527E3A" w:rsidP="006858C8">
            <w:pPr>
              <w:spacing w:line="360" w:lineRule="auto"/>
              <w:jc w:val="center"/>
            </w:pPr>
            <w:r>
              <w:rPr>
                <w:color w:val="000000"/>
              </w:rPr>
              <w:t>£32,755</w:t>
            </w:r>
          </w:p>
        </w:tc>
        <w:tc>
          <w:tcPr>
            <w:tcW w:w="1680" w:type="dxa"/>
            <w:tcMar>
              <w:top w:w="45" w:type="dxa"/>
              <w:left w:w="75" w:type="dxa"/>
              <w:bottom w:w="45" w:type="dxa"/>
              <w:right w:w="75" w:type="dxa"/>
            </w:tcMar>
            <w:vAlign w:val="center"/>
          </w:tcPr>
          <w:p w:rsidR="00527E3A" w:rsidRPr="00DF01C4" w:rsidRDefault="00527E3A" w:rsidP="006858C8">
            <w:pPr>
              <w:spacing w:line="360" w:lineRule="auto"/>
              <w:jc w:val="center"/>
            </w:pPr>
            <w:r>
              <w:rPr>
                <w:color w:val="000000"/>
              </w:rPr>
              <w:t>£58,960</w:t>
            </w:r>
          </w:p>
        </w:tc>
      </w:tr>
    </w:tbl>
    <w:p w:rsidR="00527E3A" w:rsidRPr="00EE1E62" w:rsidRDefault="00527E3A" w:rsidP="00527E3A">
      <w:pPr>
        <w:keepNext/>
        <w:keepLines/>
        <w:spacing w:line="360" w:lineRule="auto"/>
      </w:pPr>
      <w:r>
        <w:rPr>
          <w:i/>
          <w:color w:val="000000"/>
        </w:rPr>
        <w:t xml:space="preserve">Source: </w:t>
      </w:r>
      <w:r>
        <w:t>Student Loans Company (n.d.)</w:t>
      </w:r>
    </w:p>
    <w:p w:rsidR="00527E3A" w:rsidRDefault="00527E3A" w:rsidP="00527E3A">
      <w:pPr>
        <w:keepNext/>
        <w:keepLines/>
        <w:spacing w:line="360" w:lineRule="auto"/>
        <w:rPr>
          <w:b/>
          <w:color w:val="000000"/>
        </w:rPr>
      </w:pPr>
    </w:p>
    <w:p w:rsidR="00527E3A" w:rsidRPr="00DF01C4" w:rsidRDefault="00527E3A" w:rsidP="00527E3A">
      <w:pPr>
        <w:keepNext/>
        <w:keepLines/>
        <w:spacing w:line="360" w:lineRule="auto"/>
      </w:pPr>
      <w:r>
        <w:rPr>
          <w:b/>
          <w:color w:val="000000"/>
        </w:rPr>
        <w:t>Table A4</w:t>
      </w:r>
    </w:p>
    <w:p w:rsidR="00527E3A" w:rsidRPr="00DF01C4" w:rsidRDefault="00527E3A" w:rsidP="00527E3A">
      <w:pPr>
        <w:keepNext/>
        <w:keepLines/>
        <w:spacing w:line="360" w:lineRule="auto"/>
      </w:pPr>
      <w:r>
        <w:rPr>
          <w:i/>
          <w:color w:val="000000"/>
        </w:rPr>
        <w:t xml:space="preserve">Plan 2 overseas earnings thresholds in 2025-2026, Source: </w:t>
      </w:r>
      <w:r>
        <w:t>Student Loans Company (2026).</w:t>
      </w:r>
    </w:p>
    <w:tbl>
      <w:tblPr>
        <w:tblW w:w="9360" w:type="dxa"/>
        <w:tblBorders>
          <w:top w:val="single" w:sz="10" w:space="0" w:color="000000"/>
          <w:left w:val="nil"/>
          <w:bottom w:val="single" w:sz="10" w:space="0" w:color="000000"/>
          <w:right w:val="nil"/>
          <w:insideH w:val="single" w:sz="4" w:space="0" w:color="D9D9D9"/>
          <w:insideV w:val="nil"/>
        </w:tblBorders>
        <w:tblLayout w:type="fixed"/>
        <w:tblLook w:val="04A0" w:firstRow="1" w:lastRow="0" w:firstColumn="1" w:lastColumn="0" w:noHBand="0" w:noVBand="1"/>
      </w:tblPr>
      <w:tblGrid>
        <w:gridCol w:w="6000"/>
        <w:gridCol w:w="1680"/>
        <w:gridCol w:w="1680"/>
      </w:tblGrid>
      <w:tr w:rsidR="00527E3A" w:rsidRPr="00DF01C4" w:rsidTr="006858C8">
        <w:trPr>
          <w:cantSplit/>
          <w:tblHeader/>
        </w:trPr>
        <w:tc>
          <w:tcPr>
            <w:tcW w:w="6000" w:type="dxa"/>
            <w:shd w:val="clear" w:color="auto" w:fill="E7E6E6"/>
            <w:tcMar>
              <w:top w:w="45" w:type="dxa"/>
              <w:left w:w="75" w:type="dxa"/>
              <w:bottom w:w="45" w:type="dxa"/>
              <w:right w:w="75" w:type="dxa"/>
            </w:tcMar>
            <w:vAlign w:val="center"/>
          </w:tcPr>
          <w:p w:rsidR="00527E3A" w:rsidRPr="00DF01C4" w:rsidRDefault="00527E3A" w:rsidP="006858C8">
            <w:r>
              <w:rPr>
                <w:b/>
                <w:color w:val="000000"/>
              </w:rPr>
              <w:t>Countries</w:t>
            </w:r>
          </w:p>
        </w:tc>
        <w:tc>
          <w:tcPr>
            <w:tcW w:w="1680" w:type="dxa"/>
            <w:shd w:val="clear" w:color="auto" w:fill="E7E6E6"/>
            <w:tcMar>
              <w:top w:w="45" w:type="dxa"/>
              <w:left w:w="75" w:type="dxa"/>
              <w:bottom w:w="45" w:type="dxa"/>
              <w:right w:w="75" w:type="dxa"/>
            </w:tcMar>
            <w:vAlign w:val="center"/>
          </w:tcPr>
          <w:p w:rsidR="00527E3A" w:rsidRPr="00DF01C4" w:rsidRDefault="00527E3A" w:rsidP="006858C8">
            <w:pPr>
              <w:jc w:val="center"/>
            </w:pPr>
            <w:r>
              <w:rPr>
                <w:b/>
                <w:color w:val="000000"/>
              </w:rPr>
              <w:t>Lower threshold</w:t>
            </w:r>
          </w:p>
        </w:tc>
        <w:tc>
          <w:tcPr>
            <w:tcW w:w="1680" w:type="dxa"/>
            <w:shd w:val="clear" w:color="auto" w:fill="E7E6E6"/>
            <w:tcMar>
              <w:top w:w="45" w:type="dxa"/>
              <w:left w:w="75" w:type="dxa"/>
              <w:bottom w:w="45" w:type="dxa"/>
              <w:right w:w="75" w:type="dxa"/>
            </w:tcMar>
            <w:vAlign w:val="center"/>
          </w:tcPr>
          <w:p w:rsidR="00527E3A" w:rsidRPr="00DF01C4" w:rsidRDefault="00527E3A" w:rsidP="006858C8">
            <w:pPr>
              <w:jc w:val="center"/>
            </w:pPr>
            <w:r>
              <w:rPr>
                <w:b/>
                <w:color w:val="000000"/>
              </w:rPr>
              <w:t>Upper threshold</w:t>
            </w:r>
          </w:p>
        </w:tc>
      </w:tr>
      <w:tr w:rsidR="00527E3A" w:rsidRPr="00DF01C4" w:rsidTr="006858C8">
        <w:trPr>
          <w:cantSplit/>
        </w:trPr>
        <w:tc>
          <w:tcPr>
            <w:tcW w:w="6000" w:type="dxa"/>
            <w:tcMar>
              <w:top w:w="45" w:type="dxa"/>
              <w:left w:w="75" w:type="dxa"/>
              <w:bottom w:w="45" w:type="dxa"/>
              <w:right w:w="75" w:type="dxa"/>
            </w:tcMar>
            <w:vAlign w:val="center"/>
          </w:tcPr>
          <w:p w:rsidR="00527E3A" w:rsidRPr="00DF01C4" w:rsidRDefault="00527E3A" w:rsidP="006858C8">
            <w:r>
              <w:rPr>
                <w:color w:val="000000"/>
              </w:rPr>
              <w:t>Bulgaria, Romania</w:t>
            </w:r>
          </w:p>
        </w:tc>
        <w:tc>
          <w:tcPr>
            <w:tcW w:w="1680" w:type="dxa"/>
            <w:tcMar>
              <w:top w:w="45" w:type="dxa"/>
              <w:left w:w="75" w:type="dxa"/>
              <w:bottom w:w="45" w:type="dxa"/>
              <w:right w:w="75" w:type="dxa"/>
            </w:tcMar>
            <w:vAlign w:val="center"/>
          </w:tcPr>
          <w:p w:rsidR="00527E3A" w:rsidRPr="00DF01C4" w:rsidRDefault="00527E3A" w:rsidP="006858C8">
            <w:pPr>
              <w:jc w:val="center"/>
            </w:pPr>
            <w:r>
              <w:rPr>
                <w:color w:val="000000"/>
              </w:rPr>
              <w:t>£11,390</w:t>
            </w:r>
          </w:p>
        </w:tc>
        <w:tc>
          <w:tcPr>
            <w:tcW w:w="1680" w:type="dxa"/>
            <w:tcMar>
              <w:top w:w="45" w:type="dxa"/>
              <w:left w:w="75" w:type="dxa"/>
              <w:bottom w:w="45" w:type="dxa"/>
              <w:right w:w="75" w:type="dxa"/>
            </w:tcMar>
            <w:vAlign w:val="center"/>
          </w:tcPr>
          <w:p w:rsidR="00527E3A" w:rsidRPr="00DF01C4" w:rsidRDefault="00527E3A" w:rsidP="006858C8">
            <w:pPr>
              <w:jc w:val="center"/>
            </w:pPr>
            <w:r>
              <w:rPr>
                <w:color w:val="000000"/>
              </w:rPr>
              <w:t>£20,500</w:t>
            </w:r>
          </w:p>
        </w:tc>
      </w:tr>
      <w:tr w:rsidR="00527E3A" w:rsidRPr="00DF01C4" w:rsidTr="006858C8">
        <w:trPr>
          <w:cantSplit/>
          <w:trHeight w:val="142"/>
        </w:trPr>
        <w:tc>
          <w:tcPr>
            <w:tcW w:w="6000" w:type="dxa"/>
            <w:tcMar>
              <w:top w:w="45" w:type="dxa"/>
              <w:left w:w="75" w:type="dxa"/>
              <w:bottom w:w="45" w:type="dxa"/>
              <w:right w:w="75" w:type="dxa"/>
            </w:tcMar>
            <w:vAlign w:val="center"/>
          </w:tcPr>
          <w:p w:rsidR="00527E3A" w:rsidRPr="00EE1E62" w:rsidRDefault="00527E3A" w:rsidP="006858C8">
            <w:pPr>
              <w:rPr>
                <w:color w:val="000000"/>
              </w:rPr>
            </w:pPr>
            <w:r>
              <w:rPr>
                <w:color w:val="000000"/>
              </w:rPr>
              <w:t>Croatia, Czech Republic, Greece, Hungary, Latvia, Lithuania, Poland, Portugal, Slovakia</w:t>
            </w:r>
          </w:p>
        </w:tc>
        <w:tc>
          <w:tcPr>
            <w:tcW w:w="1680" w:type="dxa"/>
            <w:tcMar>
              <w:top w:w="45" w:type="dxa"/>
              <w:left w:w="75" w:type="dxa"/>
              <w:bottom w:w="45" w:type="dxa"/>
              <w:right w:w="75" w:type="dxa"/>
            </w:tcMar>
            <w:vAlign w:val="center"/>
          </w:tcPr>
          <w:p w:rsidR="00527E3A" w:rsidRPr="00EE1E62" w:rsidRDefault="00527E3A" w:rsidP="006858C8">
            <w:pPr>
              <w:jc w:val="center"/>
              <w:rPr>
                <w:color w:val="000000"/>
              </w:rPr>
            </w:pPr>
            <w:r>
              <w:rPr>
                <w:color w:val="000000"/>
              </w:rPr>
              <w:t>£17,085</w:t>
            </w:r>
          </w:p>
        </w:tc>
        <w:tc>
          <w:tcPr>
            <w:tcW w:w="1680" w:type="dxa"/>
            <w:tcMar>
              <w:top w:w="45" w:type="dxa"/>
              <w:left w:w="75" w:type="dxa"/>
              <w:bottom w:w="45" w:type="dxa"/>
              <w:right w:w="75" w:type="dxa"/>
            </w:tcMar>
            <w:vAlign w:val="center"/>
          </w:tcPr>
          <w:p w:rsidR="00527E3A" w:rsidRPr="00EE1E62" w:rsidRDefault="00527E3A" w:rsidP="006858C8">
            <w:pPr>
              <w:jc w:val="center"/>
              <w:rPr>
                <w:color w:val="000000"/>
              </w:rPr>
            </w:pPr>
            <w:r>
              <w:rPr>
                <w:color w:val="000000"/>
              </w:rPr>
              <w:t>£30,750</w:t>
            </w:r>
          </w:p>
        </w:tc>
      </w:tr>
      <w:tr w:rsidR="00527E3A" w:rsidRPr="00DF01C4" w:rsidTr="006858C8">
        <w:trPr>
          <w:cantSplit/>
          <w:trHeight w:val="96"/>
        </w:trPr>
        <w:tc>
          <w:tcPr>
            <w:tcW w:w="6000" w:type="dxa"/>
            <w:tcMar>
              <w:top w:w="45" w:type="dxa"/>
              <w:left w:w="75" w:type="dxa"/>
              <w:bottom w:w="45" w:type="dxa"/>
              <w:right w:w="75" w:type="dxa"/>
            </w:tcMar>
            <w:vAlign w:val="center"/>
          </w:tcPr>
          <w:p w:rsidR="00527E3A" w:rsidRPr="00EE1E62" w:rsidRDefault="00527E3A" w:rsidP="006858C8">
            <w:pPr>
              <w:rPr>
                <w:color w:val="000000"/>
              </w:rPr>
            </w:pPr>
            <w:r>
              <w:rPr>
                <w:color w:val="000000"/>
              </w:rPr>
              <w:t>Cyprus, Estonia, France, Italy, Malta, Slovenia, Spain</w:t>
            </w:r>
          </w:p>
        </w:tc>
        <w:tc>
          <w:tcPr>
            <w:tcW w:w="1680" w:type="dxa"/>
            <w:tcMar>
              <w:top w:w="45" w:type="dxa"/>
              <w:left w:w="75" w:type="dxa"/>
              <w:bottom w:w="45" w:type="dxa"/>
              <w:right w:w="75" w:type="dxa"/>
            </w:tcMar>
            <w:vAlign w:val="center"/>
          </w:tcPr>
          <w:p w:rsidR="00527E3A" w:rsidRPr="00EE1E62" w:rsidRDefault="00527E3A" w:rsidP="006858C8">
            <w:pPr>
              <w:jc w:val="center"/>
              <w:rPr>
                <w:color w:val="000000"/>
              </w:rPr>
            </w:pPr>
            <w:r>
              <w:rPr>
                <w:color w:val="000000"/>
              </w:rPr>
              <w:t>£22,780</w:t>
            </w:r>
          </w:p>
        </w:tc>
        <w:tc>
          <w:tcPr>
            <w:tcW w:w="1680" w:type="dxa"/>
            <w:tcMar>
              <w:top w:w="45" w:type="dxa"/>
              <w:left w:w="75" w:type="dxa"/>
              <w:bottom w:w="45" w:type="dxa"/>
              <w:right w:w="75" w:type="dxa"/>
            </w:tcMar>
            <w:vAlign w:val="center"/>
          </w:tcPr>
          <w:p w:rsidR="00527E3A" w:rsidRPr="00EE1E62" w:rsidRDefault="00527E3A" w:rsidP="006858C8">
            <w:pPr>
              <w:jc w:val="center"/>
              <w:rPr>
                <w:color w:val="000000"/>
              </w:rPr>
            </w:pPr>
            <w:r>
              <w:rPr>
                <w:color w:val="000000"/>
              </w:rPr>
              <w:t>£41,000</w:t>
            </w:r>
          </w:p>
          <w:p w:rsidR="00527E3A" w:rsidRPr="00EE1E62" w:rsidRDefault="00527E3A" w:rsidP="006858C8"/>
        </w:tc>
      </w:tr>
      <w:tr w:rsidR="00527E3A" w:rsidRPr="00DF01C4" w:rsidTr="006858C8">
        <w:trPr>
          <w:cantSplit/>
          <w:trHeight w:val="31"/>
        </w:trPr>
        <w:tc>
          <w:tcPr>
            <w:tcW w:w="6000" w:type="dxa"/>
            <w:tcMar>
              <w:top w:w="45" w:type="dxa"/>
              <w:left w:w="75" w:type="dxa"/>
              <w:bottom w:w="45" w:type="dxa"/>
              <w:right w:w="75" w:type="dxa"/>
            </w:tcMar>
            <w:vAlign w:val="center"/>
          </w:tcPr>
          <w:p w:rsidR="00527E3A" w:rsidRPr="00DF01C4" w:rsidRDefault="00527E3A" w:rsidP="006858C8">
            <w:r>
              <w:rPr>
                <w:color w:val="000000"/>
              </w:rPr>
              <w:t>Austria, Belgium, Denmark, Finland, Germany, Luxembourg, Netherlands, Sweden</w:t>
            </w:r>
          </w:p>
        </w:tc>
        <w:tc>
          <w:tcPr>
            <w:tcW w:w="1680" w:type="dxa"/>
            <w:tcMar>
              <w:top w:w="45" w:type="dxa"/>
              <w:left w:w="75" w:type="dxa"/>
              <w:bottom w:w="45" w:type="dxa"/>
              <w:right w:w="75" w:type="dxa"/>
            </w:tcMar>
            <w:vAlign w:val="center"/>
          </w:tcPr>
          <w:p w:rsidR="00527E3A" w:rsidRPr="00DF01C4" w:rsidRDefault="00527E3A" w:rsidP="006858C8">
            <w:pPr>
              <w:jc w:val="center"/>
            </w:pPr>
            <w:r>
              <w:rPr>
                <w:color w:val="000000"/>
              </w:rPr>
              <w:t>£28,470</w:t>
            </w:r>
          </w:p>
        </w:tc>
        <w:tc>
          <w:tcPr>
            <w:tcW w:w="1680" w:type="dxa"/>
            <w:tcMar>
              <w:top w:w="45" w:type="dxa"/>
              <w:left w:w="75" w:type="dxa"/>
              <w:bottom w:w="45" w:type="dxa"/>
              <w:right w:w="75" w:type="dxa"/>
            </w:tcMar>
            <w:vAlign w:val="center"/>
          </w:tcPr>
          <w:p w:rsidR="00527E3A" w:rsidRPr="00EE1E62" w:rsidRDefault="00527E3A" w:rsidP="006858C8">
            <w:pPr>
              <w:jc w:val="center"/>
              <w:rPr>
                <w:color w:val="000000"/>
              </w:rPr>
            </w:pPr>
            <w:r>
              <w:rPr>
                <w:color w:val="000000"/>
              </w:rPr>
              <w:t>£51,245</w:t>
            </w:r>
          </w:p>
        </w:tc>
      </w:tr>
    </w:tbl>
    <w:p w:rsidR="00527E3A" w:rsidRPr="00DF01C4" w:rsidRDefault="00527E3A" w:rsidP="00527E3A">
      <w:pPr>
        <w:pStyle w:val="Heading1"/>
        <w:pageBreakBefore/>
        <w:spacing w:before="0" w:beforeAutospacing="0" w:after="0" w:afterAutospacing="0" w:line="360" w:lineRule="auto"/>
        <w:rPr>
          <w:sz w:val="24"/>
          <w:szCs w:val="24"/>
        </w:rPr>
      </w:pPr>
      <w:r>
        <w:rPr>
          <w:sz w:val="24"/>
          <w:szCs w:val="24"/>
        </w:rPr>
        <w:lastRenderedPageBreak/>
        <w:t>References</w:t>
      </w:r>
    </w:p>
    <w:p w:rsidR="00527E3A" w:rsidRPr="00DF01C4" w:rsidRDefault="00527E3A" w:rsidP="00527E3A">
      <w:pPr>
        <w:keepLines/>
        <w:spacing w:line="360" w:lineRule="auto"/>
        <w:ind w:left="284" w:hanging="360"/>
      </w:pPr>
      <w:r>
        <w:rPr>
          <w:color w:val="000000"/>
        </w:rPr>
        <w:t xml:space="preserve">Abadie, A., &amp; </w:t>
      </w:r>
      <w:proofErr w:type="spellStart"/>
      <w:r>
        <w:rPr>
          <w:color w:val="000000"/>
        </w:rPr>
        <w:t>Cattaneo</w:t>
      </w:r>
      <w:proofErr w:type="spellEnd"/>
      <w:r>
        <w:rPr>
          <w:color w:val="000000"/>
        </w:rPr>
        <w:t xml:space="preserve">, M. D. (2018). Econometric methods for program evaluation. Annual Review of Economics, 10, 465-503. </w:t>
      </w:r>
      <w:hyperlink r:id="rId9">
        <w:r>
          <w:t>https://doi.org/10.1146/annurev-economics-080217-053402</w:t>
        </w:r>
      </w:hyperlink>
    </w:p>
    <w:p w:rsidR="00527E3A" w:rsidRPr="00DF01C4" w:rsidRDefault="00527E3A" w:rsidP="00527E3A">
      <w:pPr>
        <w:keepLines/>
        <w:spacing w:line="360" w:lineRule="auto"/>
        <w:ind w:left="284" w:hanging="360"/>
      </w:pPr>
      <w:r>
        <w:rPr>
          <w:color w:val="000000"/>
        </w:rPr>
        <w:t xml:space="preserve">Abadie, A., Diamond, A., &amp; </w:t>
      </w:r>
      <w:proofErr w:type="spellStart"/>
      <w:r>
        <w:rPr>
          <w:color w:val="000000"/>
        </w:rPr>
        <w:t>Hainmueller</w:t>
      </w:r>
      <w:proofErr w:type="spellEnd"/>
      <w:r>
        <w:rPr>
          <w:color w:val="000000"/>
        </w:rPr>
        <w:t xml:space="preserve">, J. (2010). Synthetic control methods for comparative case studies. Journal of the American Statistical Association, 105(490), 493-505. </w:t>
      </w:r>
      <w:hyperlink r:id="rId10">
        <w:r>
          <w:t>https://doi.org/10.1198/jasa.2009.ap08746</w:t>
        </w:r>
      </w:hyperlink>
    </w:p>
    <w:p w:rsidR="00527E3A" w:rsidRPr="00DF01C4" w:rsidRDefault="00527E3A" w:rsidP="00527E3A">
      <w:pPr>
        <w:keepLines/>
        <w:spacing w:line="360" w:lineRule="auto"/>
        <w:ind w:left="284" w:hanging="360"/>
      </w:pPr>
      <w:r>
        <w:rPr>
          <w:color w:val="000000"/>
        </w:rPr>
        <w:t>Clifton-</w:t>
      </w:r>
      <w:proofErr w:type="spellStart"/>
      <w:r>
        <w:rPr>
          <w:color w:val="000000"/>
        </w:rPr>
        <w:t>Sprigg</w:t>
      </w:r>
      <w:proofErr w:type="spellEnd"/>
      <w:r>
        <w:rPr>
          <w:color w:val="000000"/>
        </w:rPr>
        <w:t xml:space="preserve">, J., Homburg, I., </w:t>
      </w:r>
      <w:proofErr w:type="spellStart"/>
      <w:r>
        <w:rPr>
          <w:color w:val="000000"/>
        </w:rPr>
        <w:t>Huyghe</w:t>
      </w:r>
      <w:proofErr w:type="spellEnd"/>
      <w:r>
        <w:rPr>
          <w:color w:val="000000"/>
        </w:rPr>
        <w:t xml:space="preserve">, A., &amp; </w:t>
      </w:r>
      <w:proofErr w:type="spellStart"/>
      <w:r>
        <w:rPr>
          <w:color w:val="000000"/>
        </w:rPr>
        <w:t>Vujić</w:t>
      </w:r>
      <w:proofErr w:type="spellEnd"/>
      <w:r>
        <w:rPr>
          <w:color w:val="000000"/>
        </w:rPr>
        <w:t xml:space="preserve">, S. (2026). International student migration. Did Brexit close the door to EU students? In B. Elsner &amp; S. W. </w:t>
      </w:r>
      <w:proofErr w:type="spellStart"/>
      <w:r>
        <w:rPr>
          <w:color w:val="000000"/>
        </w:rPr>
        <w:t>Polachek</w:t>
      </w:r>
      <w:proofErr w:type="spellEnd"/>
      <w:r>
        <w:rPr>
          <w:color w:val="000000"/>
        </w:rPr>
        <w:t xml:space="preserve"> (Eds.), Migration, human capital and the labor market (Research in Labor Economics, Vol. 53A). Emerald Publishing. </w:t>
      </w:r>
      <w:hyperlink r:id="rId11">
        <w:r>
          <w:t>https://doi.org/10.1108/S0147-91212026000053A002</w:t>
        </w:r>
      </w:hyperlink>
      <w:r>
        <w:t xml:space="preserve"> </w:t>
      </w:r>
    </w:p>
    <w:p w:rsidR="00527E3A" w:rsidRDefault="00527E3A" w:rsidP="00527E3A">
      <w:pPr>
        <w:keepLines/>
        <w:spacing w:line="360" w:lineRule="auto"/>
        <w:ind w:left="284" w:hanging="360"/>
      </w:pPr>
      <w:r>
        <w:rPr>
          <w:color w:val="000000"/>
        </w:rPr>
        <w:t xml:space="preserve">Driscoll, J. C., &amp; </w:t>
      </w:r>
      <w:proofErr w:type="spellStart"/>
      <w:r>
        <w:rPr>
          <w:color w:val="000000"/>
        </w:rPr>
        <w:t>Kraay</w:t>
      </w:r>
      <w:proofErr w:type="spellEnd"/>
      <w:r>
        <w:rPr>
          <w:color w:val="000000"/>
        </w:rPr>
        <w:t xml:space="preserve">, A. C. (1998). Consistent covariance matrix estimation with spatially dependent panel data. Review of Economics and Statistics, 80(4), 549-560. </w:t>
      </w:r>
      <w:hyperlink r:id="rId12">
        <w:r>
          <w:t>https://doi.org/10.1162/003465398557825</w:t>
        </w:r>
      </w:hyperlink>
      <w:r>
        <w:t xml:space="preserve"> </w:t>
      </w:r>
    </w:p>
    <w:p w:rsidR="00527E3A" w:rsidRDefault="00527E3A" w:rsidP="00527E3A">
      <w:pPr>
        <w:keepLines/>
        <w:spacing w:line="360" w:lineRule="auto"/>
        <w:ind w:left="284" w:hanging="360"/>
      </w:pPr>
      <w:r>
        <w:t xml:space="preserve">Student Loans Company. (2020, August 11). </w:t>
      </w:r>
      <w:r>
        <w:rPr>
          <w:rStyle w:val="Emphasis"/>
          <w:rFonts w:eastAsiaTheme="majorEastAsia"/>
        </w:rPr>
        <w:t>Student loans interest rates and repayment threshold announcement</w:t>
      </w:r>
      <w:r>
        <w:t xml:space="preserve">. GOV.UK. </w:t>
      </w:r>
      <w:hyperlink r:id="rId13" w:tgtFrame="_new" w:history="1">
        <w:r>
          <w:rPr>
            <w:rStyle w:val="Hyperlink"/>
          </w:rPr>
          <w:t>https://www.gov.uk/government/news/student-loans-interest-rates-and-repayment-threshold-announcement</w:t>
        </w:r>
      </w:hyperlink>
    </w:p>
    <w:p w:rsidR="00527E3A" w:rsidRDefault="00527E3A" w:rsidP="00527E3A">
      <w:pPr>
        <w:keepLines/>
        <w:spacing w:line="360" w:lineRule="auto"/>
        <w:ind w:left="284" w:hanging="360"/>
      </w:pPr>
      <w:r>
        <w:t xml:space="preserve">Student Loans Company. (2021, August 12). </w:t>
      </w:r>
      <w:r>
        <w:rPr>
          <w:rStyle w:val="Emphasis"/>
          <w:rFonts w:eastAsiaTheme="majorEastAsia"/>
        </w:rPr>
        <w:t>Student loans interest rates and repayment threshold announcement</w:t>
      </w:r>
      <w:r>
        <w:t xml:space="preserve">. GOV.UK. </w:t>
      </w:r>
      <w:hyperlink r:id="rId14" w:tgtFrame="_new" w:history="1">
        <w:r>
          <w:rPr>
            <w:rStyle w:val="Hyperlink"/>
          </w:rPr>
          <w:t>https://www.gov.uk/government/news/student-loans-interest-rates-and-repayment-threshold-announcement--2</w:t>
        </w:r>
      </w:hyperlink>
    </w:p>
    <w:p w:rsidR="00527E3A" w:rsidRDefault="00527E3A" w:rsidP="00527E3A">
      <w:pPr>
        <w:keepLines/>
        <w:spacing w:line="360" w:lineRule="auto"/>
        <w:ind w:left="284" w:hanging="360"/>
      </w:pPr>
      <w:r>
        <w:t xml:space="preserve">Student Loans Company. (2024, August 13). </w:t>
      </w:r>
      <w:r>
        <w:rPr>
          <w:rStyle w:val="Emphasis"/>
          <w:rFonts w:eastAsiaTheme="majorEastAsia"/>
        </w:rPr>
        <w:t>Student loans interest rates and repayment threshold announcement</w:t>
      </w:r>
      <w:r>
        <w:t xml:space="preserve">. GOV.UK. </w:t>
      </w:r>
      <w:hyperlink r:id="rId15" w:tgtFrame="_new" w:history="1">
        <w:r>
          <w:rPr>
            <w:rStyle w:val="Hyperlink"/>
          </w:rPr>
          <w:t>https://www.gov.uk/government/news/student-loans-interest-rates-and-repayment-threshold-announcement--5</w:t>
        </w:r>
      </w:hyperlink>
    </w:p>
    <w:p w:rsidR="00527E3A" w:rsidRDefault="00527E3A" w:rsidP="00527E3A">
      <w:pPr>
        <w:keepLines/>
        <w:spacing w:line="360" w:lineRule="auto"/>
        <w:ind w:left="284" w:hanging="360"/>
      </w:pPr>
      <w:r>
        <w:t xml:space="preserve">Student Loans Company. (2025, August 19). </w:t>
      </w:r>
      <w:r>
        <w:rPr>
          <w:rStyle w:val="Emphasis"/>
          <w:rFonts w:eastAsiaTheme="majorEastAsia"/>
        </w:rPr>
        <w:t>Student loans interest rates and repayment threshold announcement</w:t>
      </w:r>
      <w:r>
        <w:t xml:space="preserve">. GOV.UK. </w:t>
      </w:r>
      <w:hyperlink r:id="rId16" w:tgtFrame="_new" w:history="1">
        <w:r>
          <w:rPr>
            <w:rStyle w:val="Hyperlink"/>
          </w:rPr>
          <w:t>https://www.gov.uk/government/news/student-loans-interest-rates-and-repayment-threshold-announcement--6</w:t>
        </w:r>
      </w:hyperlink>
    </w:p>
    <w:p w:rsidR="00527E3A" w:rsidRDefault="00527E3A" w:rsidP="00527E3A">
      <w:pPr>
        <w:keepLines/>
        <w:spacing w:line="480" w:lineRule="auto"/>
        <w:ind w:left="284" w:hanging="284"/>
      </w:pPr>
      <w:r>
        <w:t xml:space="preserve">Student Loans Company. (2026). Overseas earnings thresholds for Plan 2 student loans, 2025–26. GOV.UK. </w:t>
      </w:r>
      <w:hyperlink r:id="rId17" w:history="1">
        <w:r>
          <w:rPr>
            <w:rStyle w:val="Hyperlink"/>
          </w:rPr>
          <w:t>https://www.gov.uk/government/publications/overseas-earnings-thresholds-for-plan-2-student-loans/overseas-earnings-thresholds-for-plan-2-student-loans-2024-25</w:t>
        </w:r>
      </w:hyperlink>
      <w:r>
        <w:t xml:space="preserve"> </w:t>
      </w:r>
    </w:p>
    <w:p w:rsidR="00527E3A" w:rsidRPr="008866B5" w:rsidRDefault="00527E3A" w:rsidP="00527E3A">
      <w:pPr>
        <w:keepLines/>
        <w:spacing w:line="480" w:lineRule="auto"/>
        <w:ind w:left="284" w:hanging="284"/>
      </w:pPr>
      <w:r>
        <w:lastRenderedPageBreak/>
        <w:t xml:space="preserve">Student Loans Company. (n.d.). </w:t>
      </w:r>
      <w:r>
        <w:rPr>
          <w:rStyle w:val="Emphasis"/>
          <w:rFonts w:eastAsiaTheme="majorEastAsia"/>
        </w:rPr>
        <w:t>Overseas earnings thresholds for Plan 2 student loans, 2021–22</w:t>
      </w:r>
      <w:r>
        <w:t xml:space="preserve">. GOV.UK. Retrieved February 11, 2022, archived under </w:t>
      </w:r>
      <w:hyperlink r:id="rId18" w:history="1">
        <w:r>
          <w:rPr>
            <w:rStyle w:val="Hyperlink"/>
          </w:rPr>
          <w:t>https://web.archive.org/web/20220211005047/https://www.gov.uk/government/publications/overseas-earnings-thresholds-for-plan-2-student-loans/overseas-earnings-thresholds-for-plan-2-student-loans-2020-21</w:t>
        </w:r>
      </w:hyperlink>
      <w:r>
        <w:t xml:space="preserve"> </w:t>
      </w:r>
    </w:p>
    <w:p w:rsidR="00527E3A" w:rsidRPr="00DF01C4" w:rsidRDefault="00527E3A" w:rsidP="00527E3A">
      <w:pPr>
        <w:keepLines/>
        <w:spacing w:line="360" w:lineRule="auto"/>
        <w:ind w:left="720" w:hanging="720"/>
        <w:rPr>
          <w:lang w:val="bg-BG"/>
        </w:rPr>
      </w:pPr>
    </w:p>
    <w:p w:rsidR="00537F90" w:rsidRDefault="00537F90">
      <w:bookmarkStart w:id="0" w:name="_GoBack"/>
      <w:bookmarkEnd w:id="0"/>
    </w:p>
    <w:sectPr w:rsidR="00537F90" w:rsidSect="00DF01C4">
      <w:headerReference w:type="default" r:id="rId19"/>
      <w:footerReference w:type="default" r:id="rId20"/>
      <w:type w:val="continuous"/>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w:panose1 w:val="02070309020205020404"/>
    <w:charset w:val="00"/>
    <w:family w:val="auto"/>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156B" w:rsidRDefault="00527E3A">
    <w:pPr>
      <w:pStyle w:val="Footer"/>
      <w:jc w:val="center"/>
    </w:pPr>
    <w:r>
      <w:rPr>
        <w:sz w:val="18"/>
      </w:rPr>
      <w:fldChar w:fldCharType="begin"/>
    </w:r>
    <w:r>
      <w:rPr>
        <w:color w:val="000000"/>
        <w:sz w:val="18"/>
      </w:rPr>
      <w:instrText xml:space="preserve"> PAGE </w:instrText>
    </w:r>
    <w:r>
      <w:rPr>
        <w:sz w:val="18"/>
      </w:rPr>
      <w:fldChar w:fldCharType="separate"/>
    </w:r>
    <w:r>
      <w:rPr>
        <w:noProof/>
        <w:color w:val="000000"/>
        <w:sz w:val="18"/>
      </w:rPr>
      <w:t>1</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156B" w:rsidRDefault="00527E3A">
    <w:pPr>
      <w:pStyle w:val="Footer"/>
      <w:jc w:val="cent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156B" w:rsidRDefault="00527E3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156B" w:rsidRDefault="00527E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A99411"/>
    <w:multiLevelType w:val="multilevel"/>
    <w:tmpl w:val="37227AC2"/>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0" w15:restartNumberingAfterBreak="0">
    <w:nsid w:val="00A99412"/>
    <w:multiLevelType w:val="multilevel"/>
    <w:tmpl w:val="EEDE60C6"/>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11" w15:restartNumberingAfterBreak="0">
    <w:nsid w:val="00A99413"/>
    <w:multiLevelType w:val="multilevel"/>
    <w:tmpl w:val="E4E2376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12" w15:restartNumberingAfterBreak="0">
    <w:nsid w:val="00A99414"/>
    <w:multiLevelType w:val="multilevel"/>
    <w:tmpl w:val="73BA13C0"/>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13" w15:restartNumberingAfterBreak="0">
    <w:nsid w:val="00A99415"/>
    <w:multiLevelType w:val="multilevel"/>
    <w:tmpl w:val="FF12187E"/>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14" w15:restartNumberingAfterBreak="0">
    <w:nsid w:val="00A99416"/>
    <w:multiLevelType w:val="multilevel"/>
    <w:tmpl w:val="EE7E1A3A"/>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15" w15:restartNumberingAfterBreak="0">
    <w:nsid w:val="00A99417"/>
    <w:multiLevelType w:val="multilevel"/>
    <w:tmpl w:val="6EA41F8A"/>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16" w15:restartNumberingAfterBreak="0">
    <w:nsid w:val="49E922F1"/>
    <w:multiLevelType w:val="hybridMultilevel"/>
    <w:tmpl w:val="45A2BE4E"/>
    <w:lvl w:ilvl="0" w:tplc="62DAA2BA">
      <w:start w:val="1"/>
      <w:numFmt w:val="bullet"/>
      <w:lvlText w:val="●"/>
      <w:lvlJc w:val="left"/>
      <w:pPr>
        <w:ind w:left="720" w:hanging="360"/>
      </w:pPr>
    </w:lvl>
    <w:lvl w:ilvl="1" w:tplc="4AF2A5C0">
      <w:start w:val="1"/>
      <w:numFmt w:val="bullet"/>
      <w:lvlText w:val="○"/>
      <w:lvlJc w:val="left"/>
      <w:pPr>
        <w:ind w:left="1440" w:hanging="360"/>
      </w:pPr>
    </w:lvl>
    <w:lvl w:ilvl="2" w:tplc="4EBAA2B2">
      <w:start w:val="1"/>
      <w:numFmt w:val="bullet"/>
      <w:lvlText w:val="■"/>
      <w:lvlJc w:val="left"/>
      <w:pPr>
        <w:ind w:left="2160" w:hanging="360"/>
      </w:pPr>
    </w:lvl>
    <w:lvl w:ilvl="3" w:tplc="08005684">
      <w:start w:val="1"/>
      <w:numFmt w:val="bullet"/>
      <w:lvlText w:val="●"/>
      <w:lvlJc w:val="left"/>
      <w:pPr>
        <w:ind w:left="2880" w:hanging="360"/>
      </w:pPr>
    </w:lvl>
    <w:lvl w:ilvl="4" w:tplc="6CAEC70A">
      <w:start w:val="1"/>
      <w:numFmt w:val="bullet"/>
      <w:lvlText w:val="○"/>
      <w:lvlJc w:val="left"/>
      <w:pPr>
        <w:ind w:left="3600" w:hanging="360"/>
      </w:pPr>
    </w:lvl>
    <w:lvl w:ilvl="5" w:tplc="46E2BAAE">
      <w:start w:val="1"/>
      <w:numFmt w:val="bullet"/>
      <w:lvlText w:val="■"/>
      <w:lvlJc w:val="left"/>
      <w:pPr>
        <w:ind w:left="4320" w:hanging="360"/>
      </w:pPr>
    </w:lvl>
    <w:lvl w:ilvl="6" w:tplc="154421D0">
      <w:start w:val="1"/>
      <w:numFmt w:val="bullet"/>
      <w:lvlText w:val="●"/>
      <w:lvlJc w:val="left"/>
      <w:pPr>
        <w:ind w:left="5040" w:hanging="360"/>
      </w:pPr>
    </w:lvl>
    <w:lvl w:ilvl="7" w:tplc="82AECD46">
      <w:start w:val="1"/>
      <w:numFmt w:val="bullet"/>
      <w:lvlText w:val="●"/>
      <w:lvlJc w:val="left"/>
      <w:pPr>
        <w:ind w:left="5760" w:hanging="360"/>
      </w:pPr>
    </w:lvl>
    <w:lvl w:ilvl="8" w:tplc="B1ACB2B0">
      <w:start w:val="1"/>
      <w:numFmt w:val="bullet"/>
      <w:lvlText w:val="●"/>
      <w:lvlJc w:val="left"/>
      <w:pPr>
        <w:ind w:left="6480" w:hanging="360"/>
      </w:pPr>
    </w:lvl>
  </w:abstractNum>
  <w:abstractNum w:abstractNumId="17" w15:restartNumberingAfterBreak="0">
    <w:nsid w:val="66656A84"/>
    <w:multiLevelType w:val="multilevel"/>
    <w:tmpl w:val="6EA41F8A"/>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
    <w:abstractNumId w:val="11"/>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4">
    <w:abstractNumId w:val="12"/>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5">
    <w:abstractNumId w:val="11"/>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6">
    <w:abstractNumId w:val="13"/>
  </w:num>
  <w:num w:numId="7">
    <w:abstractNumId w:val="14"/>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17"/>
  </w:num>
  <w:num w:numId="11">
    <w:abstractNumId w:val="8"/>
  </w:num>
  <w:num w:numId="12">
    <w:abstractNumId w:val="6"/>
  </w:num>
  <w:num w:numId="13">
    <w:abstractNumId w:val="5"/>
  </w:num>
  <w:num w:numId="14">
    <w:abstractNumId w:val="4"/>
  </w:num>
  <w:num w:numId="15">
    <w:abstractNumId w:val="7"/>
  </w:num>
  <w:num w:numId="16">
    <w:abstractNumId w:val="3"/>
  </w:num>
  <w:num w:numId="17">
    <w:abstractNumId w:val="2"/>
  </w:num>
  <w:num w:numId="18">
    <w:abstractNumId w:val="1"/>
  </w:num>
  <w:num w:numId="19">
    <w:abstractNumId w:val="0"/>
  </w:num>
  <w:num w:numId="20">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E3A"/>
    <w:rsid w:val="00527E3A"/>
    <w:rsid w:val="00537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DFE75B-5F99-4141-8052-E1FB796FE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7E3A"/>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527E3A"/>
    <w:pPr>
      <w:spacing w:before="100" w:beforeAutospacing="1" w:after="100" w:afterAutospacing="1"/>
      <w:outlineLvl w:val="0"/>
    </w:pPr>
    <w:rPr>
      <w:b/>
      <w:bCs/>
      <w:color w:val="000000"/>
      <w:kern w:val="36"/>
      <w:sz w:val="28"/>
      <w:szCs w:val="48"/>
    </w:rPr>
  </w:style>
  <w:style w:type="paragraph" w:styleId="Heading2">
    <w:name w:val="heading 2"/>
    <w:basedOn w:val="Normal"/>
    <w:link w:val="Heading2Char"/>
    <w:uiPriority w:val="9"/>
    <w:qFormat/>
    <w:rsid w:val="00527E3A"/>
    <w:pPr>
      <w:spacing w:before="100" w:beforeAutospacing="1" w:after="100" w:afterAutospacing="1"/>
      <w:outlineLvl w:val="1"/>
    </w:pPr>
    <w:rPr>
      <w:b/>
      <w:bCs/>
      <w:color w:val="000000"/>
      <w:sz w:val="26"/>
      <w:szCs w:val="36"/>
    </w:rPr>
  </w:style>
  <w:style w:type="paragraph" w:styleId="Heading3">
    <w:name w:val="heading 3"/>
    <w:basedOn w:val="Normal"/>
    <w:next w:val="Normal"/>
    <w:link w:val="Heading3Char"/>
    <w:uiPriority w:val="9"/>
    <w:unhideWhenUsed/>
    <w:qFormat/>
    <w:rsid w:val="00527E3A"/>
    <w:pPr>
      <w:keepNext/>
      <w:keepLines/>
      <w:spacing w:before="40"/>
      <w:outlineLvl w:val="2"/>
    </w:pPr>
    <w:rPr>
      <w:rFonts w:asciiTheme="majorHAnsi" w:eastAsiaTheme="majorEastAsia" w:hAnsiTheme="majorHAnsi" w:cstheme="majorBidi"/>
      <w:color w:val="1F3763" w:themeColor="accent1" w:themeShade="7F"/>
      <w:kern w:val="2"/>
      <w14:ligatures w14:val="standardContextual"/>
    </w:rPr>
  </w:style>
  <w:style w:type="paragraph" w:styleId="Heading4">
    <w:name w:val="heading 4"/>
    <w:basedOn w:val="Normal"/>
    <w:next w:val="Normal"/>
    <w:link w:val="Heading4Char"/>
    <w:uiPriority w:val="9"/>
    <w:semiHidden/>
    <w:unhideWhenUsed/>
    <w:qFormat/>
    <w:rsid w:val="00527E3A"/>
    <w:pPr>
      <w:keepNext/>
      <w:keepLines/>
      <w:spacing w:before="200" w:line="259" w:lineRule="auto"/>
      <w:outlineLvl w:val="3"/>
    </w:pPr>
    <w:rPr>
      <w:rFonts w:asciiTheme="majorHAnsi" w:eastAsiaTheme="majorEastAsia" w:hAnsiTheme="majorHAnsi" w:cstheme="majorBidi"/>
      <w:b/>
      <w:bCs/>
      <w:i/>
      <w:iCs/>
      <w:color w:val="4472C4" w:themeColor="accent1"/>
      <w:sz w:val="22"/>
      <w:szCs w:val="22"/>
      <w:lang w:eastAsia="en-US"/>
    </w:rPr>
  </w:style>
  <w:style w:type="paragraph" w:styleId="Heading5">
    <w:name w:val="heading 5"/>
    <w:basedOn w:val="Normal"/>
    <w:next w:val="Normal"/>
    <w:link w:val="Heading5Char"/>
    <w:uiPriority w:val="9"/>
    <w:semiHidden/>
    <w:unhideWhenUsed/>
    <w:qFormat/>
    <w:rsid w:val="00527E3A"/>
    <w:pPr>
      <w:keepNext/>
      <w:keepLines/>
      <w:spacing w:before="200" w:line="259" w:lineRule="auto"/>
      <w:outlineLvl w:val="4"/>
    </w:pPr>
    <w:rPr>
      <w:rFonts w:asciiTheme="majorHAnsi" w:eastAsiaTheme="majorEastAsia" w:hAnsiTheme="majorHAnsi" w:cstheme="majorBidi"/>
      <w:color w:val="1F3763" w:themeColor="accent1" w:themeShade="7F"/>
      <w:sz w:val="22"/>
      <w:szCs w:val="22"/>
      <w:lang w:eastAsia="en-US"/>
    </w:rPr>
  </w:style>
  <w:style w:type="paragraph" w:styleId="Heading6">
    <w:name w:val="heading 6"/>
    <w:basedOn w:val="Normal"/>
    <w:next w:val="Normal"/>
    <w:link w:val="Heading6Char"/>
    <w:uiPriority w:val="9"/>
    <w:semiHidden/>
    <w:unhideWhenUsed/>
    <w:qFormat/>
    <w:rsid w:val="00527E3A"/>
    <w:pPr>
      <w:keepNext/>
      <w:keepLines/>
      <w:spacing w:before="200" w:line="259" w:lineRule="auto"/>
      <w:outlineLvl w:val="5"/>
    </w:pPr>
    <w:rPr>
      <w:rFonts w:asciiTheme="majorHAnsi" w:eastAsiaTheme="majorEastAsia" w:hAnsiTheme="majorHAnsi" w:cstheme="majorBidi"/>
      <w:i/>
      <w:iCs/>
      <w:color w:val="1F3763" w:themeColor="accent1" w:themeShade="7F"/>
      <w:sz w:val="22"/>
      <w:szCs w:val="22"/>
      <w:lang w:eastAsia="en-US"/>
    </w:rPr>
  </w:style>
  <w:style w:type="paragraph" w:styleId="Heading7">
    <w:name w:val="heading 7"/>
    <w:basedOn w:val="Normal"/>
    <w:next w:val="Normal"/>
    <w:link w:val="Heading7Char"/>
    <w:uiPriority w:val="9"/>
    <w:semiHidden/>
    <w:unhideWhenUsed/>
    <w:qFormat/>
    <w:rsid w:val="00527E3A"/>
    <w:pPr>
      <w:keepNext/>
      <w:keepLines/>
      <w:spacing w:before="200" w:line="259"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Heading8">
    <w:name w:val="heading 8"/>
    <w:basedOn w:val="Normal"/>
    <w:next w:val="Normal"/>
    <w:link w:val="Heading8Char"/>
    <w:uiPriority w:val="9"/>
    <w:semiHidden/>
    <w:unhideWhenUsed/>
    <w:qFormat/>
    <w:rsid w:val="00527E3A"/>
    <w:pPr>
      <w:keepNext/>
      <w:keepLines/>
      <w:spacing w:before="200" w:line="259" w:lineRule="auto"/>
      <w:outlineLvl w:val="7"/>
    </w:pPr>
    <w:rPr>
      <w:rFonts w:asciiTheme="majorHAnsi" w:eastAsiaTheme="majorEastAsia" w:hAnsiTheme="majorHAnsi" w:cstheme="majorBidi"/>
      <w:color w:val="4472C4" w:themeColor="accent1"/>
      <w:sz w:val="20"/>
      <w:szCs w:val="20"/>
      <w:lang w:eastAsia="en-US"/>
    </w:rPr>
  </w:style>
  <w:style w:type="paragraph" w:styleId="Heading9">
    <w:name w:val="heading 9"/>
    <w:basedOn w:val="Normal"/>
    <w:next w:val="Normal"/>
    <w:link w:val="Heading9Char"/>
    <w:uiPriority w:val="9"/>
    <w:semiHidden/>
    <w:unhideWhenUsed/>
    <w:qFormat/>
    <w:rsid w:val="00527E3A"/>
    <w:pPr>
      <w:keepNext/>
      <w:keepLines/>
      <w:spacing w:before="200" w:line="259"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E3A"/>
    <w:rPr>
      <w:rFonts w:ascii="Times New Roman" w:eastAsia="Times New Roman" w:hAnsi="Times New Roman" w:cs="Times New Roman"/>
      <w:b/>
      <w:bCs/>
      <w:color w:val="000000"/>
      <w:kern w:val="36"/>
      <w:sz w:val="28"/>
      <w:szCs w:val="48"/>
      <w:lang w:eastAsia="en-GB"/>
    </w:rPr>
  </w:style>
  <w:style w:type="character" w:customStyle="1" w:styleId="Heading2Char">
    <w:name w:val="Heading 2 Char"/>
    <w:basedOn w:val="DefaultParagraphFont"/>
    <w:link w:val="Heading2"/>
    <w:uiPriority w:val="9"/>
    <w:rsid w:val="00527E3A"/>
    <w:rPr>
      <w:rFonts w:ascii="Times New Roman" w:eastAsia="Times New Roman" w:hAnsi="Times New Roman" w:cs="Times New Roman"/>
      <w:b/>
      <w:bCs/>
      <w:color w:val="000000"/>
      <w:sz w:val="26"/>
      <w:szCs w:val="36"/>
      <w:lang w:eastAsia="en-GB"/>
    </w:rPr>
  </w:style>
  <w:style w:type="character" w:customStyle="1" w:styleId="Heading3Char">
    <w:name w:val="Heading 3 Char"/>
    <w:basedOn w:val="DefaultParagraphFont"/>
    <w:link w:val="Heading3"/>
    <w:uiPriority w:val="9"/>
    <w:rsid w:val="00527E3A"/>
    <w:rPr>
      <w:rFonts w:asciiTheme="majorHAnsi" w:eastAsiaTheme="majorEastAsia" w:hAnsiTheme="majorHAnsi" w:cstheme="majorBidi"/>
      <w:color w:val="1F3763" w:themeColor="accent1" w:themeShade="7F"/>
      <w:kern w:val="2"/>
      <w:sz w:val="24"/>
      <w:szCs w:val="24"/>
      <w:lang w:eastAsia="en-GB"/>
      <w14:ligatures w14:val="standardContextual"/>
    </w:rPr>
  </w:style>
  <w:style w:type="character" w:customStyle="1" w:styleId="Heading4Char">
    <w:name w:val="Heading 4 Char"/>
    <w:basedOn w:val="DefaultParagraphFont"/>
    <w:link w:val="Heading4"/>
    <w:uiPriority w:val="9"/>
    <w:semiHidden/>
    <w:rsid w:val="00527E3A"/>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527E3A"/>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527E3A"/>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527E3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27E3A"/>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527E3A"/>
    <w:rPr>
      <w:rFonts w:asciiTheme="majorHAnsi" w:eastAsiaTheme="majorEastAsia" w:hAnsiTheme="majorHAnsi" w:cstheme="majorBidi"/>
      <w:i/>
      <w:iCs/>
      <w:color w:val="404040" w:themeColor="text1" w:themeTint="BF"/>
      <w:sz w:val="20"/>
      <w:szCs w:val="20"/>
    </w:rPr>
  </w:style>
  <w:style w:type="numbering" w:customStyle="1" w:styleId="NoList1">
    <w:name w:val="No List1"/>
    <w:next w:val="NoList"/>
    <w:uiPriority w:val="99"/>
    <w:semiHidden/>
    <w:unhideWhenUsed/>
    <w:rsid w:val="00527E3A"/>
  </w:style>
  <w:style w:type="table" w:customStyle="1" w:styleId="Style1">
    <w:name w:val="Style1"/>
    <w:basedOn w:val="TableWeb3"/>
    <w:uiPriority w:val="99"/>
    <w:rsid w:val="00527E3A"/>
    <w:tblPr>
      <w:tblBorders>
        <w:top w:val="double" w:sz="4" w:space="0" w:color="auto"/>
        <w:left w:val="double" w:sz="4" w:space="0" w:color="auto"/>
        <w:bottom w:val="double" w:sz="4" w:space="0" w:color="auto"/>
        <w:right w:val="double" w:sz="4" w:space="0" w:color="auto"/>
        <w:insideH w:val="none" w:sz="0" w:space="0" w:color="auto"/>
        <w:insideV w:val="none" w:sz="0" w:space="0" w:color="auto"/>
      </w:tblBorders>
    </w:tblPr>
    <w:tcPr>
      <w:shd w:val="clear" w:color="auto" w:fill="auto"/>
    </w:tcPr>
    <w:tblStylePr w:type="firstRow">
      <w:rPr>
        <w:color w:val="auto"/>
      </w:rPr>
      <w:tblPr/>
      <w:tcPr>
        <w:tcBorders>
          <w:bottom w:val="single" w:sz="4" w:space="0" w:color="auto"/>
          <w:insideH w:val="double" w:sz="4" w:space="0" w:color="auto"/>
          <w:tl2br w:val="none" w:sz="0" w:space="0" w:color="auto"/>
          <w:tr2bl w:val="none" w:sz="0" w:space="0" w:color="auto"/>
        </w:tcBorders>
      </w:tcPr>
    </w:tblStylePr>
    <w:tblStylePr w:type="firstCol">
      <w:tblPr/>
      <w:tcPr>
        <w:tcBorders>
          <w:right w:val="single" w:sz="4" w:space="0" w:color="auto"/>
        </w:tcBorders>
      </w:tcPr>
    </w:tblStylePr>
  </w:style>
  <w:style w:type="table" w:styleId="TableWeb3">
    <w:name w:val="Table Web 3"/>
    <w:basedOn w:val="TableNormal"/>
    <w:uiPriority w:val="99"/>
    <w:semiHidden/>
    <w:unhideWhenUsed/>
    <w:rsid w:val="00527E3A"/>
    <w:pPr>
      <w:spacing w:after="0" w:line="240" w:lineRule="auto"/>
    </w:pPr>
    <w:rPr>
      <w:kern w:val="2"/>
      <w:sz w:val="24"/>
      <w:szCs w:val="24"/>
      <w14:ligatures w14:val="standardContextu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ormalWeb">
    <w:name w:val="Normal (Web)"/>
    <w:basedOn w:val="Normal"/>
    <w:uiPriority w:val="99"/>
    <w:unhideWhenUsed/>
    <w:rsid w:val="00527E3A"/>
    <w:pPr>
      <w:spacing w:before="100" w:beforeAutospacing="1" w:after="100" w:afterAutospacing="1"/>
    </w:pPr>
  </w:style>
  <w:style w:type="character" w:styleId="Strong">
    <w:name w:val="Strong"/>
    <w:basedOn w:val="DefaultParagraphFont"/>
    <w:uiPriority w:val="22"/>
    <w:qFormat/>
    <w:rsid w:val="00527E3A"/>
    <w:rPr>
      <w:b/>
      <w:bCs/>
    </w:rPr>
  </w:style>
  <w:style w:type="character" w:styleId="Emphasis">
    <w:name w:val="Emphasis"/>
    <w:basedOn w:val="DefaultParagraphFont"/>
    <w:uiPriority w:val="20"/>
    <w:qFormat/>
    <w:rsid w:val="00527E3A"/>
    <w:rPr>
      <w:i/>
      <w:iCs/>
    </w:rPr>
  </w:style>
  <w:style w:type="paragraph" w:styleId="HTMLPreformatted">
    <w:name w:val="HTML Preformatted"/>
    <w:basedOn w:val="Normal"/>
    <w:link w:val="HTMLPreformattedChar"/>
    <w:uiPriority w:val="99"/>
    <w:semiHidden/>
    <w:unhideWhenUsed/>
    <w:rsid w:val="00527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527E3A"/>
    <w:rPr>
      <w:rFonts w:ascii="Courier New" w:eastAsia="Times New Roman" w:hAnsi="Courier New" w:cs="Courier New"/>
      <w:sz w:val="20"/>
      <w:szCs w:val="20"/>
      <w:lang w:eastAsia="en-GB"/>
    </w:rPr>
  </w:style>
  <w:style w:type="character" w:styleId="HTMLCode">
    <w:name w:val="HTML Code"/>
    <w:basedOn w:val="DefaultParagraphFont"/>
    <w:uiPriority w:val="99"/>
    <w:semiHidden/>
    <w:unhideWhenUsed/>
    <w:rsid w:val="00527E3A"/>
    <w:rPr>
      <w:rFonts w:ascii="Courier New" w:eastAsia="Times New Roman" w:hAnsi="Courier New" w:cs="Courier New"/>
      <w:sz w:val="20"/>
      <w:szCs w:val="20"/>
    </w:rPr>
  </w:style>
  <w:style w:type="character" w:styleId="PlaceholderText">
    <w:name w:val="Placeholder Text"/>
    <w:basedOn w:val="DefaultParagraphFont"/>
    <w:uiPriority w:val="99"/>
    <w:semiHidden/>
    <w:rsid w:val="00527E3A"/>
    <w:rPr>
      <w:color w:val="666666"/>
    </w:rPr>
  </w:style>
  <w:style w:type="character" w:customStyle="1" w:styleId="katex-mathml">
    <w:name w:val="katex-mathml"/>
    <w:basedOn w:val="DefaultParagraphFont"/>
    <w:rsid w:val="00527E3A"/>
  </w:style>
  <w:style w:type="character" w:customStyle="1" w:styleId="mord">
    <w:name w:val="mord"/>
    <w:basedOn w:val="DefaultParagraphFont"/>
    <w:rsid w:val="00527E3A"/>
  </w:style>
  <w:style w:type="character" w:customStyle="1" w:styleId="vlist-s">
    <w:name w:val="vlist-s"/>
    <w:basedOn w:val="DefaultParagraphFont"/>
    <w:rsid w:val="00527E3A"/>
  </w:style>
  <w:style w:type="character" w:customStyle="1" w:styleId="mopen">
    <w:name w:val="mopen"/>
    <w:basedOn w:val="DefaultParagraphFont"/>
    <w:rsid w:val="00527E3A"/>
  </w:style>
  <w:style w:type="character" w:customStyle="1" w:styleId="mpunct">
    <w:name w:val="mpunct"/>
    <w:basedOn w:val="DefaultParagraphFont"/>
    <w:rsid w:val="00527E3A"/>
  </w:style>
  <w:style w:type="character" w:customStyle="1" w:styleId="mbin">
    <w:name w:val="mbin"/>
    <w:basedOn w:val="DefaultParagraphFont"/>
    <w:rsid w:val="00527E3A"/>
  </w:style>
  <w:style w:type="character" w:customStyle="1" w:styleId="mclose">
    <w:name w:val="mclose"/>
    <w:basedOn w:val="DefaultParagraphFont"/>
    <w:rsid w:val="00527E3A"/>
  </w:style>
  <w:style w:type="paragraph" w:styleId="ListParagraph">
    <w:name w:val="List Paragraph"/>
    <w:basedOn w:val="Normal"/>
    <w:qFormat/>
    <w:rsid w:val="00527E3A"/>
    <w:pPr>
      <w:ind w:left="720"/>
      <w:contextualSpacing/>
    </w:pPr>
    <w:rPr>
      <w:kern w:val="2"/>
      <w14:ligatures w14:val="standardContextual"/>
    </w:rPr>
  </w:style>
  <w:style w:type="character" w:customStyle="1" w:styleId="mop">
    <w:name w:val="mop"/>
    <w:basedOn w:val="DefaultParagraphFont"/>
    <w:rsid w:val="00527E3A"/>
  </w:style>
  <w:style w:type="character" w:customStyle="1" w:styleId="mrel">
    <w:name w:val="mrel"/>
    <w:basedOn w:val="DefaultParagraphFont"/>
    <w:rsid w:val="00527E3A"/>
  </w:style>
  <w:style w:type="table" w:styleId="TableGrid">
    <w:name w:val="Table Grid"/>
    <w:basedOn w:val="TableNormal"/>
    <w:uiPriority w:val="59"/>
    <w:rsid w:val="00527E3A"/>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27E3A"/>
    <w:rPr>
      <w:color w:val="0563C1" w:themeColor="hyperlink"/>
      <w:u w:val="single"/>
    </w:rPr>
  </w:style>
  <w:style w:type="character" w:styleId="UnresolvedMention">
    <w:name w:val="Unresolved Mention"/>
    <w:basedOn w:val="DefaultParagraphFont"/>
    <w:uiPriority w:val="99"/>
    <w:semiHidden/>
    <w:unhideWhenUsed/>
    <w:rsid w:val="00527E3A"/>
    <w:rPr>
      <w:color w:val="605E5C"/>
      <w:shd w:val="clear" w:color="auto" w:fill="E1DFDD"/>
    </w:rPr>
  </w:style>
  <w:style w:type="character" w:styleId="CommentReference">
    <w:name w:val="annotation reference"/>
    <w:basedOn w:val="DefaultParagraphFont"/>
    <w:uiPriority w:val="99"/>
    <w:semiHidden/>
    <w:unhideWhenUsed/>
    <w:rsid w:val="00527E3A"/>
    <w:rPr>
      <w:sz w:val="16"/>
      <w:szCs w:val="16"/>
    </w:rPr>
  </w:style>
  <w:style w:type="paragraph" w:styleId="CommentText">
    <w:name w:val="annotation text"/>
    <w:basedOn w:val="Normal"/>
    <w:link w:val="CommentTextChar"/>
    <w:uiPriority w:val="99"/>
    <w:semiHidden/>
    <w:unhideWhenUsed/>
    <w:rsid w:val="00527E3A"/>
    <w:rPr>
      <w:kern w:val="2"/>
      <w:sz w:val="20"/>
      <w:szCs w:val="20"/>
      <w14:ligatures w14:val="standardContextual"/>
    </w:rPr>
  </w:style>
  <w:style w:type="character" w:customStyle="1" w:styleId="CommentTextChar">
    <w:name w:val="Comment Text Char"/>
    <w:basedOn w:val="DefaultParagraphFont"/>
    <w:link w:val="CommentText"/>
    <w:uiPriority w:val="99"/>
    <w:semiHidden/>
    <w:rsid w:val="00527E3A"/>
    <w:rPr>
      <w:rFonts w:ascii="Times New Roman" w:eastAsia="Times New Roman" w:hAnsi="Times New Roman" w:cs="Times New Roman"/>
      <w:kern w:val="2"/>
      <w:sz w:val="20"/>
      <w:szCs w:val="20"/>
      <w:lang w:eastAsia="en-GB"/>
      <w14:ligatures w14:val="standardContextual"/>
    </w:rPr>
  </w:style>
  <w:style w:type="paragraph" w:styleId="CommentSubject">
    <w:name w:val="annotation subject"/>
    <w:basedOn w:val="CommentText"/>
    <w:next w:val="CommentText"/>
    <w:link w:val="CommentSubjectChar"/>
    <w:uiPriority w:val="99"/>
    <w:semiHidden/>
    <w:unhideWhenUsed/>
    <w:rsid w:val="00527E3A"/>
    <w:rPr>
      <w:b/>
      <w:bCs/>
    </w:rPr>
  </w:style>
  <w:style w:type="character" w:customStyle="1" w:styleId="CommentSubjectChar">
    <w:name w:val="Comment Subject Char"/>
    <w:basedOn w:val="CommentTextChar"/>
    <w:link w:val="CommentSubject"/>
    <w:uiPriority w:val="99"/>
    <w:semiHidden/>
    <w:rsid w:val="00527E3A"/>
    <w:rPr>
      <w:rFonts w:ascii="Times New Roman" w:eastAsia="Times New Roman" w:hAnsi="Times New Roman" w:cs="Times New Roman"/>
      <w:b/>
      <w:bCs/>
      <w:kern w:val="2"/>
      <w:sz w:val="20"/>
      <w:szCs w:val="20"/>
      <w:lang w:eastAsia="en-GB"/>
      <w14:ligatures w14:val="standardContextual"/>
    </w:rPr>
  </w:style>
  <w:style w:type="paragraph" w:styleId="BalloonText">
    <w:name w:val="Balloon Text"/>
    <w:basedOn w:val="Normal"/>
    <w:link w:val="BalloonTextChar"/>
    <w:uiPriority w:val="99"/>
    <w:semiHidden/>
    <w:unhideWhenUsed/>
    <w:rsid w:val="00527E3A"/>
    <w:rPr>
      <w:rFonts w:ascii="Segoe UI" w:hAnsi="Segoe UI" w:cs="Segoe UI"/>
      <w:kern w:val="2"/>
      <w:sz w:val="18"/>
      <w:szCs w:val="18"/>
      <w14:ligatures w14:val="standardContextual"/>
    </w:rPr>
  </w:style>
  <w:style w:type="character" w:customStyle="1" w:styleId="BalloonTextChar">
    <w:name w:val="Balloon Text Char"/>
    <w:basedOn w:val="DefaultParagraphFont"/>
    <w:link w:val="BalloonText"/>
    <w:uiPriority w:val="99"/>
    <w:semiHidden/>
    <w:rsid w:val="00527E3A"/>
    <w:rPr>
      <w:rFonts w:ascii="Segoe UI" w:eastAsia="Times New Roman" w:hAnsi="Segoe UI" w:cs="Segoe UI"/>
      <w:kern w:val="2"/>
      <w:sz w:val="18"/>
      <w:szCs w:val="18"/>
      <w:lang w:eastAsia="en-GB"/>
      <w14:ligatures w14:val="standardContextual"/>
    </w:rPr>
  </w:style>
  <w:style w:type="character" w:styleId="FollowedHyperlink">
    <w:name w:val="FollowedHyperlink"/>
    <w:basedOn w:val="DefaultParagraphFont"/>
    <w:uiPriority w:val="99"/>
    <w:semiHidden/>
    <w:unhideWhenUsed/>
    <w:rsid w:val="00527E3A"/>
    <w:rPr>
      <w:color w:val="954F72" w:themeColor="followedHyperlink"/>
      <w:u w:val="single"/>
    </w:rPr>
  </w:style>
  <w:style w:type="character" w:customStyle="1" w:styleId="relative">
    <w:name w:val="relative"/>
    <w:basedOn w:val="DefaultParagraphFont"/>
    <w:rsid w:val="00527E3A"/>
  </w:style>
  <w:style w:type="paragraph" w:customStyle="1" w:styleId="not-prose">
    <w:name w:val="not-prose"/>
    <w:basedOn w:val="Normal"/>
    <w:rsid w:val="00527E3A"/>
    <w:pPr>
      <w:spacing w:before="100" w:beforeAutospacing="1" w:after="100" w:afterAutospacing="1"/>
    </w:pPr>
  </w:style>
  <w:style w:type="paragraph" w:customStyle="1" w:styleId="p1">
    <w:name w:val="p1"/>
    <w:basedOn w:val="Normal"/>
    <w:rsid w:val="00527E3A"/>
    <w:pPr>
      <w:spacing w:before="100" w:beforeAutospacing="1" w:after="100" w:afterAutospacing="1"/>
    </w:pPr>
    <w:rPr>
      <w:rFonts w:eastAsiaTheme="minorEastAsia"/>
    </w:rPr>
  </w:style>
  <w:style w:type="character" w:customStyle="1" w:styleId="s1">
    <w:name w:val="s1"/>
    <w:basedOn w:val="DefaultParagraphFont"/>
    <w:rsid w:val="00527E3A"/>
  </w:style>
  <w:style w:type="character" w:customStyle="1" w:styleId="apple-converted-space">
    <w:name w:val="apple-converted-space"/>
    <w:basedOn w:val="DefaultParagraphFont"/>
    <w:rsid w:val="00527E3A"/>
  </w:style>
  <w:style w:type="paragraph" w:customStyle="1" w:styleId="p2">
    <w:name w:val="p2"/>
    <w:basedOn w:val="Normal"/>
    <w:rsid w:val="00527E3A"/>
    <w:pPr>
      <w:spacing w:before="100" w:beforeAutospacing="1" w:after="100" w:afterAutospacing="1"/>
    </w:pPr>
    <w:rPr>
      <w:rFonts w:eastAsiaTheme="minorEastAsia"/>
    </w:rPr>
  </w:style>
  <w:style w:type="character" w:customStyle="1" w:styleId="s2">
    <w:name w:val="s2"/>
    <w:basedOn w:val="DefaultParagraphFont"/>
    <w:rsid w:val="00527E3A"/>
  </w:style>
  <w:style w:type="paragraph" w:customStyle="1" w:styleId="p3">
    <w:name w:val="p3"/>
    <w:basedOn w:val="Normal"/>
    <w:rsid w:val="00527E3A"/>
    <w:pPr>
      <w:spacing w:before="100" w:beforeAutospacing="1" w:after="100" w:afterAutospacing="1"/>
    </w:pPr>
    <w:rPr>
      <w:rFonts w:eastAsiaTheme="minorEastAsia"/>
    </w:rPr>
  </w:style>
  <w:style w:type="character" w:customStyle="1" w:styleId="s3">
    <w:name w:val="s3"/>
    <w:basedOn w:val="DefaultParagraphFont"/>
    <w:rsid w:val="00527E3A"/>
  </w:style>
  <w:style w:type="character" w:customStyle="1" w:styleId="s4">
    <w:name w:val="s4"/>
    <w:basedOn w:val="DefaultParagraphFont"/>
    <w:rsid w:val="00527E3A"/>
  </w:style>
  <w:style w:type="paragraph" w:styleId="Caption">
    <w:name w:val="caption"/>
    <w:basedOn w:val="Normal"/>
    <w:next w:val="Normal"/>
    <w:uiPriority w:val="35"/>
    <w:unhideWhenUsed/>
    <w:qFormat/>
    <w:rsid w:val="00527E3A"/>
    <w:pPr>
      <w:spacing w:after="200"/>
    </w:pPr>
    <w:rPr>
      <w:i/>
      <w:iCs/>
      <w:color w:val="44546A" w:themeColor="text2"/>
      <w:kern w:val="2"/>
      <w:sz w:val="18"/>
      <w:szCs w:val="18"/>
      <w14:ligatures w14:val="standardContextual"/>
    </w:rPr>
  </w:style>
  <w:style w:type="paragraph" w:styleId="FootnoteText">
    <w:name w:val="footnote text"/>
    <w:basedOn w:val="Normal"/>
    <w:link w:val="FootnoteTextChar"/>
    <w:uiPriority w:val="99"/>
    <w:unhideWhenUsed/>
    <w:rsid w:val="00527E3A"/>
    <w:rPr>
      <w:kern w:val="2"/>
      <w:sz w:val="20"/>
      <w:szCs w:val="20"/>
      <w14:ligatures w14:val="standardContextual"/>
    </w:rPr>
  </w:style>
  <w:style w:type="character" w:customStyle="1" w:styleId="FootnoteTextChar">
    <w:name w:val="Footnote Text Char"/>
    <w:basedOn w:val="DefaultParagraphFont"/>
    <w:link w:val="FootnoteText"/>
    <w:uiPriority w:val="99"/>
    <w:rsid w:val="00527E3A"/>
    <w:rPr>
      <w:rFonts w:ascii="Times New Roman" w:eastAsia="Times New Roman" w:hAnsi="Times New Roman" w:cs="Times New Roman"/>
      <w:kern w:val="2"/>
      <w:sz w:val="20"/>
      <w:szCs w:val="20"/>
      <w:lang w:eastAsia="en-GB"/>
      <w14:ligatures w14:val="standardContextual"/>
    </w:rPr>
  </w:style>
  <w:style w:type="character" w:styleId="FootnoteReference">
    <w:name w:val="footnote reference"/>
    <w:basedOn w:val="DefaultParagraphFont"/>
    <w:uiPriority w:val="99"/>
    <w:semiHidden/>
    <w:unhideWhenUsed/>
    <w:rsid w:val="00527E3A"/>
    <w:rPr>
      <w:vertAlign w:val="superscript"/>
    </w:rPr>
  </w:style>
  <w:style w:type="paragraph" w:customStyle="1" w:styleId="isselectedend">
    <w:name w:val="isselectedend"/>
    <w:basedOn w:val="Normal"/>
    <w:rsid w:val="00527E3A"/>
    <w:pPr>
      <w:spacing w:before="100" w:beforeAutospacing="1" w:after="100" w:afterAutospacing="1"/>
    </w:pPr>
  </w:style>
  <w:style w:type="character" w:customStyle="1" w:styleId="bzpyqfadein">
    <w:name w:val="bz_pyq_fadein"/>
    <w:basedOn w:val="DefaultParagraphFont"/>
    <w:rsid w:val="00527E3A"/>
  </w:style>
  <w:style w:type="paragraph" w:styleId="Header">
    <w:name w:val="header"/>
    <w:basedOn w:val="Normal"/>
    <w:link w:val="HeaderChar"/>
    <w:uiPriority w:val="99"/>
    <w:unhideWhenUsed/>
    <w:rsid w:val="00527E3A"/>
    <w:pPr>
      <w:tabs>
        <w:tab w:val="center" w:pos="4703"/>
        <w:tab w:val="right" w:pos="9406"/>
      </w:tabs>
    </w:pPr>
    <w:rPr>
      <w:kern w:val="2"/>
      <w14:ligatures w14:val="standardContextual"/>
    </w:rPr>
  </w:style>
  <w:style w:type="character" w:customStyle="1" w:styleId="HeaderChar">
    <w:name w:val="Header Char"/>
    <w:basedOn w:val="DefaultParagraphFont"/>
    <w:link w:val="Header"/>
    <w:uiPriority w:val="99"/>
    <w:rsid w:val="00527E3A"/>
    <w:rPr>
      <w:rFonts w:ascii="Times New Roman" w:eastAsia="Times New Roman" w:hAnsi="Times New Roman" w:cs="Times New Roman"/>
      <w:kern w:val="2"/>
      <w:sz w:val="24"/>
      <w:szCs w:val="24"/>
      <w:lang w:eastAsia="en-GB"/>
      <w14:ligatures w14:val="standardContextual"/>
    </w:rPr>
  </w:style>
  <w:style w:type="paragraph" w:styleId="Footer">
    <w:name w:val="footer"/>
    <w:basedOn w:val="Normal"/>
    <w:link w:val="FooterChar"/>
    <w:uiPriority w:val="99"/>
    <w:unhideWhenUsed/>
    <w:rsid w:val="00527E3A"/>
    <w:pPr>
      <w:tabs>
        <w:tab w:val="center" w:pos="4703"/>
        <w:tab w:val="right" w:pos="9406"/>
      </w:tabs>
    </w:pPr>
    <w:rPr>
      <w:kern w:val="2"/>
      <w14:ligatures w14:val="standardContextual"/>
    </w:rPr>
  </w:style>
  <w:style w:type="character" w:customStyle="1" w:styleId="FooterChar">
    <w:name w:val="Footer Char"/>
    <w:basedOn w:val="DefaultParagraphFont"/>
    <w:link w:val="Footer"/>
    <w:uiPriority w:val="99"/>
    <w:rsid w:val="00527E3A"/>
    <w:rPr>
      <w:rFonts w:ascii="Times New Roman" w:eastAsia="Times New Roman" w:hAnsi="Times New Roman" w:cs="Times New Roman"/>
      <w:kern w:val="2"/>
      <w:sz w:val="24"/>
      <w:szCs w:val="24"/>
      <w:lang w:eastAsia="en-GB"/>
      <w14:ligatures w14:val="standardContextual"/>
    </w:rPr>
  </w:style>
  <w:style w:type="character" w:customStyle="1" w:styleId="ntpebdom">
    <w:name w:val="ntpebdom"/>
    <w:basedOn w:val="DefaultParagraphFont"/>
    <w:rsid w:val="00527E3A"/>
  </w:style>
  <w:style w:type="paragraph" w:customStyle="1" w:styleId="SourceCode">
    <w:name w:val="Source Code"/>
    <w:basedOn w:val="Normal"/>
    <w:rsid w:val="00527E3A"/>
    <w:pPr>
      <w:wordWrap w:val="0"/>
    </w:pPr>
    <w:rPr>
      <w:kern w:val="2"/>
      <w14:ligatures w14:val="standardContextual"/>
    </w:rPr>
  </w:style>
  <w:style w:type="character" w:customStyle="1" w:styleId="KeywordTok">
    <w:name w:val="KeywordTok"/>
    <w:rsid w:val="00527E3A"/>
    <w:rPr>
      <w:b/>
      <w:color w:val="007020"/>
    </w:rPr>
  </w:style>
  <w:style w:type="character" w:customStyle="1" w:styleId="DataTypeTok">
    <w:name w:val="DataTypeTok"/>
    <w:rsid w:val="00527E3A"/>
    <w:rPr>
      <w:color w:val="902000"/>
    </w:rPr>
  </w:style>
  <w:style w:type="character" w:customStyle="1" w:styleId="DecValTok">
    <w:name w:val="DecValTok"/>
    <w:rsid w:val="00527E3A"/>
    <w:rPr>
      <w:color w:val="40A070"/>
    </w:rPr>
  </w:style>
  <w:style w:type="character" w:customStyle="1" w:styleId="BaseNTok">
    <w:name w:val="BaseNTok"/>
    <w:rsid w:val="00527E3A"/>
    <w:rPr>
      <w:color w:val="40A070"/>
    </w:rPr>
  </w:style>
  <w:style w:type="character" w:customStyle="1" w:styleId="FloatTok">
    <w:name w:val="FloatTok"/>
    <w:rsid w:val="00527E3A"/>
    <w:rPr>
      <w:color w:val="40A070"/>
    </w:rPr>
  </w:style>
  <w:style w:type="character" w:customStyle="1" w:styleId="ConstantTok">
    <w:name w:val="ConstantTok"/>
    <w:rsid w:val="00527E3A"/>
    <w:rPr>
      <w:color w:val="880000"/>
    </w:rPr>
  </w:style>
  <w:style w:type="character" w:customStyle="1" w:styleId="CharTok">
    <w:name w:val="CharTok"/>
    <w:rsid w:val="00527E3A"/>
    <w:rPr>
      <w:color w:val="4070A0"/>
    </w:rPr>
  </w:style>
  <w:style w:type="character" w:customStyle="1" w:styleId="SpecialCharTok">
    <w:name w:val="SpecialCharTok"/>
    <w:rsid w:val="00527E3A"/>
    <w:rPr>
      <w:color w:val="4070A0"/>
    </w:rPr>
  </w:style>
  <w:style w:type="character" w:customStyle="1" w:styleId="StringTok">
    <w:name w:val="StringTok"/>
    <w:rsid w:val="00527E3A"/>
    <w:rPr>
      <w:color w:val="4070A0"/>
    </w:rPr>
  </w:style>
  <w:style w:type="character" w:customStyle="1" w:styleId="VerbatimStringTok">
    <w:name w:val="VerbatimStringTok"/>
    <w:rsid w:val="00527E3A"/>
    <w:rPr>
      <w:color w:val="4070A0"/>
    </w:rPr>
  </w:style>
  <w:style w:type="character" w:customStyle="1" w:styleId="SpecialStringTok">
    <w:name w:val="SpecialStringTok"/>
    <w:rsid w:val="00527E3A"/>
    <w:rPr>
      <w:color w:val="BB6688"/>
    </w:rPr>
  </w:style>
  <w:style w:type="character" w:customStyle="1" w:styleId="ImportTok">
    <w:name w:val="ImportTok"/>
    <w:rsid w:val="00527E3A"/>
    <w:rPr>
      <w:b/>
      <w:color w:val="008000"/>
    </w:rPr>
  </w:style>
  <w:style w:type="character" w:customStyle="1" w:styleId="CommentTok">
    <w:name w:val="CommentTok"/>
    <w:rsid w:val="00527E3A"/>
    <w:rPr>
      <w:i/>
      <w:color w:val="60A0B0"/>
    </w:rPr>
  </w:style>
  <w:style w:type="character" w:customStyle="1" w:styleId="DocumentationTok">
    <w:name w:val="DocumentationTok"/>
    <w:rsid w:val="00527E3A"/>
    <w:rPr>
      <w:i/>
      <w:color w:val="BA2121"/>
    </w:rPr>
  </w:style>
  <w:style w:type="character" w:customStyle="1" w:styleId="AnnotationTok">
    <w:name w:val="AnnotationTok"/>
    <w:rsid w:val="00527E3A"/>
    <w:rPr>
      <w:b/>
      <w:i/>
      <w:color w:val="60A0B0"/>
    </w:rPr>
  </w:style>
  <w:style w:type="character" w:customStyle="1" w:styleId="CommentVarTok">
    <w:name w:val="CommentVarTok"/>
    <w:rsid w:val="00527E3A"/>
    <w:rPr>
      <w:b/>
      <w:i/>
      <w:color w:val="60A0B0"/>
    </w:rPr>
  </w:style>
  <w:style w:type="character" w:customStyle="1" w:styleId="OtherTok">
    <w:name w:val="OtherTok"/>
    <w:rsid w:val="00527E3A"/>
    <w:rPr>
      <w:color w:val="007020"/>
    </w:rPr>
  </w:style>
  <w:style w:type="character" w:customStyle="1" w:styleId="FunctionTok">
    <w:name w:val="FunctionTok"/>
    <w:rsid w:val="00527E3A"/>
    <w:rPr>
      <w:color w:val="06287E"/>
    </w:rPr>
  </w:style>
  <w:style w:type="character" w:customStyle="1" w:styleId="VariableTok">
    <w:name w:val="VariableTok"/>
    <w:rsid w:val="00527E3A"/>
    <w:rPr>
      <w:color w:val="19177C"/>
    </w:rPr>
  </w:style>
  <w:style w:type="character" w:customStyle="1" w:styleId="ControlFlowTok">
    <w:name w:val="ControlFlowTok"/>
    <w:rsid w:val="00527E3A"/>
    <w:rPr>
      <w:b/>
      <w:color w:val="007020"/>
    </w:rPr>
  </w:style>
  <w:style w:type="character" w:customStyle="1" w:styleId="OperatorTok">
    <w:name w:val="OperatorTok"/>
    <w:rsid w:val="00527E3A"/>
    <w:rPr>
      <w:color w:val="666666"/>
    </w:rPr>
  </w:style>
  <w:style w:type="character" w:customStyle="1" w:styleId="BuiltInTok">
    <w:name w:val="BuiltInTok"/>
    <w:rsid w:val="00527E3A"/>
    <w:rPr>
      <w:color w:val="008000"/>
    </w:rPr>
  </w:style>
  <w:style w:type="character" w:customStyle="1" w:styleId="ExtensionTok">
    <w:name w:val="ExtensionTok"/>
    <w:rsid w:val="00527E3A"/>
  </w:style>
  <w:style w:type="character" w:customStyle="1" w:styleId="PreprocessorTok">
    <w:name w:val="PreprocessorTok"/>
    <w:rsid w:val="00527E3A"/>
    <w:rPr>
      <w:color w:val="BC7A00"/>
    </w:rPr>
  </w:style>
  <w:style w:type="character" w:customStyle="1" w:styleId="AttributeTok">
    <w:name w:val="AttributeTok"/>
    <w:rsid w:val="00527E3A"/>
    <w:rPr>
      <w:color w:val="7D9029"/>
    </w:rPr>
  </w:style>
  <w:style w:type="character" w:customStyle="1" w:styleId="RegionMarkerTok">
    <w:name w:val="RegionMarkerTok"/>
    <w:rsid w:val="00527E3A"/>
  </w:style>
  <w:style w:type="character" w:customStyle="1" w:styleId="InformationTok">
    <w:name w:val="InformationTok"/>
    <w:rsid w:val="00527E3A"/>
    <w:rPr>
      <w:b/>
      <w:i/>
      <w:color w:val="60A0B0"/>
    </w:rPr>
  </w:style>
  <w:style w:type="character" w:customStyle="1" w:styleId="WarningTok">
    <w:name w:val="WarningTok"/>
    <w:rsid w:val="00527E3A"/>
    <w:rPr>
      <w:b/>
      <w:i/>
      <w:color w:val="60A0B0"/>
    </w:rPr>
  </w:style>
  <w:style w:type="character" w:customStyle="1" w:styleId="AlertTok">
    <w:name w:val="AlertTok"/>
    <w:rsid w:val="00527E3A"/>
    <w:rPr>
      <w:b/>
      <w:color w:val="FF0000"/>
    </w:rPr>
  </w:style>
  <w:style w:type="character" w:customStyle="1" w:styleId="ErrorTok">
    <w:name w:val="ErrorTok"/>
    <w:rsid w:val="00527E3A"/>
    <w:rPr>
      <w:b/>
      <w:color w:val="FF0000"/>
    </w:rPr>
  </w:style>
  <w:style w:type="character" w:customStyle="1" w:styleId="NormalTok">
    <w:name w:val="NormalTok"/>
    <w:rsid w:val="00527E3A"/>
  </w:style>
  <w:style w:type="paragraph" w:styleId="Revision">
    <w:name w:val="Revision"/>
    <w:hidden/>
    <w:uiPriority w:val="99"/>
    <w:semiHidden/>
    <w:rsid w:val="00527E3A"/>
    <w:pPr>
      <w:spacing w:after="0" w:line="240" w:lineRule="auto"/>
    </w:pPr>
    <w:rPr>
      <w:kern w:val="2"/>
      <w:sz w:val="24"/>
      <w:szCs w:val="24"/>
      <w14:ligatures w14:val="standardContextual"/>
    </w:rPr>
  </w:style>
  <w:style w:type="character" w:styleId="LineNumber">
    <w:name w:val="line number"/>
    <w:basedOn w:val="DefaultParagraphFont"/>
    <w:uiPriority w:val="99"/>
    <w:semiHidden/>
    <w:unhideWhenUsed/>
    <w:rsid w:val="00527E3A"/>
  </w:style>
  <w:style w:type="paragraph" w:customStyle="1" w:styleId="pdq2pgselectionanchorcontainer">
    <w:name w:val="pdq2pg_selectionanchorcontainer"/>
    <w:basedOn w:val="Normal"/>
    <w:rsid w:val="00527E3A"/>
    <w:pPr>
      <w:spacing w:before="100" w:beforeAutospacing="1" w:after="100" w:afterAutospacing="1"/>
    </w:pPr>
  </w:style>
  <w:style w:type="paragraph" w:styleId="NoSpacing">
    <w:name w:val="No Spacing"/>
    <w:uiPriority w:val="1"/>
    <w:qFormat/>
    <w:rsid w:val="00527E3A"/>
    <w:pPr>
      <w:spacing w:after="0" w:line="240" w:lineRule="auto"/>
    </w:pPr>
    <w:rPr>
      <w:rFonts w:eastAsiaTheme="minorEastAsia"/>
    </w:rPr>
  </w:style>
  <w:style w:type="paragraph" w:styleId="Title">
    <w:name w:val="Title"/>
    <w:basedOn w:val="Normal"/>
    <w:next w:val="Normal"/>
    <w:link w:val="TitleChar"/>
    <w:uiPriority w:val="10"/>
    <w:qFormat/>
    <w:rsid w:val="00527E3A"/>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0"/>
    <w:rsid w:val="00527E3A"/>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27E3A"/>
    <w:pPr>
      <w:numPr>
        <w:ilvl w:val="1"/>
      </w:numPr>
      <w:spacing w:after="100" w:line="259" w:lineRule="auto"/>
    </w:pPr>
    <w:rPr>
      <w:rFonts w:asciiTheme="majorHAnsi" w:eastAsiaTheme="majorEastAsia" w:hAnsiTheme="majorHAnsi" w:cstheme="majorBidi"/>
      <w:i/>
      <w:iCs/>
      <w:color w:val="4472C4" w:themeColor="accent1"/>
      <w:spacing w:val="15"/>
      <w:lang w:eastAsia="en-US"/>
    </w:rPr>
  </w:style>
  <w:style w:type="character" w:customStyle="1" w:styleId="SubtitleChar">
    <w:name w:val="Subtitle Char"/>
    <w:basedOn w:val="DefaultParagraphFont"/>
    <w:link w:val="Subtitle"/>
    <w:uiPriority w:val="11"/>
    <w:rsid w:val="00527E3A"/>
    <w:rPr>
      <w:rFonts w:asciiTheme="majorHAnsi" w:eastAsiaTheme="majorEastAsia" w:hAnsiTheme="majorHAnsi" w:cstheme="majorBidi"/>
      <w:i/>
      <w:iCs/>
      <w:color w:val="4472C4" w:themeColor="accent1"/>
      <w:spacing w:val="15"/>
      <w:sz w:val="24"/>
      <w:szCs w:val="24"/>
    </w:rPr>
  </w:style>
  <w:style w:type="paragraph" w:styleId="BodyText">
    <w:name w:val="Body Text"/>
    <w:basedOn w:val="Normal"/>
    <w:link w:val="BodyTextChar"/>
    <w:uiPriority w:val="99"/>
    <w:unhideWhenUsed/>
    <w:rsid w:val="00527E3A"/>
    <w:pPr>
      <w:spacing w:after="120" w:line="259" w:lineRule="auto"/>
    </w:pPr>
    <w:rPr>
      <w:rFonts w:eastAsiaTheme="minorEastAsia" w:cstheme="minorBidi"/>
      <w:color w:val="000000"/>
      <w:sz w:val="22"/>
      <w:szCs w:val="22"/>
      <w:lang w:eastAsia="en-US"/>
    </w:rPr>
  </w:style>
  <w:style w:type="character" w:customStyle="1" w:styleId="BodyTextChar">
    <w:name w:val="Body Text Char"/>
    <w:basedOn w:val="DefaultParagraphFont"/>
    <w:link w:val="BodyText"/>
    <w:uiPriority w:val="99"/>
    <w:rsid w:val="00527E3A"/>
    <w:rPr>
      <w:rFonts w:ascii="Times New Roman" w:eastAsiaTheme="minorEastAsia" w:hAnsi="Times New Roman"/>
      <w:color w:val="000000"/>
    </w:rPr>
  </w:style>
  <w:style w:type="paragraph" w:styleId="BodyText2">
    <w:name w:val="Body Text 2"/>
    <w:basedOn w:val="Normal"/>
    <w:link w:val="BodyText2Char"/>
    <w:uiPriority w:val="99"/>
    <w:unhideWhenUsed/>
    <w:rsid w:val="00527E3A"/>
    <w:pPr>
      <w:spacing w:after="120" w:line="480" w:lineRule="auto"/>
    </w:pPr>
    <w:rPr>
      <w:rFonts w:eastAsiaTheme="minorEastAsia" w:cstheme="minorBidi"/>
      <w:color w:val="000000"/>
      <w:sz w:val="22"/>
      <w:szCs w:val="22"/>
      <w:lang w:eastAsia="en-US"/>
    </w:rPr>
  </w:style>
  <w:style w:type="character" w:customStyle="1" w:styleId="BodyText2Char">
    <w:name w:val="Body Text 2 Char"/>
    <w:basedOn w:val="DefaultParagraphFont"/>
    <w:link w:val="BodyText2"/>
    <w:uiPriority w:val="99"/>
    <w:rsid w:val="00527E3A"/>
    <w:rPr>
      <w:rFonts w:ascii="Times New Roman" w:eastAsiaTheme="minorEastAsia" w:hAnsi="Times New Roman"/>
      <w:color w:val="000000"/>
    </w:rPr>
  </w:style>
  <w:style w:type="paragraph" w:styleId="BodyText3">
    <w:name w:val="Body Text 3"/>
    <w:basedOn w:val="Normal"/>
    <w:link w:val="BodyText3Char"/>
    <w:uiPriority w:val="99"/>
    <w:unhideWhenUsed/>
    <w:rsid w:val="00527E3A"/>
    <w:pPr>
      <w:spacing w:after="120" w:line="259" w:lineRule="auto"/>
    </w:pPr>
    <w:rPr>
      <w:rFonts w:eastAsiaTheme="minorEastAsia" w:cstheme="minorBidi"/>
      <w:color w:val="000000"/>
      <w:sz w:val="16"/>
      <w:szCs w:val="16"/>
      <w:lang w:eastAsia="en-US"/>
    </w:rPr>
  </w:style>
  <w:style w:type="character" w:customStyle="1" w:styleId="BodyText3Char">
    <w:name w:val="Body Text 3 Char"/>
    <w:basedOn w:val="DefaultParagraphFont"/>
    <w:link w:val="BodyText3"/>
    <w:uiPriority w:val="99"/>
    <w:rsid w:val="00527E3A"/>
    <w:rPr>
      <w:rFonts w:ascii="Times New Roman" w:eastAsiaTheme="minorEastAsia" w:hAnsi="Times New Roman"/>
      <w:color w:val="000000"/>
      <w:sz w:val="16"/>
      <w:szCs w:val="16"/>
    </w:rPr>
  </w:style>
  <w:style w:type="paragraph" w:styleId="List">
    <w:name w:val="List"/>
    <w:basedOn w:val="Normal"/>
    <w:uiPriority w:val="99"/>
    <w:unhideWhenUsed/>
    <w:rsid w:val="00527E3A"/>
    <w:pPr>
      <w:spacing w:after="100" w:line="259" w:lineRule="auto"/>
      <w:ind w:left="360" w:hanging="360"/>
      <w:contextualSpacing/>
    </w:pPr>
    <w:rPr>
      <w:rFonts w:eastAsiaTheme="minorEastAsia" w:cstheme="minorBidi"/>
      <w:color w:val="000000"/>
      <w:sz w:val="22"/>
      <w:szCs w:val="22"/>
      <w:lang w:eastAsia="en-US"/>
    </w:rPr>
  </w:style>
  <w:style w:type="paragraph" w:styleId="List2">
    <w:name w:val="List 2"/>
    <w:basedOn w:val="Normal"/>
    <w:uiPriority w:val="99"/>
    <w:unhideWhenUsed/>
    <w:rsid w:val="00527E3A"/>
    <w:pPr>
      <w:spacing w:after="100" w:line="259" w:lineRule="auto"/>
      <w:ind w:left="720" w:hanging="360"/>
      <w:contextualSpacing/>
    </w:pPr>
    <w:rPr>
      <w:rFonts w:eastAsiaTheme="minorEastAsia" w:cstheme="minorBidi"/>
      <w:color w:val="000000"/>
      <w:sz w:val="22"/>
      <w:szCs w:val="22"/>
      <w:lang w:eastAsia="en-US"/>
    </w:rPr>
  </w:style>
  <w:style w:type="paragraph" w:styleId="List3">
    <w:name w:val="List 3"/>
    <w:basedOn w:val="Normal"/>
    <w:uiPriority w:val="99"/>
    <w:unhideWhenUsed/>
    <w:rsid w:val="00527E3A"/>
    <w:pPr>
      <w:spacing w:after="100" w:line="259" w:lineRule="auto"/>
      <w:ind w:left="1080" w:hanging="360"/>
      <w:contextualSpacing/>
    </w:pPr>
    <w:rPr>
      <w:rFonts w:eastAsiaTheme="minorEastAsia" w:cstheme="minorBidi"/>
      <w:color w:val="000000"/>
      <w:sz w:val="22"/>
      <w:szCs w:val="22"/>
      <w:lang w:eastAsia="en-US"/>
    </w:rPr>
  </w:style>
  <w:style w:type="paragraph" w:styleId="ListBullet">
    <w:name w:val="List Bullet"/>
    <w:basedOn w:val="Normal"/>
    <w:uiPriority w:val="99"/>
    <w:unhideWhenUsed/>
    <w:rsid w:val="00527E3A"/>
    <w:pPr>
      <w:numPr>
        <w:numId w:val="11"/>
      </w:numPr>
      <w:tabs>
        <w:tab w:val="clear" w:pos="360"/>
      </w:tabs>
      <w:spacing w:after="100" w:line="259" w:lineRule="auto"/>
      <w:ind w:left="0" w:firstLine="0"/>
      <w:contextualSpacing/>
    </w:pPr>
    <w:rPr>
      <w:rFonts w:eastAsiaTheme="minorEastAsia" w:cstheme="minorBidi"/>
      <w:color w:val="000000"/>
      <w:sz w:val="22"/>
      <w:szCs w:val="22"/>
      <w:lang w:eastAsia="en-US"/>
    </w:rPr>
  </w:style>
  <w:style w:type="paragraph" w:styleId="ListBullet2">
    <w:name w:val="List Bullet 2"/>
    <w:basedOn w:val="Normal"/>
    <w:uiPriority w:val="99"/>
    <w:unhideWhenUsed/>
    <w:rsid w:val="00527E3A"/>
    <w:pPr>
      <w:numPr>
        <w:numId w:val="12"/>
      </w:numPr>
      <w:tabs>
        <w:tab w:val="clear" w:pos="720"/>
      </w:tabs>
      <w:spacing w:after="100" w:line="259" w:lineRule="auto"/>
      <w:ind w:left="0" w:firstLine="0"/>
      <w:contextualSpacing/>
    </w:pPr>
    <w:rPr>
      <w:rFonts w:eastAsiaTheme="minorEastAsia" w:cstheme="minorBidi"/>
      <w:color w:val="000000"/>
      <w:sz w:val="22"/>
      <w:szCs w:val="22"/>
      <w:lang w:eastAsia="en-US"/>
    </w:rPr>
  </w:style>
  <w:style w:type="paragraph" w:styleId="ListBullet3">
    <w:name w:val="List Bullet 3"/>
    <w:basedOn w:val="Normal"/>
    <w:uiPriority w:val="99"/>
    <w:unhideWhenUsed/>
    <w:rsid w:val="00527E3A"/>
    <w:pPr>
      <w:numPr>
        <w:numId w:val="13"/>
      </w:numPr>
      <w:tabs>
        <w:tab w:val="clear" w:pos="1080"/>
      </w:tabs>
      <w:spacing w:after="100" w:line="259" w:lineRule="auto"/>
      <w:ind w:left="0" w:firstLine="0"/>
      <w:contextualSpacing/>
    </w:pPr>
    <w:rPr>
      <w:rFonts w:eastAsiaTheme="minorEastAsia" w:cstheme="minorBidi"/>
      <w:color w:val="000000"/>
      <w:sz w:val="22"/>
      <w:szCs w:val="22"/>
      <w:lang w:eastAsia="en-US"/>
    </w:rPr>
  </w:style>
  <w:style w:type="paragraph" w:styleId="ListNumber">
    <w:name w:val="List Number"/>
    <w:basedOn w:val="Normal"/>
    <w:uiPriority w:val="99"/>
    <w:unhideWhenUsed/>
    <w:rsid w:val="00527E3A"/>
    <w:pPr>
      <w:numPr>
        <w:numId w:val="15"/>
      </w:numPr>
      <w:tabs>
        <w:tab w:val="clear" w:pos="360"/>
      </w:tabs>
      <w:spacing w:after="100" w:line="259" w:lineRule="auto"/>
      <w:ind w:left="0" w:firstLine="0"/>
      <w:contextualSpacing/>
    </w:pPr>
    <w:rPr>
      <w:rFonts w:eastAsiaTheme="minorEastAsia" w:cstheme="minorBidi"/>
      <w:color w:val="000000"/>
      <w:sz w:val="22"/>
      <w:szCs w:val="22"/>
      <w:lang w:eastAsia="en-US"/>
    </w:rPr>
  </w:style>
  <w:style w:type="paragraph" w:styleId="ListNumber2">
    <w:name w:val="List Number 2"/>
    <w:basedOn w:val="Normal"/>
    <w:uiPriority w:val="99"/>
    <w:unhideWhenUsed/>
    <w:rsid w:val="00527E3A"/>
    <w:pPr>
      <w:numPr>
        <w:numId w:val="16"/>
      </w:numPr>
      <w:tabs>
        <w:tab w:val="clear" w:pos="720"/>
      </w:tabs>
      <w:spacing w:after="100" w:line="259" w:lineRule="auto"/>
      <w:ind w:left="0" w:firstLine="0"/>
      <w:contextualSpacing/>
    </w:pPr>
    <w:rPr>
      <w:rFonts w:eastAsiaTheme="minorEastAsia" w:cstheme="minorBidi"/>
      <w:color w:val="000000"/>
      <w:sz w:val="22"/>
      <w:szCs w:val="22"/>
      <w:lang w:eastAsia="en-US"/>
    </w:rPr>
  </w:style>
  <w:style w:type="paragraph" w:styleId="ListNumber3">
    <w:name w:val="List Number 3"/>
    <w:basedOn w:val="Normal"/>
    <w:uiPriority w:val="99"/>
    <w:unhideWhenUsed/>
    <w:rsid w:val="00527E3A"/>
    <w:pPr>
      <w:numPr>
        <w:numId w:val="17"/>
      </w:numPr>
      <w:tabs>
        <w:tab w:val="clear" w:pos="1080"/>
      </w:tabs>
      <w:spacing w:after="100" w:line="259" w:lineRule="auto"/>
      <w:ind w:left="0" w:firstLine="0"/>
      <w:contextualSpacing/>
    </w:pPr>
    <w:rPr>
      <w:rFonts w:eastAsiaTheme="minorEastAsia" w:cstheme="minorBidi"/>
      <w:color w:val="000000"/>
      <w:sz w:val="22"/>
      <w:szCs w:val="22"/>
      <w:lang w:eastAsia="en-US"/>
    </w:rPr>
  </w:style>
  <w:style w:type="paragraph" w:styleId="ListContinue">
    <w:name w:val="List Continue"/>
    <w:basedOn w:val="Normal"/>
    <w:uiPriority w:val="99"/>
    <w:unhideWhenUsed/>
    <w:rsid w:val="00527E3A"/>
    <w:pPr>
      <w:spacing w:after="120" w:line="259" w:lineRule="auto"/>
      <w:ind w:left="360"/>
      <w:contextualSpacing/>
    </w:pPr>
    <w:rPr>
      <w:rFonts w:eastAsiaTheme="minorEastAsia" w:cstheme="minorBidi"/>
      <w:color w:val="000000"/>
      <w:sz w:val="22"/>
      <w:szCs w:val="22"/>
      <w:lang w:eastAsia="en-US"/>
    </w:rPr>
  </w:style>
  <w:style w:type="paragraph" w:styleId="ListContinue2">
    <w:name w:val="List Continue 2"/>
    <w:basedOn w:val="Normal"/>
    <w:uiPriority w:val="99"/>
    <w:unhideWhenUsed/>
    <w:rsid w:val="00527E3A"/>
    <w:pPr>
      <w:spacing w:after="120" w:line="259" w:lineRule="auto"/>
      <w:ind w:left="720"/>
      <w:contextualSpacing/>
    </w:pPr>
    <w:rPr>
      <w:rFonts w:eastAsiaTheme="minorEastAsia" w:cstheme="minorBidi"/>
      <w:color w:val="000000"/>
      <w:sz w:val="22"/>
      <w:szCs w:val="22"/>
      <w:lang w:eastAsia="en-US"/>
    </w:rPr>
  </w:style>
  <w:style w:type="paragraph" w:styleId="ListContinue3">
    <w:name w:val="List Continue 3"/>
    <w:basedOn w:val="Normal"/>
    <w:uiPriority w:val="99"/>
    <w:unhideWhenUsed/>
    <w:rsid w:val="00527E3A"/>
    <w:pPr>
      <w:spacing w:after="120" w:line="259" w:lineRule="auto"/>
      <w:ind w:left="1080"/>
      <w:contextualSpacing/>
    </w:pPr>
    <w:rPr>
      <w:rFonts w:eastAsiaTheme="minorEastAsia" w:cstheme="minorBidi"/>
      <w:color w:val="000000"/>
      <w:sz w:val="22"/>
      <w:szCs w:val="22"/>
      <w:lang w:eastAsia="en-US"/>
    </w:rPr>
  </w:style>
  <w:style w:type="paragraph" w:styleId="MacroText">
    <w:name w:val="macro"/>
    <w:link w:val="MacroTextChar"/>
    <w:uiPriority w:val="99"/>
    <w:unhideWhenUsed/>
    <w:rsid w:val="00527E3A"/>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character" w:customStyle="1" w:styleId="MacroTextChar">
    <w:name w:val="Macro Text Char"/>
    <w:basedOn w:val="DefaultParagraphFont"/>
    <w:link w:val="MacroText"/>
    <w:uiPriority w:val="99"/>
    <w:rsid w:val="00527E3A"/>
    <w:rPr>
      <w:rFonts w:ascii="Courier" w:eastAsiaTheme="minorEastAsia" w:hAnsi="Courier"/>
      <w:sz w:val="20"/>
      <w:szCs w:val="20"/>
    </w:rPr>
  </w:style>
  <w:style w:type="paragraph" w:styleId="Quote">
    <w:name w:val="Quote"/>
    <w:basedOn w:val="Normal"/>
    <w:next w:val="Normal"/>
    <w:link w:val="QuoteChar"/>
    <w:uiPriority w:val="29"/>
    <w:qFormat/>
    <w:rsid w:val="00527E3A"/>
    <w:pPr>
      <w:spacing w:after="100" w:line="259" w:lineRule="auto"/>
    </w:pPr>
    <w:rPr>
      <w:rFonts w:eastAsiaTheme="minorEastAsia" w:cstheme="minorBidi"/>
      <w:i/>
      <w:iCs/>
      <w:color w:val="000000" w:themeColor="text1"/>
      <w:sz w:val="22"/>
      <w:szCs w:val="22"/>
      <w:lang w:eastAsia="en-US"/>
    </w:rPr>
  </w:style>
  <w:style w:type="character" w:customStyle="1" w:styleId="QuoteChar">
    <w:name w:val="Quote Char"/>
    <w:basedOn w:val="DefaultParagraphFont"/>
    <w:link w:val="Quote"/>
    <w:uiPriority w:val="29"/>
    <w:rsid w:val="00527E3A"/>
    <w:rPr>
      <w:rFonts w:ascii="Times New Roman" w:eastAsiaTheme="minorEastAsia" w:hAnsi="Times New Roman"/>
      <w:i/>
      <w:iCs/>
      <w:color w:val="000000" w:themeColor="text1"/>
    </w:rPr>
  </w:style>
  <w:style w:type="paragraph" w:styleId="IntenseQuote">
    <w:name w:val="Intense Quote"/>
    <w:basedOn w:val="Normal"/>
    <w:next w:val="Normal"/>
    <w:link w:val="IntenseQuoteChar"/>
    <w:uiPriority w:val="30"/>
    <w:qFormat/>
    <w:rsid w:val="00527E3A"/>
    <w:pPr>
      <w:pBdr>
        <w:bottom w:val="single" w:sz="4" w:space="4" w:color="4472C4" w:themeColor="accent1"/>
      </w:pBdr>
      <w:spacing w:before="200" w:after="280" w:line="259" w:lineRule="auto"/>
      <w:ind w:left="936" w:right="936"/>
    </w:pPr>
    <w:rPr>
      <w:rFonts w:eastAsiaTheme="minorEastAsia" w:cstheme="minorBidi"/>
      <w:b/>
      <w:bCs/>
      <w:i/>
      <w:iCs/>
      <w:color w:val="4472C4" w:themeColor="accent1"/>
      <w:sz w:val="22"/>
      <w:szCs w:val="22"/>
      <w:lang w:eastAsia="en-US"/>
    </w:rPr>
  </w:style>
  <w:style w:type="character" w:customStyle="1" w:styleId="IntenseQuoteChar">
    <w:name w:val="Intense Quote Char"/>
    <w:basedOn w:val="DefaultParagraphFont"/>
    <w:link w:val="IntenseQuote"/>
    <w:uiPriority w:val="30"/>
    <w:rsid w:val="00527E3A"/>
    <w:rPr>
      <w:rFonts w:ascii="Times New Roman" w:eastAsiaTheme="minorEastAsia" w:hAnsi="Times New Roman"/>
      <w:b/>
      <w:bCs/>
      <w:i/>
      <w:iCs/>
      <w:color w:val="4472C4" w:themeColor="accent1"/>
    </w:rPr>
  </w:style>
  <w:style w:type="character" w:styleId="SubtleEmphasis">
    <w:name w:val="Subtle Emphasis"/>
    <w:basedOn w:val="DefaultParagraphFont"/>
    <w:uiPriority w:val="19"/>
    <w:qFormat/>
    <w:rsid w:val="00527E3A"/>
    <w:rPr>
      <w:i/>
      <w:iCs/>
      <w:color w:val="808080" w:themeColor="text1" w:themeTint="7F"/>
    </w:rPr>
  </w:style>
  <w:style w:type="character" w:styleId="IntenseEmphasis">
    <w:name w:val="Intense Emphasis"/>
    <w:basedOn w:val="DefaultParagraphFont"/>
    <w:uiPriority w:val="21"/>
    <w:qFormat/>
    <w:rsid w:val="00527E3A"/>
    <w:rPr>
      <w:b/>
      <w:bCs/>
      <w:i/>
      <w:iCs/>
      <w:color w:val="4472C4" w:themeColor="accent1"/>
    </w:rPr>
  </w:style>
  <w:style w:type="character" w:styleId="SubtleReference">
    <w:name w:val="Subtle Reference"/>
    <w:basedOn w:val="DefaultParagraphFont"/>
    <w:uiPriority w:val="31"/>
    <w:qFormat/>
    <w:rsid w:val="00527E3A"/>
    <w:rPr>
      <w:smallCaps/>
      <w:color w:val="ED7D31" w:themeColor="accent2"/>
      <w:u w:val="single"/>
    </w:rPr>
  </w:style>
  <w:style w:type="character" w:styleId="IntenseReference">
    <w:name w:val="Intense Reference"/>
    <w:basedOn w:val="DefaultParagraphFont"/>
    <w:uiPriority w:val="32"/>
    <w:qFormat/>
    <w:rsid w:val="00527E3A"/>
    <w:rPr>
      <w:b/>
      <w:bCs/>
      <w:smallCaps/>
      <w:color w:val="ED7D31" w:themeColor="accent2"/>
      <w:spacing w:val="5"/>
      <w:u w:val="single"/>
    </w:rPr>
  </w:style>
  <w:style w:type="character" w:styleId="BookTitle">
    <w:name w:val="Book Title"/>
    <w:basedOn w:val="DefaultParagraphFont"/>
    <w:uiPriority w:val="33"/>
    <w:qFormat/>
    <w:rsid w:val="00527E3A"/>
    <w:rPr>
      <w:b/>
      <w:bCs/>
      <w:smallCaps/>
      <w:spacing w:val="5"/>
    </w:rPr>
  </w:style>
  <w:style w:type="paragraph" w:styleId="TOCHeading">
    <w:name w:val="TOC Heading"/>
    <w:basedOn w:val="Heading1"/>
    <w:next w:val="Normal"/>
    <w:uiPriority w:val="39"/>
    <w:semiHidden/>
    <w:unhideWhenUsed/>
    <w:qFormat/>
    <w:rsid w:val="00527E3A"/>
    <w:pPr>
      <w:keepNext/>
      <w:keepLines/>
      <w:spacing w:before="240" w:beforeAutospacing="0" w:afterAutospacing="0" w:line="259" w:lineRule="auto"/>
      <w:outlineLvl w:val="9"/>
    </w:pPr>
    <w:rPr>
      <w:rFonts w:asciiTheme="majorHAnsi" w:eastAsiaTheme="majorEastAsia" w:hAnsiTheme="majorHAnsi" w:cstheme="majorBidi"/>
      <w:kern w:val="0"/>
      <w:sz w:val="26"/>
      <w:szCs w:val="28"/>
      <w:lang w:eastAsia="en-US"/>
    </w:rPr>
  </w:style>
  <w:style w:type="table" w:styleId="LightShading">
    <w:name w:val="Light Shading"/>
    <w:basedOn w:val="TableNormal"/>
    <w:uiPriority w:val="60"/>
    <w:rsid w:val="00527E3A"/>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527E3A"/>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527E3A"/>
    <w:pPr>
      <w:spacing w:after="0" w:line="240" w:lineRule="auto"/>
    </w:pPr>
    <w:rPr>
      <w:rFonts w:eastAsiaTheme="minorEastAsia"/>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527E3A"/>
    <w:pPr>
      <w:spacing w:after="0" w:line="240" w:lineRule="auto"/>
    </w:pPr>
    <w:rPr>
      <w:rFonts w:eastAsiaTheme="minorEastAsia"/>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527E3A"/>
    <w:pPr>
      <w:spacing w:after="0" w:line="240" w:lineRule="auto"/>
    </w:pPr>
    <w:rPr>
      <w:rFonts w:eastAsiaTheme="minorEastAsia"/>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527E3A"/>
    <w:pPr>
      <w:spacing w:after="0" w:line="240" w:lineRule="auto"/>
    </w:pPr>
    <w:rPr>
      <w:rFonts w:eastAsiaTheme="minorEastAsia"/>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527E3A"/>
    <w:pPr>
      <w:spacing w:after="0" w:line="240" w:lineRule="auto"/>
    </w:pPr>
    <w:rPr>
      <w:rFonts w:eastAsiaTheme="minorEastAsia"/>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527E3A"/>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527E3A"/>
    <w:pPr>
      <w:spacing w:after="0" w:line="240" w:lineRule="auto"/>
    </w:pPr>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527E3A"/>
    <w:pPr>
      <w:spacing w:after="0" w:line="240" w:lineRule="auto"/>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527E3A"/>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527E3A"/>
    <w:pPr>
      <w:spacing w:after="0" w:line="240" w:lineRule="auto"/>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527E3A"/>
    <w:pPr>
      <w:spacing w:after="0" w:line="240" w:lineRule="auto"/>
    </w:pPr>
    <w:rPr>
      <w:rFonts w:eastAsiaTheme="minorEastAsi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527E3A"/>
    <w:pPr>
      <w:spacing w:after="0" w:line="240" w:lineRule="auto"/>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527E3A"/>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527E3A"/>
    <w:pPr>
      <w:spacing w:after="0" w:line="240" w:lineRule="auto"/>
    </w:pPr>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527E3A"/>
    <w:pPr>
      <w:spacing w:after="0" w:line="240" w:lineRule="auto"/>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527E3A"/>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527E3A"/>
    <w:pPr>
      <w:spacing w:after="0" w:line="240" w:lineRule="auto"/>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527E3A"/>
    <w:pPr>
      <w:spacing w:after="0" w:line="240" w:lineRule="auto"/>
    </w:pPr>
    <w:rPr>
      <w:rFonts w:eastAsiaTheme="minorEastAsi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527E3A"/>
    <w:pPr>
      <w:spacing w:after="0" w:line="240" w:lineRule="auto"/>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527E3A"/>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27E3A"/>
    <w:pPr>
      <w:spacing w:after="0" w:line="240" w:lineRule="auto"/>
    </w:pPr>
    <w:rPr>
      <w:rFonts w:eastAsiaTheme="minorEastAsi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27E3A"/>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27E3A"/>
    <w:pPr>
      <w:spacing w:after="0" w:line="240" w:lineRule="auto"/>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27E3A"/>
    <w:pPr>
      <w:spacing w:after="0" w:line="240" w:lineRule="auto"/>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27E3A"/>
    <w:pPr>
      <w:spacing w:after="0" w:line="240" w:lineRule="auto"/>
    </w:pPr>
    <w:rPr>
      <w:rFonts w:eastAsiaTheme="minorEastAsi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27E3A"/>
    <w:pPr>
      <w:spacing w:after="0" w:line="240" w:lineRule="auto"/>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527E3A"/>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27E3A"/>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27E3A"/>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27E3A"/>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27E3A"/>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27E3A"/>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27E3A"/>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527E3A"/>
    <w:pPr>
      <w:spacing w:after="0" w:line="240" w:lineRule="auto"/>
    </w:pPr>
    <w:rPr>
      <w:rFonts w:eastAsiaTheme="minorEastAsi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527E3A"/>
    <w:pPr>
      <w:spacing w:after="0" w:line="240" w:lineRule="auto"/>
    </w:pPr>
    <w:rPr>
      <w:rFonts w:eastAsiaTheme="minorEastAsia"/>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527E3A"/>
    <w:pPr>
      <w:spacing w:after="0" w:line="240" w:lineRule="auto"/>
    </w:pPr>
    <w:rPr>
      <w:rFonts w:eastAsiaTheme="minorEastAsia"/>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527E3A"/>
    <w:pPr>
      <w:spacing w:after="0" w:line="240" w:lineRule="auto"/>
    </w:pPr>
    <w:rPr>
      <w:rFonts w:eastAsiaTheme="minorEastAsia"/>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527E3A"/>
    <w:pPr>
      <w:spacing w:after="0" w:line="240" w:lineRule="auto"/>
    </w:pPr>
    <w:rPr>
      <w:rFonts w:eastAsiaTheme="minorEastAsia"/>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527E3A"/>
    <w:pPr>
      <w:spacing w:after="0" w:line="240" w:lineRule="auto"/>
    </w:pPr>
    <w:rPr>
      <w:rFonts w:eastAsiaTheme="minorEastAsia"/>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527E3A"/>
    <w:pPr>
      <w:spacing w:after="0" w:line="240" w:lineRule="auto"/>
    </w:pPr>
    <w:rPr>
      <w:rFonts w:eastAsiaTheme="minorEastAsia"/>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527E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527E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527E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527E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527E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527E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527E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527E3A"/>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527E3A"/>
    <w:pPr>
      <w:spacing w:after="0" w:line="240" w:lineRule="auto"/>
    </w:pPr>
    <w:rPr>
      <w:rFonts w:eastAsiaTheme="minorEastAsi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527E3A"/>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527E3A"/>
    <w:pPr>
      <w:spacing w:after="0" w:line="240" w:lineRule="auto"/>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527E3A"/>
    <w:pPr>
      <w:spacing w:after="0" w:line="240" w:lineRule="auto"/>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527E3A"/>
    <w:pPr>
      <w:spacing w:after="0" w:line="240" w:lineRule="auto"/>
    </w:pPr>
    <w:rPr>
      <w:rFonts w:eastAsiaTheme="minorEastAsi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527E3A"/>
    <w:pPr>
      <w:spacing w:after="0" w:line="240" w:lineRule="auto"/>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527E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527E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527E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527E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527E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527E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527E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527E3A"/>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527E3A"/>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527E3A"/>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527E3A"/>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527E3A"/>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527E3A"/>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527E3A"/>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527E3A"/>
    <w:pPr>
      <w:spacing w:after="0" w:line="240" w:lineRule="auto"/>
    </w:pPr>
    <w:rPr>
      <w:rFonts w:eastAsiaTheme="minorEastAsi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527E3A"/>
    <w:pPr>
      <w:spacing w:after="0" w:line="240" w:lineRule="auto"/>
    </w:pPr>
    <w:rPr>
      <w:rFonts w:eastAsiaTheme="minorEastAsi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527E3A"/>
    <w:pPr>
      <w:spacing w:after="0" w:line="240" w:lineRule="auto"/>
    </w:pPr>
    <w:rPr>
      <w:rFonts w:eastAsiaTheme="minorEastAsi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527E3A"/>
    <w:pPr>
      <w:spacing w:after="0" w:line="240" w:lineRule="auto"/>
    </w:pPr>
    <w:rPr>
      <w:rFonts w:eastAsiaTheme="minorEastAsi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527E3A"/>
    <w:pPr>
      <w:spacing w:after="0" w:line="240" w:lineRule="auto"/>
    </w:pPr>
    <w:rPr>
      <w:rFonts w:eastAsiaTheme="minorEastAsi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527E3A"/>
    <w:pPr>
      <w:spacing w:after="0" w:line="240" w:lineRule="auto"/>
    </w:pPr>
    <w:rPr>
      <w:rFonts w:eastAsiaTheme="minorEastAsi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527E3A"/>
    <w:pPr>
      <w:spacing w:after="0" w:line="240" w:lineRule="auto"/>
    </w:pPr>
    <w:rPr>
      <w:rFonts w:eastAsiaTheme="minorEastAsi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527E3A"/>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527E3A"/>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527E3A"/>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527E3A"/>
    <w:pPr>
      <w:spacing w:after="0" w:line="240" w:lineRule="auto"/>
    </w:pPr>
    <w:rPr>
      <w:rFonts w:eastAsiaTheme="minorEastAsi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527E3A"/>
    <w:pPr>
      <w:spacing w:after="0" w:line="240" w:lineRule="auto"/>
    </w:pPr>
    <w:rPr>
      <w:rFonts w:eastAsiaTheme="minorEastAsi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527E3A"/>
    <w:pPr>
      <w:spacing w:after="0" w:line="240" w:lineRule="auto"/>
    </w:pPr>
    <w:rPr>
      <w:rFonts w:eastAsiaTheme="minorEastAsi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527E3A"/>
    <w:pPr>
      <w:spacing w:after="0" w:line="240" w:lineRule="auto"/>
    </w:pPr>
    <w:rPr>
      <w:rFonts w:eastAsiaTheme="minorEastAsi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527E3A"/>
    <w:pPr>
      <w:spacing w:after="0" w:line="240" w:lineRule="auto"/>
    </w:pPr>
    <w:rPr>
      <w:rFonts w:eastAsiaTheme="minorEastAs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527E3A"/>
    <w:pPr>
      <w:spacing w:after="0" w:line="240" w:lineRule="auto"/>
    </w:pPr>
    <w:rPr>
      <w:rFonts w:eastAsiaTheme="minorEastAsi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527E3A"/>
    <w:pPr>
      <w:spacing w:after="0" w:line="240" w:lineRule="auto"/>
    </w:pPr>
    <w:rPr>
      <w:rFonts w:eastAsiaTheme="minorEastAsi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527E3A"/>
    <w:pPr>
      <w:spacing w:after="0" w:line="240" w:lineRule="auto"/>
    </w:pPr>
    <w:rPr>
      <w:rFonts w:eastAsiaTheme="minorEastAsi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527E3A"/>
    <w:pPr>
      <w:spacing w:after="0" w:line="240" w:lineRule="auto"/>
    </w:pPr>
    <w:rPr>
      <w:rFonts w:eastAsiaTheme="minorEastAsi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527E3A"/>
    <w:pPr>
      <w:spacing w:after="0" w:line="240" w:lineRule="auto"/>
    </w:pPr>
    <w:rPr>
      <w:rFonts w:eastAsiaTheme="minorEastAsi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527E3A"/>
    <w:pPr>
      <w:spacing w:after="0" w:line="240" w:lineRule="auto"/>
    </w:pPr>
    <w:rPr>
      <w:rFonts w:eastAsiaTheme="minorEastAsi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527E3A"/>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527E3A"/>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527E3A"/>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527E3A"/>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527E3A"/>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527E3A"/>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527E3A"/>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customStyle="1" w:styleId="text-token-text-primary">
    <w:name w:val="text-token-text-primary"/>
    <w:basedOn w:val="DefaultParagraphFont"/>
    <w:rsid w:val="00527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gov.uk/government/news/student-loans-interest-rates-and-repayment-threshold-announcement" TargetMode="External"/><Relationship Id="rId18" Type="http://schemas.openxmlformats.org/officeDocument/2006/relationships/hyperlink" Target="https://web.archive.org/web/20220211005047/https://www.gov.uk/government/publications/overseas-earnings-thresholds-for-plan-2-student-loans/overseas-earnings-thresholds-for-plan-2-student-loans-2020-21"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s://doi.org/10.1162/003465398557825" TargetMode="External"/><Relationship Id="rId17" Type="http://schemas.openxmlformats.org/officeDocument/2006/relationships/hyperlink" Target="https://www.gov.uk/government/publications/overseas-earnings-thresholds-for-plan-2-student-loans/overseas-earnings-thresholds-for-plan-2-student-loans-2024-25" TargetMode="External"/><Relationship Id="rId2" Type="http://schemas.openxmlformats.org/officeDocument/2006/relationships/styles" Target="styles.xml"/><Relationship Id="rId16" Type="http://schemas.openxmlformats.org/officeDocument/2006/relationships/hyperlink" Target="https://www.gov.uk/government/news/student-loans-interest-rates-and-repayment-threshold-announcement--6"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hyperlink" Target="https://doi.org/10.1108/S0147-91212026000053A002" TargetMode="External"/><Relationship Id="rId5" Type="http://schemas.openxmlformats.org/officeDocument/2006/relationships/image" Target="media/image1.png"/><Relationship Id="rId15" Type="http://schemas.openxmlformats.org/officeDocument/2006/relationships/hyperlink" Target="https://www.gov.uk/government/news/student-loans-interest-rates-and-repayment-threshold-announcement--5" TargetMode="External"/><Relationship Id="rId10" Type="http://schemas.openxmlformats.org/officeDocument/2006/relationships/hyperlink" Target="https://doi.org/10.1198/jasa.2009.ap08746"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doi.org/10.1146/annurev-economics-080217-053402" TargetMode="External"/><Relationship Id="rId14" Type="http://schemas.openxmlformats.org/officeDocument/2006/relationships/hyperlink" Target="https://www.gov.uk/government/news/student-loans-interest-rates-and-repayment-threshold-announcement--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2969</Words>
  <Characters>16929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Stoycho Rusinov</dc:creator>
  <cp:keywords/>
  <dc:description/>
  <cp:lastModifiedBy>Stoycho Rusinov</cp:lastModifiedBy>
  <cp:revision>1</cp:revision>
  <dcterms:created xsi:type="dcterms:W3CDTF">2026-09-28T10:16:00Z</dcterms:created>
  <dcterms:modified xsi:type="dcterms:W3CDTF">2026-09-28T10:18:00Z</dcterms:modified>
</cp:coreProperties>
</file>