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5C6B" w14:textId="77777777" w:rsidR="00374520" w:rsidRPr="00374520" w:rsidRDefault="00374520" w:rsidP="00374520">
      <w:pPr>
        <w:rPr>
          <w:b/>
          <w:bCs/>
          <w:lang w:val="en-AU"/>
        </w:rPr>
      </w:pPr>
      <w:r w:rsidRPr="00374520">
        <w:rPr>
          <w:b/>
          <w:bCs/>
          <w:lang w:val="en-AU"/>
        </w:rPr>
        <w:t>Supplementary Information:</w:t>
      </w:r>
    </w:p>
    <w:p w14:paraId="66DF3B3A" w14:textId="77777777" w:rsidR="00374520" w:rsidRPr="00374520" w:rsidRDefault="00374520" w:rsidP="00374520">
      <w:pPr>
        <w:rPr>
          <w:lang w:val="en-AU"/>
        </w:rPr>
      </w:pPr>
    </w:p>
    <w:p w14:paraId="1CF00F6B" w14:textId="2D74190B" w:rsidR="00374520" w:rsidRPr="00374520" w:rsidRDefault="00374520" w:rsidP="00374520">
      <w:pPr>
        <w:rPr>
          <w:lang w:val="en-AU"/>
        </w:rPr>
      </w:pPr>
      <w:r w:rsidRPr="00374520">
        <w:rPr>
          <w:lang w:val="en-AU"/>
        </w:rPr>
        <w:drawing>
          <wp:inline distT="0" distB="0" distL="0" distR="0" wp14:anchorId="36B73734" wp14:editId="586ECB24">
            <wp:extent cx="5731510" cy="2314575"/>
            <wp:effectExtent l="0" t="0" r="2540" b="9525"/>
            <wp:docPr id="14553455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C2C33" w14:textId="77777777" w:rsidR="00374520" w:rsidRPr="00374520" w:rsidRDefault="00374520" w:rsidP="00374520">
      <w:pPr>
        <w:rPr>
          <w:lang w:val="en-AU"/>
        </w:rPr>
      </w:pPr>
      <w:r w:rsidRPr="00374520">
        <w:rPr>
          <w:b/>
          <w:bCs/>
          <w:lang w:val="en-AU"/>
        </w:rPr>
        <w:t>Supplementary Figure 1.</w:t>
      </w:r>
      <w:r w:rsidRPr="00374520">
        <w:rPr>
          <w:lang w:val="en-AU"/>
        </w:rPr>
        <w:t xml:space="preserve"> Experimental setups used in this study. (</w:t>
      </w:r>
      <w:r w:rsidRPr="00374520">
        <w:rPr>
          <w:b/>
          <w:bCs/>
          <w:lang w:val="en-AU"/>
        </w:rPr>
        <w:t>a</w:t>
      </w:r>
      <w:r w:rsidRPr="00374520">
        <w:rPr>
          <w:lang w:val="en-AU"/>
        </w:rPr>
        <w:t>) DENIS experiment showing soil cores inside the chambers. (</w:t>
      </w:r>
      <w:r w:rsidRPr="00374520">
        <w:rPr>
          <w:b/>
          <w:bCs/>
          <w:lang w:val="en-AU"/>
        </w:rPr>
        <w:t>b</w:t>
      </w:r>
      <w:r w:rsidRPr="00374520">
        <w:rPr>
          <w:lang w:val="en-AU"/>
        </w:rPr>
        <w:t>) Destructive soil incubation experiment conducted in parallel under controlled conditions (25</w:t>
      </w:r>
      <w:r w:rsidRPr="00374520">
        <w:rPr>
          <w:rFonts w:ascii="Arial" w:hAnsi="Arial" w:cs="Arial"/>
          <w:lang w:val="en-AU"/>
        </w:rPr>
        <w:t> </w:t>
      </w:r>
      <w:r w:rsidRPr="00374520">
        <w:rPr>
          <w:rFonts w:ascii="Aptos" w:hAnsi="Aptos" w:cs="Aptos"/>
          <w:lang w:val="en-AU"/>
        </w:rPr>
        <w:t>°</w:t>
      </w:r>
      <w:r w:rsidRPr="00374520">
        <w:rPr>
          <w:lang w:val="en-AU"/>
        </w:rPr>
        <w:t>C and relative humidity was maintained between 60-70%</w:t>
      </w:r>
    </w:p>
    <w:p w14:paraId="5C88806F" w14:textId="77777777" w:rsidR="00374520" w:rsidRPr="00374520" w:rsidRDefault="00374520" w:rsidP="00374520">
      <w:pPr>
        <w:rPr>
          <w:lang w:val="en-AU"/>
        </w:rPr>
      </w:pPr>
    </w:p>
    <w:p w14:paraId="7BB40F57" w14:textId="77777777" w:rsidR="00374520" w:rsidRPr="00374520" w:rsidRDefault="00374520" w:rsidP="00374520">
      <w:pPr>
        <w:rPr>
          <w:lang w:val="en-AU"/>
        </w:rPr>
      </w:pPr>
    </w:p>
    <w:p w14:paraId="45BD87D2" w14:textId="77777777" w:rsidR="00374520" w:rsidRPr="00374520" w:rsidRDefault="00374520" w:rsidP="00374520">
      <w:pPr>
        <w:rPr>
          <w:lang w:val="en-AU"/>
        </w:rPr>
      </w:pPr>
    </w:p>
    <w:p w14:paraId="13107003" w14:textId="77777777" w:rsidR="00374520" w:rsidRPr="00374520" w:rsidRDefault="00374520" w:rsidP="00374520">
      <w:pPr>
        <w:rPr>
          <w:lang w:val="en-AU"/>
        </w:rPr>
      </w:pPr>
    </w:p>
    <w:p w14:paraId="78A5EC11" w14:textId="5B599DDE" w:rsidR="00374520" w:rsidRPr="00374520" w:rsidRDefault="00374520" w:rsidP="00374520">
      <w:pPr>
        <w:rPr>
          <w:lang w:val="en-AU"/>
        </w:rPr>
      </w:pPr>
      <w:r w:rsidRPr="00374520">
        <w:rPr>
          <w:lang w:val="en-AU"/>
        </w:rPr>
        <w:drawing>
          <wp:inline distT="0" distB="0" distL="0" distR="0" wp14:anchorId="2DCD9EAF" wp14:editId="7317613D">
            <wp:extent cx="5731510" cy="2250440"/>
            <wp:effectExtent l="0" t="0" r="2540" b="0"/>
            <wp:docPr id="10069522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5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E453C" w14:textId="77777777" w:rsidR="00374520" w:rsidRPr="00374520" w:rsidRDefault="00374520" w:rsidP="00374520">
      <w:pPr>
        <w:rPr>
          <w:lang w:val="en-AU"/>
        </w:rPr>
      </w:pPr>
      <w:r w:rsidRPr="00374520">
        <w:rPr>
          <w:b/>
          <w:bCs/>
          <w:lang w:val="en-AU"/>
        </w:rPr>
        <w:t>Supplementary</w:t>
      </w:r>
      <w:r w:rsidRPr="00374520">
        <w:rPr>
          <w:b/>
          <w:bCs/>
          <w:lang w:val="en-US"/>
        </w:rPr>
        <w:t xml:space="preserve"> Figure 2.</w:t>
      </w:r>
      <w:r w:rsidRPr="00374520">
        <w:rPr>
          <w:lang w:val="en-US"/>
        </w:rPr>
        <w:t xml:space="preserve"> (</w:t>
      </w:r>
      <w:r w:rsidRPr="00374520">
        <w:rPr>
          <w:b/>
          <w:bCs/>
          <w:lang w:val="en-US"/>
        </w:rPr>
        <w:t>a</w:t>
      </w:r>
      <w:r w:rsidRPr="00374520">
        <w:rPr>
          <w:lang w:val="en-US"/>
        </w:rPr>
        <w:t>) Ammonium disappearance rate and (</w:t>
      </w:r>
      <w:r w:rsidRPr="00374520">
        <w:rPr>
          <w:b/>
          <w:bCs/>
          <w:lang w:val="en-US"/>
        </w:rPr>
        <w:t>b</w:t>
      </w:r>
      <w:r w:rsidRPr="00374520">
        <w:rPr>
          <w:lang w:val="en-US"/>
        </w:rPr>
        <w:t>) nitrification rate under DCD and DMPP treatments on days 7, 14, and 28. Error bars represent standard deviations of the means (n = 3). Percentages shown above the bars represent the effectiveness of DCD and DMPP in reducing ammonium disappearance and nitrification rates relative to the urea treatment.</w:t>
      </w:r>
    </w:p>
    <w:p w14:paraId="12600CB1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20"/>
    <w:rsid w:val="00374520"/>
    <w:rsid w:val="00767E38"/>
    <w:rsid w:val="00866F7D"/>
    <w:rsid w:val="00A67C5B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09C1E"/>
  <w15:chartTrackingRefBased/>
  <w15:docId w15:val="{4029A298-44C7-4625-959B-5F3E7D41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5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5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5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5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5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5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5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5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5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5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5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5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5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5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5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5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5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2026-10-14T12:55:00Z</dcterms:created>
  <dcterms:modified xsi:type="dcterms:W3CDTF">2026-10-14T12:55:00Z</dcterms:modified>
</cp:coreProperties>
</file>