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55EE" w14:textId="3662FAC3" w:rsidR="00B31993" w:rsidRDefault="00C146E8">
      <w:pPr>
        <w:rPr>
          <w:b/>
          <w:bCs/>
        </w:rPr>
      </w:pPr>
      <w:r w:rsidRPr="00AE234C">
        <w:rPr>
          <w:b/>
          <w:bCs/>
        </w:rPr>
        <w:t>Supplemental Methods</w:t>
      </w:r>
      <w:r w:rsidR="000B360F">
        <w:rPr>
          <w:b/>
          <w:bCs/>
        </w:rPr>
        <w:t xml:space="preserve"> for </w:t>
      </w:r>
      <w:r w:rsidR="00F72D79" w:rsidRPr="00F72D79">
        <w:rPr>
          <w:b/>
          <w:bCs/>
        </w:rPr>
        <w:t>CDK4/6 inhibition exploits the radiobiology of lutetium-177 therapy to induce replication stress and durable senescence</w:t>
      </w:r>
    </w:p>
    <w:p w14:paraId="786601E8" w14:textId="77777777" w:rsidR="00B31993" w:rsidRPr="00AE234C" w:rsidRDefault="00B31993">
      <w:pPr>
        <w:rPr>
          <w:b/>
          <w:bCs/>
        </w:rPr>
      </w:pPr>
    </w:p>
    <w:p w14:paraId="1F1CFF8C" w14:textId="14825D6F" w:rsidR="00C146E8" w:rsidRPr="00590B54" w:rsidRDefault="00C146E8" w:rsidP="00590B54">
      <w:pPr>
        <w:spacing w:line="276" w:lineRule="auto"/>
        <w:jc w:val="both"/>
        <w:rPr>
          <w:i/>
          <w:iCs/>
          <w:lang w:val="en-US"/>
        </w:rPr>
      </w:pPr>
      <w:r w:rsidRPr="00590B54">
        <w:rPr>
          <w:i/>
          <w:iCs/>
          <w:lang w:val="en-US"/>
        </w:rPr>
        <w:t>Cells</w:t>
      </w:r>
    </w:p>
    <w:p w14:paraId="4CF05131" w14:textId="77777777" w:rsidR="00CE4545" w:rsidRDefault="00C146E8" w:rsidP="00590B54">
      <w:pPr>
        <w:spacing w:line="276" w:lineRule="auto"/>
        <w:jc w:val="both"/>
        <w:rPr>
          <w:lang w:val="en-US"/>
        </w:rPr>
      </w:pPr>
      <w:r w:rsidRPr="00C146E8">
        <w:rPr>
          <w:lang w:val="en-US"/>
        </w:rPr>
        <w:t xml:space="preserve">Rat pancreatic CA20948 cells were obtained from Dr Julie Nonnekens (Erasmus MC, NL), and maintained in Dulbecco’s Modified Eagle Medium (DMEM), supplemented with 10% </w:t>
      </w:r>
      <w:proofErr w:type="spellStart"/>
      <w:r w:rsidRPr="00C146E8">
        <w:rPr>
          <w:lang w:val="en-US"/>
        </w:rPr>
        <w:t>foetal</w:t>
      </w:r>
      <w:proofErr w:type="spellEnd"/>
      <w:r w:rsidRPr="00C146E8">
        <w:rPr>
          <w:lang w:val="en-US"/>
        </w:rPr>
        <w:t xml:space="preserve"> bovine serum (FBS), 2 mM L-Glutamine, 100 units/mL penicillin, and 0.1 mg/mL streptomycin with 1mM sodium pyruvate.</w:t>
      </w:r>
    </w:p>
    <w:p w14:paraId="0A54CEC3" w14:textId="506DC257" w:rsidR="00EA101E" w:rsidRPr="00EA101E" w:rsidRDefault="00B549FF" w:rsidP="00590B54">
      <w:pPr>
        <w:spacing w:line="276" w:lineRule="auto"/>
        <w:jc w:val="both"/>
        <w:rPr>
          <w:lang w:val="en-US"/>
        </w:rPr>
      </w:pPr>
      <w:r w:rsidRPr="00B549FF">
        <w:rPr>
          <w:lang w:val="en-US"/>
        </w:rPr>
        <w:t>22R</w:t>
      </w:r>
      <w:r>
        <w:rPr>
          <w:lang w:val="en-US"/>
        </w:rPr>
        <w:t>v</w:t>
      </w:r>
      <w:r w:rsidRPr="00B549FF">
        <w:rPr>
          <w:lang w:val="en-US"/>
        </w:rPr>
        <w:t xml:space="preserve">1 </w:t>
      </w:r>
      <w:r>
        <w:rPr>
          <w:lang w:val="en-US"/>
        </w:rPr>
        <w:t>(ATCC)</w:t>
      </w:r>
      <w:r w:rsidR="00DD6277">
        <w:rPr>
          <w:lang w:val="en-US"/>
        </w:rPr>
        <w:t xml:space="preserve">, LNCaP FGC </w:t>
      </w:r>
      <w:r w:rsidR="00130C57">
        <w:rPr>
          <w:lang w:val="en-US"/>
        </w:rPr>
        <w:t>(</w:t>
      </w:r>
      <w:r w:rsidR="00130C57" w:rsidRPr="00130C57">
        <w:rPr>
          <w:lang w:val="en-US"/>
        </w:rPr>
        <w:t>ECACC 8911021</w:t>
      </w:r>
      <w:r w:rsidR="00130C57">
        <w:rPr>
          <w:lang w:val="en-US"/>
        </w:rPr>
        <w:t>1)</w:t>
      </w:r>
      <w:r w:rsidR="003D531D">
        <w:rPr>
          <w:lang w:val="en-US"/>
        </w:rPr>
        <w:t xml:space="preserve"> and LNCaP p53</w:t>
      </w:r>
      <w:r w:rsidR="003D531D" w:rsidRPr="00AE234C">
        <w:rPr>
          <w:vertAlign w:val="superscript"/>
          <w:lang w:val="en-US"/>
        </w:rPr>
        <w:t>-/-</w:t>
      </w:r>
      <w:r w:rsidR="003D531D">
        <w:rPr>
          <w:vertAlign w:val="superscript"/>
          <w:lang w:val="en-US"/>
        </w:rPr>
        <w:t xml:space="preserve"> </w:t>
      </w:r>
      <w:r w:rsidR="003D531D">
        <w:rPr>
          <w:lang w:val="en-US"/>
        </w:rPr>
        <w:t xml:space="preserve">(were a kind gift </w:t>
      </w:r>
      <w:r w:rsidR="008A38E2">
        <w:rPr>
          <w:lang w:val="en-US"/>
        </w:rPr>
        <w:t xml:space="preserve">from Peter Nelson, </w:t>
      </w:r>
      <w:r w:rsidR="00E6443A" w:rsidRPr="00E6443A">
        <w:rPr>
          <w:lang w:val="en-US"/>
        </w:rPr>
        <w:t>Fred Hutchinson Cancer Centre</w:t>
      </w:r>
      <w:r w:rsidR="00E6443A">
        <w:rPr>
          <w:lang w:val="en-US"/>
        </w:rPr>
        <w:t>)</w:t>
      </w:r>
      <w:r w:rsidR="00D7329A">
        <w:rPr>
          <w:lang w:val="en-US"/>
        </w:rPr>
        <w:t>,</w:t>
      </w:r>
      <w:r w:rsidR="00E6443A">
        <w:rPr>
          <w:lang w:val="en-US"/>
        </w:rPr>
        <w:t xml:space="preserve"> </w:t>
      </w:r>
      <w:r w:rsidR="004D181D" w:rsidRPr="004D181D">
        <w:rPr>
          <w:lang w:val="en-US"/>
        </w:rPr>
        <w:t>BON1</w:t>
      </w:r>
      <w:r w:rsidR="00D5724C">
        <w:rPr>
          <w:lang w:val="en-US"/>
        </w:rPr>
        <w:t xml:space="preserve"> (were a kind</w:t>
      </w:r>
      <w:r w:rsidR="00D7329A">
        <w:rPr>
          <w:lang w:val="en-US"/>
        </w:rPr>
        <w:t xml:space="preserve"> gift from S</w:t>
      </w:r>
      <w:r w:rsidR="00037987">
        <w:rPr>
          <w:lang w:val="en-US"/>
        </w:rPr>
        <w:t>imona</w:t>
      </w:r>
      <w:r w:rsidR="00D7329A">
        <w:rPr>
          <w:lang w:val="en-US"/>
        </w:rPr>
        <w:t xml:space="preserve"> Glasberg</w:t>
      </w:r>
      <w:r w:rsidR="00037987">
        <w:t xml:space="preserve">, </w:t>
      </w:r>
      <w:r w:rsidR="00037987" w:rsidRPr="00037987">
        <w:rPr>
          <w:lang w:val="en-US"/>
        </w:rPr>
        <w:t>Hadassah Medical Center</w:t>
      </w:r>
      <w:r w:rsidR="00037987">
        <w:rPr>
          <w:lang w:val="en-US"/>
        </w:rPr>
        <w:t>)</w:t>
      </w:r>
      <w:r w:rsidR="004D181D" w:rsidRPr="004D181D">
        <w:rPr>
          <w:lang w:val="en-US"/>
        </w:rPr>
        <w:t>, QGP1</w:t>
      </w:r>
      <w:r w:rsidR="00037987">
        <w:rPr>
          <w:lang w:val="en-US"/>
        </w:rPr>
        <w:t xml:space="preserve"> </w:t>
      </w:r>
      <w:r w:rsidR="00005082">
        <w:rPr>
          <w:lang w:val="en-US"/>
        </w:rPr>
        <w:t>(</w:t>
      </w:r>
      <w:r w:rsidR="00005082" w:rsidRPr="00005082">
        <w:rPr>
          <w:lang w:val="en-US"/>
        </w:rPr>
        <w:t>JCRB</w:t>
      </w:r>
      <w:r w:rsidR="00005082">
        <w:rPr>
          <w:lang w:val="en-US"/>
        </w:rPr>
        <w:t>)</w:t>
      </w:r>
      <w:r w:rsidR="004D181D" w:rsidRPr="004D181D">
        <w:rPr>
          <w:lang w:val="en-US"/>
        </w:rPr>
        <w:t>,</w:t>
      </w:r>
      <w:r w:rsidR="00037987">
        <w:rPr>
          <w:lang w:val="en-US"/>
        </w:rPr>
        <w:t xml:space="preserve"> </w:t>
      </w:r>
      <w:r w:rsidR="00037987" w:rsidRPr="004D181D">
        <w:rPr>
          <w:lang w:val="en-US"/>
        </w:rPr>
        <w:t>BON1</w:t>
      </w:r>
      <w:r w:rsidR="00037987" w:rsidRPr="00AE234C">
        <w:rPr>
          <w:vertAlign w:val="superscript"/>
          <w:lang w:val="en-US"/>
        </w:rPr>
        <w:t>sstr2</w:t>
      </w:r>
      <w:r w:rsidR="00037987">
        <w:rPr>
          <w:lang w:val="en-US"/>
        </w:rPr>
        <w:t xml:space="preserve"> and QGP1</w:t>
      </w:r>
      <w:r w:rsidR="00037987" w:rsidRPr="00AE234C">
        <w:rPr>
          <w:vertAlign w:val="superscript"/>
          <w:lang w:val="en-US"/>
        </w:rPr>
        <w:t>sstr2</w:t>
      </w:r>
      <w:r w:rsidR="00037987">
        <w:rPr>
          <w:vertAlign w:val="superscript"/>
          <w:lang w:val="en-US"/>
        </w:rPr>
        <w:t xml:space="preserve"> </w:t>
      </w:r>
      <w:r w:rsidR="00037987">
        <w:rPr>
          <w:lang w:val="en-US"/>
        </w:rPr>
        <w:t xml:space="preserve">(were a kind gift </w:t>
      </w:r>
      <w:r w:rsidR="00EE6018">
        <w:rPr>
          <w:lang w:val="en-US"/>
        </w:rPr>
        <w:t xml:space="preserve">of </w:t>
      </w:r>
      <w:r w:rsidR="00C61D6B">
        <w:rPr>
          <w:lang w:val="en-US"/>
        </w:rPr>
        <w:t xml:space="preserve">Carsten </w:t>
      </w:r>
      <w:r w:rsidR="009F4476" w:rsidRPr="009F4476">
        <w:rPr>
          <w:lang w:val="en-US"/>
        </w:rPr>
        <w:t>Grötzinger</w:t>
      </w:r>
      <w:r w:rsidR="009F4476">
        <w:rPr>
          <w:lang w:val="en-US"/>
        </w:rPr>
        <w:t xml:space="preserve">, </w:t>
      </w:r>
      <w:r w:rsidR="004B24F4" w:rsidRPr="004B24F4">
        <w:rPr>
          <w:lang w:val="en-US"/>
        </w:rPr>
        <w:t>Charité University Medicine Berlin</w:t>
      </w:r>
      <w:r w:rsidR="004B24F4">
        <w:rPr>
          <w:lang w:val="en-US"/>
        </w:rPr>
        <w:t>)</w:t>
      </w:r>
      <w:r w:rsidR="00037987">
        <w:rPr>
          <w:lang w:val="en-US"/>
        </w:rPr>
        <w:t xml:space="preserve">, </w:t>
      </w:r>
      <w:r w:rsidR="004D181D" w:rsidRPr="004D181D">
        <w:rPr>
          <w:lang w:val="en-US"/>
        </w:rPr>
        <w:t xml:space="preserve"> H727</w:t>
      </w:r>
      <w:r w:rsidR="003F7CB6">
        <w:rPr>
          <w:lang w:val="en-US"/>
        </w:rPr>
        <w:t xml:space="preserve"> (ATCC)</w:t>
      </w:r>
      <w:r w:rsidR="004D181D" w:rsidRPr="004D181D">
        <w:rPr>
          <w:lang w:val="en-US"/>
        </w:rPr>
        <w:t xml:space="preserve"> cells</w:t>
      </w:r>
      <w:r w:rsidR="00AA04A4">
        <w:rPr>
          <w:lang w:val="en-US"/>
        </w:rPr>
        <w:t xml:space="preserve"> were grown in </w:t>
      </w:r>
      <w:r w:rsidR="00EA101E" w:rsidRPr="00EA101E">
        <w:rPr>
          <w:lang w:val="en-US"/>
        </w:rPr>
        <w:t>Roswell Park Memorial Institute (RPMI) 1640 Medium</w:t>
      </w:r>
      <w:r w:rsidR="00512C44" w:rsidRPr="00512C44">
        <w:rPr>
          <w:lang w:val="en-US"/>
        </w:rPr>
        <w:t xml:space="preserve">, supplemented with 10% </w:t>
      </w:r>
      <w:proofErr w:type="spellStart"/>
      <w:r w:rsidR="00512C44" w:rsidRPr="00512C44">
        <w:rPr>
          <w:lang w:val="en-US"/>
        </w:rPr>
        <w:t>foetal</w:t>
      </w:r>
      <w:proofErr w:type="spellEnd"/>
      <w:r w:rsidR="00512C44" w:rsidRPr="00512C44">
        <w:rPr>
          <w:lang w:val="en-US"/>
        </w:rPr>
        <w:t xml:space="preserve"> bovine serum (FBS), 2 mM L-Glutamine, 100 units/mL penicillin, and 0.1 mg/mL streptomycin</w:t>
      </w:r>
      <w:r w:rsidR="00512C44">
        <w:rPr>
          <w:lang w:val="en-US"/>
        </w:rPr>
        <w:t xml:space="preserve">. </w:t>
      </w:r>
    </w:p>
    <w:p w14:paraId="4ED7DF29" w14:textId="3DAFB499" w:rsidR="00CE4545" w:rsidRPr="00590B54" w:rsidRDefault="00CE4545" w:rsidP="00590B54">
      <w:pPr>
        <w:spacing w:line="276" w:lineRule="auto"/>
        <w:jc w:val="both"/>
        <w:rPr>
          <w:i/>
          <w:iCs/>
        </w:rPr>
      </w:pPr>
      <w:r w:rsidRPr="00590B54">
        <w:rPr>
          <w:i/>
          <w:iCs/>
          <w:lang w:val="en-US"/>
        </w:rPr>
        <w:t xml:space="preserve">Immunofluorescence </w:t>
      </w:r>
      <w:r w:rsidR="00242DC1" w:rsidRPr="00590B54">
        <w:rPr>
          <w:i/>
          <w:iCs/>
          <w:lang w:val="en-US"/>
        </w:rPr>
        <w:t>staining</w:t>
      </w:r>
    </w:p>
    <w:p w14:paraId="6B10A518" w14:textId="65200D25" w:rsidR="00C146E8" w:rsidRDefault="00C146E8" w:rsidP="00590B54">
      <w:pPr>
        <w:spacing w:line="276" w:lineRule="auto"/>
        <w:jc w:val="both"/>
      </w:pPr>
      <w:r w:rsidRPr="00C146E8">
        <w:rPr>
          <w:lang w:val="en-US"/>
        </w:rPr>
        <w:t>Cells were grown in a 37°C environment containing 5% CO</w:t>
      </w:r>
      <w:r w:rsidRPr="00C146E8">
        <w:rPr>
          <w:vertAlign w:val="subscript"/>
          <w:lang w:val="en-US"/>
        </w:rPr>
        <w:t xml:space="preserve">2 </w:t>
      </w:r>
      <w:r w:rsidRPr="00C146E8">
        <w:rPr>
          <w:lang w:val="en-US"/>
        </w:rPr>
        <w:t>or in 8-well culture chambers (</w:t>
      </w:r>
      <w:proofErr w:type="spellStart"/>
      <w:r w:rsidRPr="00C146E8">
        <w:rPr>
          <w:lang w:val="en-US"/>
        </w:rPr>
        <w:t>Ibidi</w:t>
      </w:r>
      <w:proofErr w:type="spellEnd"/>
      <w:r w:rsidRPr="00C146E8">
        <w:rPr>
          <w:lang w:val="en-US"/>
        </w:rPr>
        <w:t xml:space="preserve">) at 30,000 cells/well. After exposure of cells to </w:t>
      </w:r>
      <w:r w:rsidRPr="00C146E8">
        <w:rPr>
          <w:vertAlign w:val="superscript"/>
          <w:lang w:val="en-US"/>
        </w:rPr>
        <w:t>177</w:t>
      </w:r>
      <w:r w:rsidRPr="00C146E8">
        <w:rPr>
          <w:lang w:val="en-US"/>
        </w:rPr>
        <w:t xml:space="preserve">Lu-DOTATATE (0.05 - </w:t>
      </w:r>
      <w:r w:rsidR="00F72D79">
        <w:rPr>
          <w:lang w:val="en-US"/>
        </w:rPr>
        <w:t>1</w:t>
      </w:r>
      <w:r w:rsidRPr="00C146E8">
        <w:rPr>
          <w:lang w:val="en-US"/>
        </w:rPr>
        <w:t xml:space="preserve">.5 MBq/mL, 50 MBq/nmol) for 2 h, they were left to recover in fresh growth medium, washed with PBS and then fixed with  aliquots of freshly defrosted 4% PFA. After washing, the cells were permeabilized using 0.2% triton X-100 in TBS buffer (50 mM Tris-Cl, pH 7.5. 150 mM NaCl) for 10 min at room temperature, and briefly rinsed with TBS. Non-specific binding was blocked with 2% BSA and 10% serum (donkey/goat corresponding to secondary antibody) in TBST (0.1% Tween-20/TBS) for 1 h at room temperature. Primary antibodies diluted in blocking buffer was applied directly on the slide and incubated overnight at 4°C, and then washed with TBST. Secondary antibodies were applied in blocking buffer and incubated at room temperature for an hour, washed with TBST and mounted using VECTASHEILD </w:t>
      </w:r>
      <w:proofErr w:type="spellStart"/>
      <w:r w:rsidRPr="00C146E8">
        <w:rPr>
          <w:lang w:val="en-US"/>
        </w:rPr>
        <w:t>HardSet</w:t>
      </w:r>
      <w:proofErr w:type="spellEnd"/>
      <w:r w:rsidRPr="00C146E8">
        <w:rPr>
          <w:lang w:val="en-US"/>
        </w:rPr>
        <w:t xml:space="preserve"> containing DAPI (H-1500-10, VECTOR Laboratories). Slides were then imaged using a spinning disk confocal microscope (Andor Dragonfly, Oxford Instruments)</w:t>
      </w:r>
      <w:r w:rsidR="00D90DB5">
        <w:rPr>
          <w:lang w:val="en-US"/>
        </w:rPr>
        <w:t xml:space="preserve">, or </w:t>
      </w:r>
      <w:proofErr w:type="spellStart"/>
      <w:r w:rsidR="00763CDD">
        <w:rPr>
          <w:lang w:val="en-US"/>
        </w:rPr>
        <w:t>Celigo</w:t>
      </w:r>
      <w:proofErr w:type="spellEnd"/>
      <w:r w:rsidR="00763CDD">
        <w:rPr>
          <w:lang w:val="en-US"/>
        </w:rPr>
        <w:t xml:space="preserve"> (</w:t>
      </w:r>
      <w:proofErr w:type="spellStart"/>
      <w:r w:rsidR="00763CDD">
        <w:rPr>
          <w:lang w:val="en-US"/>
        </w:rPr>
        <w:t>Nexcellcom</w:t>
      </w:r>
      <w:proofErr w:type="spellEnd"/>
      <w:r w:rsidR="00763CDD">
        <w:rPr>
          <w:lang w:val="en-US"/>
        </w:rPr>
        <w:t xml:space="preserve">, </w:t>
      </w:r>
      <w:proofErr w:type="spellStart"/>
      <w:r w:rsidR="00763CDD">
        <w:rPr>
          <w:lang w:val="en-US"/>
        </w:rPr>
        <w:t>Revvity</w:t>
      </w:r>
      <w:proofErr w:type="spellEnd"/>
      <w:r w:rsidR="00763CDD">
        <w:rPr>
          <w:lang w:val="en-US"/>
        </w:rPr>
        <w:t xml:space="preserve">). </w:t>
      </w:r>
    </w:p>
    <w:p w14:paraId="2E059F57" w14:textId="77777777" w:rsidR="00C146E8" w:rsidRPr="00C146E8" w:rsidRDefault="00C146E8" w:rsidP="00590B54">
      <w:pPr>
        <w:spacing w:line="276" w:lineRule="auto"/>
        <w:jc w:val="both"/>
      </w:pPr>
      <w:r w:rsidRPr="00C146E8">
        <w:rPr>
          <w:i/>
          <w:iCs/>
          <w:lang w:val="en-US"/>
        </w:rPr>
        <w:t>Longitudinal γH2AX immunofluorescence counting </w:t>
      </w:r>
      <w:r w:rsidRPr="00C146E8">
        <w:t> </w:t>
      </w:r>
    </w:p>
    <w:p w14:paraId="28BE8F12" w14:textId="77777777" w:rsidR="00C146E8" w:rsidRPr="00C146E8" w:rsidRDefault="00C146E8" w:rsidP="00590B54">
      <w:pPr>
        <w:spacing w:line="276" w:lineRule="auto"/>
        <w:jc w:val="both"/>
      </w:pPr>
      <w:r w:rsidRPr="00C146E8">
        <w:rPr>
          <w:lang w:val="en-US"/>
        </w:rPr>
        <w:t xml:space="preserve">Cells were treated as above and stained using mouse anti-γH2AX antibody (Millipore, Clone JBW-301, 1:800), and  dylight-488 goat anti-mouse (Invitrogen A11034, 1:250). A 40x/1.3 oil-immersion lens was used to generate a series of tiled z-stacks that were then converted to 8 bit maximum intensity projections (MIP) in </w:t>
      </w:r>
      <w:proofErr w:type="spellStart"/>
      <w:r w:rsidRPr="00C146E8">
        <w:rPr>
          <w:lang w:val="en-US"/>
        </w:rPr>
        <w:t>imageJ</w:t>
      </w:r>
      <w:proofErr w:type="spellEnd"/>
      <w:r w:rsidRPr="00C146E8">
        <w:rPr>
          <w:lang w:val="en-US"/>
        </w:rPr>
        <w:t xml:space="preserve"> 1.51. Nuclei were masked, </w:t>
      </w:r>
      <w:proofErr w:type="spellStart"/>
      <w:r w:rsidRPr="00C146E8">
        <w:rPr>
          <w:lang w:val="en-US"/>
        </w:rPr>
        <w:t>analysed</w:t>
      </w:r>
      <w:proofErr w:type="spellEnd"/>
      <w:r w:rsidRPr="00C146E8">
        <w:rPr>
          <w:lang w:val="en-US"/>
        </w:rPr>
        <w:t xml:space="preserve"> for integrated DAPI intensity and γH2AX foci were counted within each </w:t>
      </w:r>
      <w:r w:rsidRPr="00C146E8">
        <w:rPr>
          <w:lang w:val="en-US"/>
        </w:rPr>
        <w:lastRenderedPageBreak/>
        <w:t xml:space="preserve">nuclei using a defined manual intensity threshold using </w:t>
      </w:r>
      <w:proofErr w:type="spellStart"/>
      <w:r w:rsidRPr="00C146E8">
        <w:rPr>
          <w:lang w:val="en-US"/>
        </w:rPr>
        <w:t>Cellprofiler</w:t>
      </w:r>
      <w:proofErr w:type="spellEnd"/>
      <w:r w:rsidRPr="00C146E8">
        <w:rPr>
          <w:lang w:val="en-US"/>
        </w:rPr>
        <w:t xml:space="preserve"> 3.1.9. At least 250 cells were counted for each condition and timepoint. </w:t>
      </w:r>
      <w:r w:rsidRPr="00C146E8">
        <w:t> </w:t>
      </w:r>
    </w:p>
    <w:p w14:paraId="31835D70" w14:textId="77777777" w:rsidR="00C146E8" w:rsidRPr="00C146E8" w:rsidRDefault="00C146E8" w:rsidP="00590B54">
      <w:pPr>
        <w:spacing w:line="276" w:lineRule="auto"/>
        <w:jc w:val="both"/>
      </w:pPr>
      <w:r w:rsidRPr="00C146E8">
        <w:rPr>
          <w:i/>
          <w:iCs/>
          <w:lang w:val="en-US"/>
        </w:rPr>
        <w:t>Annexin V staining</w:t>
      </w:r>
      <w:r w:rsidRPr="00C146E8">
        <w:t> </w:t>
      </w:r>
    </w:p>
    <w:p w14:paraId="17A4587F" w14:textId="77777777" w:rsidR="00C146E8" w:rsidRPr="00C146E8" w:rsidRDefault="00C146E8" w:rsidP="00590B54">
      <w:pPr>
        <w:spacing w:line="276" w:lineRule="auto"/>
        <w:jc w:val="both"/>
      </w:pPr>
      <w:r w:rsidRPr="00C146E8">
        <w:rPr>
          <w:lang w:val="en-US"/>
        </w:rPr>
        <w:t xml:space="preserve">Rat pancreatic CA20948 cells were grown and treated using </w:t>
      </w:r>
      <w:r w:rsidRPr="00C146E8">
        <w:rPr>
          <w:vertAlign w:val="superscript"/>
          <w:lang w:val="en-US"/>
        </w:rPr>
        <w:t>177</w:t>
      </w:r>
      <w:r w:rsidRPr="00C146E8">
        <w:rPr>
          <w:lang w:val="en-US"/>
        </w:rPr>
        <w:t>Lu-DOTATATE as above, except before fixation, cells were washed with binding buffer and stained with annexin V-Cy5 according to manufacturer’s instruction (ab14150, Abcam). For each timepoint, the extent of annexin V positive cells, indicating apoptosis, was counted manually across 3 frames containing at least 100 cells each. </w:t>
      </w:r>
      <w:r w:rsidRPr="00C146E8">
        <w:t> </w:t>
      </w:r>
    </w:p>
    <w:p w14:paraId="16E3CC91" w14:textId="77777777" w:rsidR="00C146E8" w:rsidRPr="00590B54" w:rsidRDefault="00C146E8" w:rsidP="00590B54">
      <w:pPr>
        <w:spacing w:line="276" w:lineRule="auto"/>
        <w:jc w:val="both"/>
        <w:rPr>
          <w:i/>
          <w:iCs/>
        </w:rPr>
      </w:pPr>
      <w:r w:rsidRPr="00590B54">
        <w:rPr>
          <w:i/>
          <w:iCs/>
          <w:lang w:val="en-US"/>
        </w:rPr>
        <w:t>Senescence-associated β-Galactosidase staining</w:t>
      </w:r>
      <w:r w:rsidRPr="00590B54">
        <w:rPr>
          <w:i/>
          <w:iCs/>
        </w:rPr>
        <w:t> </w:t>
      </w:r>
    </w:p>
    <w:p w14:paraId="3C2B94A4" w14:textId="6F325BC8" w:rsidR="00C146E8" w:rsidRDefault="00C146E8" w:rsidP="00590B54">
      <w:pPr>
        <w:spacing w:line="276" w:lineRule="auto"/>
        <w:jc w:val="both"/>
        <w:rPr>
          <w:lang w:val="en-US"/>
        </w:rPr>
      </w:pPr>
      <w:r w:rsidRPr="00C146E8">
        <w:rPr>
          <w:lang w:val="en-US"/>
        </w:rPr>
        <w:t xml:space="preserve">Freshly fixed </w:t>
      </w:r>
      <w:r w:rsidRPr="00C146E8">
        <w:rPr>
          <w:i/>
          <w:iCs/>
          <w:lang w:val="en-US"/>
        </w:rPr>
        <w:t xml:space="preserve">in vitro </w:t>
      </w:r>
      <w:r w:rsidRPr="00C146E8">
        <w:rPr>
          <w:lang w:val="en-US"/>
        </w:rPr>
        <w:t xml:space="preserve">and </w:t>
      </w:r>
      <w:r w:rsidRPr="00C146E8">
        <w:rPr>
          <w:i/>
          <w:iCs/>
          <w:lang w:val="en-US"/>
        </w:rPr>
        <w:t>ex vivo</w:t>
      </w:r>
      <w:r w:rsidRPr="00C146E8">
        <w:rPr>
          <w:lang w:val="en-US"/>
        </w:rPr>
        <w:t xml:space="preserve"> samples were stained after washing , according to the manufacturer’s directions (</w:t>
      </w:r>
      <w:proofErr w:type="spellStart"/>
      <w:r w:rsidRPr="00C146E8">
        <w:rPr>
          <w:lang w:val="en-US"/>
        </w:rPr>
        <w:t>CellEvent</w:t>
      </w:r>
      <w:proofErr w:type="spellEnd"/>
      <w:r w:rsidRPr="00C146E8">
        <w:rPr>
          <w:lang w:val="en-US"/>
        </w:rPr>
        <w:t xml:space="preserve">™ Senescence Green Detection Kit, C10851). If γH2AX staining was also required, immunofluorescence staining was also carried out as above, after the fixation step, </w:t>
      </w:r>
      <w:r w:rsidR="000E5583">
        <w:rPr>
          <w:lang w:val="en-US"/>
        </w:rPr>
        <w:t xml:space="preserve">permeabilized with </w:t>
      </w:r>
      <w:r w:rsidR="000E5583" w:rsidRPr="000E5583">
        <w:rPr>
          <w:lang w:val="en-US"/>
        </w:rPr>
        <w:t>0.2% triton X-100 in TBS buffer</w:t>
      </w:r>
      <w:r w:rsidR="000E5583">
        <w:rPr>
          <w:lang w:val="en-US"/>
        </w:rPr>
        <w:t xml:space="preserve">, </w:t>
      </w:r>
      <w:r w:rsidRPr="00C146E8">
        <w:rPr>
          <w:lang w:val="en-US"/>
        </w:rPr>
        <w:t xml:space="preserve">using rabbit anti-γH2A.X primary antibody (Abcam ab11174, 1:800) and Alexa Fluor 568 donkey anti-rabbit antibody (Invitrogen A10042, 1:250). The extent of SA-β-Gal positive cells grown </w:t>
      </w:r>
      <w:r w:rsidRPr="00C146E8">
        <w:rPr>
          <w:i/>
          <w:iCs/>
          <w:lang w:val="en-US"/>
        </w:rPr>
        <w:t>in vitro</w:t>
      </w:r>
      <w:r w:rsidRPr="00C146E8">
        <w:rPr>
          <w:lang w:val="en-US"/>
        </w:rPr>
        <w:t xml:space="preserve"> was counted manually across 3 frames containing at least 100 cells each, for each timepoint. </w:t>
      </w:r>
    </w:p>
    <w:p w14:paraId="78CC0EC0" w14:textId="77777777" w:rsidR="008C7981" w:rsidRPr="00590B54" w:rsidRDefault="008C7981" w:rsidP="00590B54">
      <w:pPr>
        <w:spacing w:line="276" w:lineRule="auto"/>
        <w:jc w:val="both"/>
        <w:rPr>
          <w:rFonts w:eastAsia="Calibri" w:cs="Calibri"/>
          <w:i/>
          <w:iCs/>
        </w:rPr>
      </w:pPr>
      <w:r w:rsidRPr="00590B54">
        <w:rPr>
          <w:rFonts w:eastAsia="Calibri" w:cs="Calibri"/>
          <w:i/>
          <w:iCs/>
        </w:rPr>
        <w:t>Western blot and antibodies</w:t>
      </w:r>
    </w:p>
    <w:p w14:paraId="475EDEB9" w14:textId="73D1EE1F" w:rsidR="008C7981" w:rsidRPr="00AE234C" w:rsidRDefault="008C7981" w:rsidP="00590B54">
      <w:pPr>
        <w:spacing w:line="276" w:lineRule="auto"/>
        <w:jc w:val="both"/>
        <w:rPr>
          <w:rFonts w:eastAsia="Calibri" w:cs="Calibri"/>
        </w:rPr>
      </w:pPr>
      <w:r w:rsidRPr="00AE234C">
        <w:rPr>
          <w:rFonts w:eastAsia="Calibri" w:cs="Calibri"/>
        </w:rPr>
        <w:t>Cells were collected and samples were prepared as described previously</w:t>
      </w:r>
      <w:r w:rsidR="00B14A87">
        <w:rPr>
          <w:rFonts w:eastAsia="Calibri" w:cs="Calibri"/>
        </w:rPr>
        <w:t xml:space="preserve"> </w:t>
      </w:r>
      <w:r w:rsidR="00BE505B">
        <w:rPr>
          <w:rFonts w:eastAsia="Calibri" w:cs="Calibri"/>
        </w:rPr>
        <w:fldChar w:fldCharType="begin" w:fldLock="1"/>
      </w:r>
      <w:r w:rsidR="00302BE2">
        <w:rPr>
          <w:rFonts w:eastAsia="Calibri" w:cs="Calibri"/>
        </w:rPr>
        <w:instrText>ADDIN paperpile_citation &lt;clusterId&gt;V676C733Y114V717&lt;/clusterId&gt;&lt;metadata&gt;&lt;citation&gt;&lt;id&gt;acd2004c-10a2-4abd-85de-7fa5b109a238&lt;/id&gt;&lt;/citation&gt;&lt;/metadata&gt;&lt;data&gt;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&lt;/data&gt; \* MERGEFORMAT</w:instrText>
      </w:r>
      <w:r w:rsidR="00BE505B">
        <w:rPr>
          <w:rFonts w:eastAsia="Calibri" w:cs="Calibri"/>
        </w:rPr>
        <w:fldChar w:fldCharType="separate"/>
      </w:r>
      <w:r w:rsidR="00302BE2">
        <w:rPr>
          <w:rFonts w:eastAsia="Calibri" w:cs="Calibri"/>
          <w:noProof/>
        </w:rPr>
        <w:t>(Amoroso et al. 2021)</w:t>
      </w:r>
      <w:r w:rsidR="00BE505B">
        <w:rPr>
          <w:rFonts w:eastAsia="Calibri" w:cs="Calibri"/>
        </w:rPr>
        <w:fldChar w:fldCharType="end"/>
      </w:r>
      <w:r w:rsidR="00302BE2">
        <w:rPr>
          <w:rFonts w:eastAsia="Calibri" w:cs="Calibri"/>
        </w:rPr>
        <w:t>.</w:t>
      </w:r>
      <w:r w:rsidRPr="00AE234C">
        <w:rPr>
          <w:rFonts w:eastAsia="Calibri" w:cs="Calibri"/>
        </w:rPr>
        <w:t xml:space="preserve"> The antibodies utilised in this study are summarised in </w:t>
      </w:r>
      <w:r w:rsidR="004B1543">
        <w:rPr>
          <w:rFonts w:eastAsia="Calibri" w:cs="Calibri"/>
        </w:rPr>
        <w:t xml:space="preserve">Supplementary </w:t>
      </w:r>
      <w:r w:rsidR="00086178">
        <w:rPr>
          <w:rFonts w:eastAsia="Calibri" w:cs="Calibri"/>
        </w:rPr>
        <w:t>T</w:t>
      </w:r>
      <w:r w:rsidR="004B1543">
        <w:rPr>
          <w:rFonts w:eastAsia="Calibri" w:cs="Calibri"/>
        </w:rPr>
        <w:t>able 1</w:t>
      </w:r>
      <w:r w:rsidRPr="00AE234C">
        <w:rPr>
          <w:rFonts w:eastAsia="Calibri" w:cs="Calibri"/>
        </w:rPr>
        <w:t xml:space="preserve">. The secondary anti-rabbit and anti-mouse horseradish peroxidase-conjugated Abs (Cell </w:t>
      </w:r>
      <w:proofErr w:type="spellStart"/>
      <w:r w:rsidRPr="00AE234C">
        <w:rPr>
          <w:rFonts w:eastAsia="Calibri" w:cs="Calibri"/>
        </w:rPr>
        <w:t>Signaling</w:t>
      </w:r>
      <w:proofErr w:type="spellEnd"/>
      <w:r w:rsidRPr="00AE234C">
        <w:rPr>
          <w:rFonts w:eastAsia="Calibri" w:cs="Calibri"/>
        </w:rPr>
        <w:t xml:space="preserve">) were used at a dilution of 1:3000 in PBS-0.25% Tween (Sigma Aldrich). </w:t>
      </w:r>
      <w:r w:rsidR="001D4857">
        <w:rPr>
          <w:rFonts w:eastAsia="Calibri" w:cs="Calibri"/>
        </w:rPr>
        <w:t xml:space="preserve">Proteins were visualised with </w:t>
      </w:r>
      <w:r w:rsidR="001D4857" w:rsidRPr="001D4857">
        <w:rPr>
          <w:rFonts w:eastAsia="Calibri" w:cs="Calibri"/>
        </w:rPr>
        <w:t>Western Lightning Ultra</w:t>
      </w:r>
      <w:r w:rsidR="001D4857">
        <w:rPr>
          <w:rFonts w:eastAsia="Calibri" w:cs="Calibri"/>
        </w:rPr>
        <w:t xml:space="preserve"> (</w:t>
      </w:r>
      <w:proofErr w:type="spellStart"/>
      <w:r w:rsidR="001D4857">
        <w:rPr>
          <w:rFonts w:eastAsia="Calibri" w:cs="Calibri"/>
        </w:rPr>
        <w:t>Revvity</w:t>
      </w:r>
      <w:proofErr w:type="spellEnd"/>
      <w:r w:rsidR="001D4857">
        <w:rPr>
          <w:rFonts w:eastAsia="Calibri" w:cs="Calibri"/>
        </w:rPr>
        <w:t xml:space="preserve">), according to manufacturer’s specifications. </w:t>
      </w:r>
      <w:r w:rsidRPr="00AE234C">
        <w:rPr>
          <w:rFonts w:eastAsia="Calibri" w:cs="Calibri"/>
        </w:rPr>
        <w:t xml:space="preserve">Membranes were </w:t>
      </w:r>
      <w:r w:rsidR="00813186">
        <w:rPr>
          <w:rFonts w:eastAsia="Calibri" w:cs="Calibri"/>
        </w:rPr>
        <w:t>imaged with an</w:t>
      </w:r>
      <w:r w:rsidRPr="00AE234C">
        <w:rPr>
          <w:rFonts w:eastAsia="Calibri" w:cs="Calibri"/>
        </w:rPr>
        <w:t xml:space="preserve"> Odyssey XF Imaging System (</w:t>
      </w:r>
      <w:proofErr w:type="spellStart"/>
      <w:r w:rsidRPr="00AE234C">
        <w:rPr>
          <w:rFonts w:eastAsia="Calibri" w:cs="Calibri"/>
        </w:rPr>
        <w:t>LICORbio</w:t>
      </w:r>
      <w:proofErr w:type="spellEnd"/>
      <w:r w:rsidRPr="00AE234C">
        <w:rPr>
          <w:rFonts w:eastAsia="Calibri" w:cs="Calibri"/>
        </w:rPr>
        <w:t xml:space="preserve">, Lincoln, US). </w:t>
      </w:r>
    </w:p>
    <w:p w14:paraId="1D934C88" w14:textId="77777777" w:rsidR="008C7981" w:rsidRPr="00AE234C" w:rsidRDefault="008C7981" w:rsidP="00590B54">
      <w:pPr>
        <w:spacing w:line="276" w:lineRule="auto"/>
        <w:jc w:val="both"/>
        <w:rPr>
          <w:rFonts w:eastAsia="Calibri" w:cs="Calibri"/>
        </w:rPr>
      </w:pPr>
      <w:r w:rsidRPr="00AE234C">
        <w:rPr>
          <w:rFonts w:eastAsia="Calibri" w:cs="Calibri"/>
        </w:rPr>
        <w:t xml:space="preserve">Densitometric analysis of the membranes (from n = 3 independent experiments) were performed utilising Fiji-ImageJ (Public Domain, BSD-2). </w:t>
      </w:r>
    </w:p>
    <w:p w14:paraId="750A83DE" w14:textId="77777777" w:rsidR="00436F51" w:rsidRPr="00C146E8" w:rsidRDefault="00436F51" w:rsidP="00590B54">
      <w:pPr>
        <w:spacing w:line="276" w:lineRule="auto"/>
        <w:jc w:val="both"/>
      </w:pPr>
    </w:p>
    <w:p w14:paraId="1CE235FD" w14:textId="55A9F72D" w:rsidR="00436F51" w:rsidRPr="00590B54" w:rsidRDefault="00436F51" w:rsidP="00590B54">
      <w:pPr>
        <w:spacing w:line="276" w:lineRule="auto"/>
        <w:jc w:val="both"/>
        <w:rPr>
          <w:i/>
          <w:iCs/>
        </w:rPr>
      </w:pPr>
      <w:r w:rsidRPr="00590B54">
        <w:rPr>
          <w:i/>
          <w:iCs/>
        </w:rPr>
        <w:t>22Rv1 In vivo studies</w:t>
      </w:r>
    </w:p>
    <w:p w14:paraId="2849403A" w14:textId="7428F700" w:rsidR="00CB4543" w:rsidRDefault="00436F51" w:rsidP="00590B54">
      <w:pPr>
        <w:spacing w:line="276" w:lineRule="auto"/>
        <w:jc w:val="both"/>
      </w:pPr>
      <w:r w:rsidRPr="00E31FEB">
        <w:t xml:space="preserve">To evaluate efficacy of the combination of </w:t>
      </w:r>
      <w:r w:rsidR="00F144AF" w:rsidRPr="00E31FEB">
        <w:rPr>
          <w:vertAlign w:val="superscript"/>
        </w:rPr>
        <w:t>177</w:t>
      </w:r>
      <w:r w:rsidR="00F144AF" w:rsidRPr="00E31FEB">
        <w:t>Lu-PSMA-I&amp;T and Abemaciclib</w:t>
      </w:r>
      <w:r w:rsidR="00D62CE1" w:rsidRPr="00E31FEB">
        <w:t xml:space="preserve"> (</w:t>
      </w:r>
      <w:proofErr w:type="spellStart"/>
      <w:r w:rsidR="00D62CE1" w:rsidRPr="00E31FEB">
        <w:t>Selleckchem</w:t>
      </w:r>
      <w:proofErr w:type="spellEnd"/>
      <w:r w:rsidR="00D62CE1" w:rsidRPr="00E31FEB">
        <w:t>)</w:t>
      </w:r>
      <w:r w:rsidRPr="00E31FEB">
        <w:t xml:space="preserve">, </w:t>
      </w:r>
      <w:r w:rsidR="00F144AF" w:rsidRPr="00E31FEB">
        <w:t xml:space="preserve">22Rv1 </w:t>
      </w:r>
      <w:r w:rsidRPr="00E31FEB">
        <w:t>xenograft tumours were established subcutaneously in</w:t>
      </w:r>
      <w:r w:rsidR="00453126" w:rsidRPr="00E31FEB">
        <w:t xml:space="preserve"> </w:t>
      </w:r>
      <w:r w:rsidR="00D62CE1" w:rsidRPr="00E31FEB">
        <w:t xml:space="preserve">male </w:t>
      </w:r>
      <w:r w:rsidR="00BD6107" w:rsidRPr="00E31FEB">
        <w:t>C.B-17/</w:t>
      </w:r>
      <w:proofErr w:type="spellStart"/>
      <w:r w:rsidR="00BD6107" w:rsidRPr="00E31FEB">
        <w:t>Icr</w:t>
      </w:r>
      <w:proofErr w:type="spellEnd"/>
      <w:r w:rsidR="00D62CE1" w:rsidRPr="00E31FEB">
        <w:t xml:space="preserve"> SCID mice (Charles River, UK)</w:t>
      </w:r>
      <w:r w:rsidR="002F68EA" w:rsidRPr="00E31FEB">
        <w:t xml:space="preserve"> in </w:t>
      </w:r>
      <w:proofErr w:type="spellStart"/>
      <w:r w:rsidR="00637937" w:rsidRPr="00E31FEB">
        <w:t>matrigel:PBS</w:t>
      </w:r>
      <w:proofErr w:type="spellEnd"/>
      <w:r w:rsidR="00637937" w:rsidRPr="00E31FEB">
        <w:t xml:space="preserve"> (1:1)</w:t>
      </w:r>
      <w:r w:rsidR="00CB4543" w:rsidRPr="00E31FEB">
        <w:t xml:space="preserve"> </w:t>
      </w:r>
      <w:r w:rsidR="00CB4543" w:rsidRPr="00AE234C">
        <w:rPr>
          <w:rFonts w:eastAsia="Calibri" w:cs="Calibri"/>
        </w:rPr>
        <w:t>(Corning Matrigel Matrix, Merck, Germany)</w:t>
      </w:r>
      <w:r w:rsidRPr="00E31FEB">
        <w:t>. After 1</w:t>
      </w:r>
      <w:r w:rsidR="00446B2E" w:rsidRPr="00E31FEB">
        <w:t>9</w:t>
      </w:r>
      <w:r w:rsidRPr="00E31FEB">
        <w:t xml:space="preserve"> days when tumours reached approx. </w:t>
      </w:r>
      <w:r w:rsidR="00446B2E" w:rsidRPr="00E31FEB">
        <w:t>1</w:t>
      </w:r>
      <w:r w:rsidRPr="00E31FEB">
        <w:t>0</w:t>
      </w:r>
      <w:r w:rsidR="00552A12" w:rsidRPr="00E31FEB">
        <w:t xml:space="preserve">0-300 </w:t>
      </w:r>
      <w:r w:rsidRPr="00E31FEB">
        <w:t>mm</w:t>
      </w:r>
      <w:r w:rsidRPr="00E31FEB">
        <w:rPr>
          <w:vertAlign w:val="superscript"/>
        </w:rPr>
        <w:t>3</w:t>
      </w:r>
      <w:r w:rsidR="00552A12" w:rsidRPr="00E31FEB">
        <w:t>, mice</w:t>
      </w:r>
      <w:r w:rsidR="00552A12" w:rsidRPr="00AE234C">
        <w:rPr>
          <w:rFonts w:eastAsia="Calibri" w:cs="Calibri"/>
        </w:rPr>
        <w:t xml:space="preserve"> were randomly allocated in 4 treatment groups </w:t>
      </w:r>
      <w:r w:rsidRPr="00E31FEB">
        <w:t xml:space="preserve">administered a sub-therapeutic amount of </w:t>
      </w:r>
      <w:r w:rsidRPr="00E31FEB">
        <w:rPr>
          <w:vertAlign w:val="superscript"/>
        </w:rPr>
        <w:t>177</w:t>
      </w:r>
      <w:r w:rsidRPr="00E31FEB">
        <w:t>Lu-</w:t>
      </w:r>
      <w:r w:rsidR="0004612D" w:rsidRPr="00E31FEB">
        <w:t>PSMA</w:t>
      </w:r>
      <w:r w:rsidRPr="00E31FEB">
        <w:t xml:space="preserve"> (</w:t>
      </w:r>
      <w:r w:rsidR="00726CD6" w:rsidRPr="00E31FEB">
        <w:t>40</w:t>
      </w:r>
      <w:r w:rsidRPr="00E31FEB">
        <w:t xml:space="preserve"> MBq)</w:t>
      </w:r>
      <w:r w:rsidR="00024535" w:rsidRPr="00E31FEB">
        <w:t xml:space="preserve"> in</w:t>
      </w:r>
      <w:r w:rsidR="00B225BB" w:rsidRPr="00E31FEB">
        <w:t xml:space="preserve"> phosphate buffered saline (100 </w:t>
      </w:r>
      <w:proofErr w:type="spellStart"/>
      <w:r w:rsidR="00B225BB" w:rsidRPr="00E31FEB">
        <w:t>uL</w:t>
      </w:r>
      <w:proofErr w:type="spellEnd"/>
      <w:r w:rsidR="00B225BB" w:rsidRPr="00E31FEB">
        <w:t>)</w:t>
      </w:r>
      <w:r w:rsidR="00552A12" w:rsidRPr="00E31FEB">
        <w:t xml:space="preserve"> </w:t>
      </w:r>
      <w:r w:rsidR="00E31FEB" w:rsidRPr="00E31FEB">
        <w:t>intravenously</w:t>
      </w:r>
      <w:r w:rsidRPr="00E31FEB">
        <w:t>. From the following day, mice were administered CDK4/6 inhibitor abemaciclib (25 mg/kg) daily</w:t>
      </w:r>
      <w:r w:rsidR="004E2E5F" w:rsidRPr="00E31FEB">
        <w:t xml:space="preserve"> by </w:t>
      </w:r>
      <w:r w:rsidR="004E2E5F" w:rsidRPr="00E31FEB">
        <w:lastRenderedPageBreak/>
        <w:t>oral gavage</w:t>
      </w:r>
      <w:r w:rsidRPr="00E31FEB">
        <w:t>, for 10 days</w:t>
      </w:r>
      <w:r w:rsidR="000E63E2">
        <w:t>. T</w:t>
      </w:r>
      <w:r w:rsidRPr="00E31FEB">
        <w:t>umours were measured by calliper</w:t>
      </w:r>
      <w:r w:rsidR="00E31FEB" w:rsidRPr="00E31FEB">
        <w:t xml:space="preserve"> </w:t>
      </w:r>
      <w:r w:rsidR="00E31FEB" w:rsidRPr="00AE234C">
        <w:rPr>
          <w:rFonts w:eastAsia="Calibri" w:cs="Calibri"/>
        </w:rPr>
        <w:t>every 3 days using callipers until they reached a target volume of 1200 mm</w:t>
      </w:r>
      <w:r w:rsidR="00E31FEB" w:rsidRPr="00AE234C">
        <w:rPr>
          <w:rFonts w:eastAsia="Calibri" w:cs="Calibri"/>
          <w:vertAlign w:val="superscript"/>
        </w:rPr>
        <w:t>3</w:t>
      </w:r>
      <w:r w:rsidRPr="00E31FEB">
        <w:t xml:space="preserve">.  </w:t>
      </w:r>
    </w:p>
    <w:p w14:paraId="7D88E1CD" w14:textId="56C82C7F" w:rsidR="007A3CC2" w:rsidRPr="00590B54" w:rsidRDefault="007A3CC2" w:rsidP="00590B54">
      <w:pPr>
        <w:spacing w:line="276" w:lineRule="auto"/>
        <w:jc w:val="both"/>
        <w:rPr>
          <w:i/>
          <w:iCs/>
        </w:rPr>
      </w:pPr>
      <w:r w:rsidRPr="00590B54">
        <w:rPr>
          <w:i/>
          <w:iCs/>
        </w:rPr>
        <w:t>Colony Formation Assay</w:t>
      </w:r>
    </w:p>
    <w:p w14:paraId="6931794D" w14:textId="308C4540" w:rsidR="00DA04DD" w:rsidRPr="00436F51" w:rsidRDefault="00AC4058" w:rsidP="00590B54">
      <w:pPr>
        <w:spacing w:line="276" w:lineRule="auto"/>
        <w:jc w:val="both"/>
      </w:pPr>
      <w:r w:rsidRPr="00AC4058">
        <w:t xml:space="preserve">CA20948 cells were exposed to </w:t>
      </w:r>
      <w:r w:rsidRPr="00AC4058">
        <w:rPr>
          <w:vertAlign w:val="superscript"/>
        </w:rPr>
        <w:t>177</w:t>
      </w:r>
      <w:r w:rsidRPr="00AC4058">
        <w:t xml:space="preserve">Lu-DOTATATE (0.32 MBq/mL, TRT), or vehicle, for 2h, or exposed to an equitoxic dose (2.5 Gy) of external beam radiation (EBRT), </w:t>
      </w:r>
      <w:r w:rsidR="00BF4590">
        <w:t>heavily diluted in excess media</w:t>
      </w:r>
      <w:r w:rsidR="00BF4590" w:rsidRPr="00AC4058">
        <w:t xml:space="preserve"> </w:t>
      </w:r>
      <w:r w:rsidRPr="00AC4058">
        <w:t>and incubated on in varying concentrations of one of a panel of drugs</w:t>
      </w:r>
      <w:r w:rsidR="00C10DDA">
        <w:t xml:space="preserve"> in 96 well plates (Greiner </w:t>
      </w:r>
      <w:r w:rsidR="004136C6">
        <w:t>Bio-One</w:t>
      </w:r>
      <w:r w:rsidR="00EF6B08">
        <w:t xml:space="preserve">, </w:t>
      </w:r>
      <w:r w:rsidR="00EF6B08" w:rsidRPr="00EF6B08">
        <w:t>655160</w:t>
      </w:r>
      <w:r w:rsidR="004136C6">
        <w:t>)</w:t>
      </w:r>
      <w:r w:rsidRPr="00AC4058">
        <w:t xml:space="preserve">. </w:t>
      </w:r>
      <w:r w:rsidR="00A11913">
        <w:t>Similarly, LNCaP (WT and p53</w:t>
      </w:r>
      <w:r w:rsidR="00A11913" w:rsidRPr="009B3F52">
        <w:rPr>
          <w:vertAlign w:val="superscript"/>
        </w:rPr>
        <w:t>-/-</w:t>
      </w:r>
      <w:r w:rsidR="00A11913">
        <w:t xml:space="preserve">) were treated with or without </w:t>
      </w:r>
      <w:r w:rsidR="00A11913" w:rsidRPr="009B3F52">
        <w:rPr>
          <w:vertAlign w:val="superscript"/>
        </w:rPr>
        <w:t>177</w:t>
      </w:r>
      <w:r w:rsidR="00A11913">
        <w:t xml:space="preserve">Lu-PSMA (5 MBq/mL), diluted with and then incubated with varying concentrations of abemaciclib. </w:t>
      </w:r>
      <w:r w:rsidR="00BD1390">
        <w:t xml:space="preserve">After </w:t>
      </w:r>
      <w:r w:rsidR="00A11913">
        <w:t>1</w:t>
      </w:r>
      <w:r w:rsidRPr="00AC4058">
        <w:t>2 days</w:t>
      </w:r>
      <w:r w:rsidR="00BD1390">
        <w:t xml:space="preserve"> (CA20948), 14 days (</w:t>
      </w:r>
      <w:r w:rsidR="00102AA2">
        <w:t>LNCaP</w:t>
      </w:r>
      <w:r w:rsidR="00102AA2" w:rsidRPr="00102AA2">
        <w:t xml:space="preserve"> </w:t>
      </w:r>
      <w:r w:rsidR="00102AA2">
        <w:t>WT and p53</w:t>
      </w:r>
      <w:r w:rsidR="00102AA2" w:rsidRPr="009B3F52">
        <w:rPr>
          <w:vertAlign w:val="superscript"/>
        </w:rPr>
        <w:t>-/-</w:t>
      </w:r>
      <w:r w:rsidR="00102AA2">
        <w:t xml:space="preserve">), </w:t>
      </w:r>
      <w:r w:rsidRPr="00AC4058">
        <w:t xml:space="preserve"> cells </w:t>
      </w:r>
      <w:r w:rsidR="006718DF">
        <w:t xml:space="preserve">were </w:t>
      </w:r>
      <w:r w:rsidRPr="00AC4058">
        <w:t>stained</w:t>
      </w:r>
      <w:r w:rsidR="006718DF">
        <w:t xml:space="preserve"> and fixed </w:t>
      </w:r>
      <w:r w:rsidR="00696616">
        <w:t>with Crystal Violet (0.1 %</w:t>
      </w:r>
      <w:r w:rsidR="00A12395">
        <w:t xml:space="preserve"> w/</w:t>
      </w:r>
      <w:r w:rsidR="00D41BDD">
        <w:t>w</w:t>
      </w:r>
      <w:r w:rsidR="00696616">
        <w:t xml:space="preserve">) in </w:t>
      </w:r>
      <w:proofErr w:type="spellStart"/>
      <w:r w:rsidR="00696616">
        <w:t>methanol:ethanol</w:t>
      </w:r>
      <w:proofErr w:type="spellEnd"/>
      <w:r w:rsidR="00696616">
        <w:t xml:space="preserve"> (</w:t>
      </w:r>
      <w:r w:rsidR="00A12395">
        <w:t>1:4, w/w)</w:t>
      </w:r>
      <w:r w:rsidRPr="00AC4058">
        <w:t xml:space="preserve"> to assess clonogenic survival</w:t>
      </w:r>
      <w:r w:rsidR="00D41BDD">
        <w:t xml:space="preserve"> and counted using </w:t>
      </w:r>
      <w:proofErr w:type="spellStart"/>
      <w:r w:rsidR="00D41BDD">
        <w:t>Gelcount</w:t>
      </w:r>
      <w:proofErr w:type="spellEnd"/>
      <w:r w:rsidR="00D41BDD">
        <w:t xml:space="preserve"> (</w:t>
      </w:r>
      <w:r w:rsidR="00B614D5">
        <w:t xml:space="preserve">Oxford </w:t>
      </w:r>
      <w:proofErr w:type="spellStart"/>
      <w:r w:rsidR="00B614D5">
        <w:t>Optronix</w:t>
      </w:r>
      <w:proofErr w:type="spellEnd"/>
      <w:r w:rsidR="00E7092D">
        <w:t>), and IC50 values calculated using Prism (</w:t>
      </w:r>
      <w:proofErr w:type="spellStart"/>
      <w:r w:rsidR="00E7092D">
        <w:t>Graphpad</w:t>
      </w:r>
      <w:proofErr w:type="spellEnd"/>
      <w:r w:rsidR="006767E6">
        <w:t xml:space="preserve"> 10.1</w:t>
      </w:r>
      <w:r w:rsidR="00E7092D">
        <w:t>)</w:t>
      </w:r>
      <w:r w:rsidR="006767E6">
        <w:t xml:space="preserve"> using </w:t>
      </w:r>
      <w:r w:rsidR="008277E8">
        <w:t>a 4</w:t>
      </w:r>
      <w:r w:rsidR="008277E8" w:rsidRPr="008277E8">
        <w:t>-Parameter Logistic (4PL)</w:t>
      </w:r>
      <w:r w:rsidR="00DA04DD">
        <w:t>.</w:t>
      </w:r>
      <w:r w:rsidR="00BF4590">
        <w:t xml:space="preserve"> </w:t>
      </w:r>
    </w:p>
    <w:p w14:paraId="63010857" w14:textId="77777777" w:rsidR="001A5331" w:rsidRPr="00590B54" w:rsidRDefault="001A5331" w:rsidP="00590B54">
      <w:pPr>
        <w:spacing w:line="276" w:lineRule="auto"/>
        <w:jc w:val="both"/>
        <w:rPr>
          <w:rFonts w:cs="Calibri"/>
          <w:i/>
          <w:iCs/>
        </w:rPr>
      </w:pPr>
      <w:r w:rsidRPr="00590B54">
        <w:rPr>
          <w:rFonts w:cs="Calibri"/>
          <w:i/>
          <w:iCs/>
        </w:rPr>
        <w:t>Evaluation of SASP</w:t>
      </w:r>
    </w:p>
    <w:p w14:paraId="39A9E419" w14:textId="488BAA0B" w:rsidR="001A5331" w:rsidRPr="00AE234C" w:rsidRDefault="001A5331" w:rsidP="00590B54">
      <w:pPr>
        <w:spacing w:line="276" w:lineRule="auto"/>
        <w:jc w:val="both"/>
        <w:rPr>
          <w:rFonts w:eastAsia="Calibri" w:cs="Calibri"/>
        </w:rPr>
      </w:pPr>
      <w:r w:rsidRPr="00AE234C">
        <w:rPr>
          <w:rFonts w:eastAsia="Calibri" w:cs="Calibri"/>
        </w:rPr>
        <w:t xml:space="preserve">22Rv1 cells were radiolabelled with </w:t>
      </w:r>
      <w:r w:rsidRPr="00AE234C">
        <w:rPr>
          <w:rFonts w:eastAsia="Calibri" w:cs="Calibri"/>
          <w:vertAlign w:val="superscript"/>
        </w:rPr>
        <w:t>177</w:t>
      </w:r>
      <w:r w:rsidRPr="00AE234C">
        <w:rPr>
          <w:rFonts w:eastAsia="Calibri" w:cs="Calibri"/>
        </w:rPr>
        <w:t xml:space="preserve">Lu-PSMA as described above with 22 MBq/mL or sham radiolabelled. Concomitant addition of Abemaciclib (200 </w:t>
      </w:r>
      <w:proofErr w:type="spellStart"/>
      <w:r w:rsidRPr="00AE234C">
        <w:rPr>
          <w:rFonts w:eastAsia="Calibri" w:cs="Calibri"/>
        </w:rPr>
        <w:t>nM</w:t>
      </w:r>
      <w:proofErr w:type="spellEnd"/>
      <w:r w:rsidRPr="00AE234C">
        <w:rPr>
          <w:rFonts w:eastAsia="Calibri" w:cs="Calibri"/>
        </w:rPr>
        <w:t xml:space="preserve"> and 1 µM) or Vehicle (DMSO 0.1%) started 7 days treatment window. Supernatants and cells were collected at 7 days and processed with Proteome Profiler, Human Cytokine Array (</w:t>
      </w:r>
      <w:proofErr w:type="spellStart"/>
      <w:r w:rsidRPr="00AE234C">
        <w:rPr>
          <w:rFonts w:eastAsia="Calibri" w:cs="Calibri"/>
        </w:rPr>
        <w:t>Biotechne</w:t>
      </w:r>
      <w:proofErr w:type="spellEnd"/>
      <w:r w:rsidRPr="00AE234C">
        <w:rPr>
          <w:rFonts w:eastAsia="Calibri" w:cs="Calibri"/>
        </w:rPr>
        <w:t xml:space="preserve">, R&amp;D System, Abingdon, UK) according to manufacturer’s </w:t>
      </w:r>
      <w:r w:rsidR="000A27E2" w:rsidRPr="00AE234C">
        <w:rPr>
          <w:rFonts w:eastAsia="Calibri" w:cs="Calibri"/>
        </w:rPr>
        <w:t>instruction</w:t>
      </w:r>
      <w:r w:rsidRPr="00AE234C">
        <w:rPr>
          <w:rFonts w:eastAsia="Calibri" w:cs="Calibri"/>
        </w:rPr>
        <w:t>s. Quantitative analysis (in the form of integrated intensity) of MIF (Macrophage migration inhibitory factor) was performed with Fiji-ImageJ (Public Domain, BSD-2).</w:t>
      </w:r>
    </w:p>
    <w:p w14:paraId="5ACEE252" w14:textId="77777777" w:rsidR="000A27E2" w:rsidRDefault="000A27E2" w:rsidP="00590B54">
      <w:pPr>
        <w:spacing w:line="276" w:lineRule="auto"/>
        <w:jc w:val="both"/>
        <w:rPr>
          <w:rFonts w:ascii="Calibri" w:eastAsia="Calibri" w:hAnsi="Calibri" w:cs="Calibri"/>
        </w:rPr>
      </w:pPr>
    </w:p>
    <w:p w14:paraId="523FCD87" w14:textId="77777777" w:rsidR="008642F9" w:rsidRPr="00590B54" w:rsidRDefault="008642F9" w:rsidP="00590B54">
      <w:pPr>
        <w:spacing w:line="276" w:lineRule="auto"/>
        <w:jc w:val="both"/>
        <w:rPr>
          <w:rFonts w:eastAsia="Calibri" w:cs="Calibri"/>
          <w:i/>
          <w:iCs/>
          <w:spacing w:val="-1"/>
        </w:rPr>
      </w:pPr>
      <w:r w:rsidRPr="00590B54">
        <w:rPr>
          <w:rFonts w:eastAsia="Calibri" w:cs="Calibri"/>
          <w:i/>
          <w:iCs/>
          <w:spacing w:val="-1"/>
        </w:rPr>
        <w:t xml:space="preserve">Statistical Analysis </w:t>
      </w:r>
    </w:p>
    <w:p w14:paraId="74BC8AF5" w14:textId="36A47EA1" w:rsidR="008642F9" w:rsidRDefault="008642F9" w:rsidP="00590B54">
      <w:pPr>
        <w:spacing w:line="276" w:lineRule="auto"/>
        <w:jc w:val="both"/>
        <w:rPr>
          <w:rFonts w:eastAsia="Calibri" w:cs="Calibri"/>
          <w:spacing w:val="-1"/>
        </w:rPr>
      </w:pPr>
      <w:r w:rsidRPr="00AE234C">
        <w:rPr>
          <w:rFonts w:eastAsia="Calibri" w:cs="Calibri"/>
          <w:spacing w:val="-1"/>
        </w:rPr>
        <w:t xml:space="preserve">All data are shown as mean ± S.D, on at least three replicates. Tests of significance on </w:t>
      </w:r>
      <w:r>
        <w:rPr>
          <w:rFonts w:eastAsia="Calibri" w:cs="Calibri"/>
          <w:spacing w:val="-1"/>
        </w:rPr>
        <w:t>d</w:t>
      </w:r>
      <w:r w:rsidRPr="00AE234C">
        <w:rPr>
          <w:rFonts w:eastAsia="Calibri" w:cs="Calibri"/>
          <w:spacing w:val="-1"/>
        </w:rPr>
        <w:t xml:space="preserve">ensitometric analysis of Western blot images were performed by one-way ANOVA test, using GraphPad Prism version 10.2.3 for Windows (GraphPad Software, www.graphpad.com). Significant changes had p-values &lt;0.05 (* &lt;0.05 **&lt;0.01 ***&lt;0.001 ****&lt;0.0001). To determine the effect of time on mice weights during our </w:t>
      </w:r>
      <w:r w:rsidRPr="00AE234C">
        <w:rPr>
          <w:rFonts w:eastAsia="Calibri" w:cs="Calibri"/>
          <w:i/>
          <w:iCs/>
          <w:spacing w:val="-1"/>
        </w:rPr>
        <w:t>in vivo</w:t>
      </w:r>
      <w:r w:rsidRPr="00AE234C">
        <w:rPr>
          <w:rFonts w:eastAsia="Calibri" w:cs="Calibri"/>
          <w:spacing w:val="-1"/>
        </w:rPr>
        <w:t xml:space="preserve"> study we performed a mixed effect analysis with GraphPad Prism version 10.2.3 for Windows (*** p &lt;0.001). To verify the effects of treatments on mice weights during our </w:t>
      </w:r>
      <w:r w:rsidRPr="00AE234C">
        <w:rPr>
          <w:rFonts w:eastAsia="Calibri" w:cs="Calibri"/>
          <w:i/>
          <w:iCs/>
          <w:spacing w:val="-1"/>
        </w:rPr>
        <w:t>in vivo</w:t>
      </w:r>
      <w:r w:rsidRPr="00AE234C">
        <w:rPr>
          <w:rFonts w:eastAsia="Calibri" w:cs="Calibri"/>
          <w:spacing w:val="-1"/>
        </w:rPr>
        <w:t xml:space="preserve"> study we performed a two-way ANOVA test with GraphPad Prism version 10.2.3 for Windows (p = </w:t>
      </w:r>
      <w:proofErr w:type="spellStart"/>
      <w:r w:rsidRPr="00AE234C">
        <w:rPr>
          <w:rFonts w:eastAsia="Calibri" w:cs="Calibri"/>
          <w:spacing w:val="-1"/>
        </w:rPr>
        <w:t>n.s</w:t>
      </w:r>
      <w:proofErr w:type="spellEnd"/>
      <w:r w:rsidRPr="00AE234C">
        <w:rPr>
          <w:rFonts w:eastAsia="Calibri" w:cs="Calibri"/>
          <w:spacing w:val="-1"/>
        </w:rPr>
        <w:t xml:space="preserve">., non-significant). </w:t>
      </w:r>
    </w:p>
    <w:p w14:paraId="09A5DD06" w14:textId="77777777" w:rsidR="00B111AA" w:rsidRPr="00AE234C" w:rsidRDefault="00B111AA" w:rsidP="008642F9">
      <w:pPr>
        <w:spacing w:line="360" w:lineRule="auto"/>
        <w:jc w:val="both"/>
        <w:rPr>
          <w:rFonts w:eastAsia="Calibri" w:cs="Calibri"/>
          <w:bCs/>
          <w:spacing w:val="-1"/>
        </w:rPr>
      </w:pPr>
    </w:p>
    <w:p w14:paraId="48820324" w14:textId="77777777" w:rsidR="00590B54" w:rsidRDefault="00590B54">
      <w:pPr>
        <w:rPr>
          <w:rFonts w:hAnsi="Aptos"/>
          <w:color w:val="000000" w:themeColor="text1"/>
          <w:kern w:val="24"/>
          <w:sz w:val="36"/>
          <w:szCs w:val="36"/>
          <w:lang w:val="en-US"/>
        </w:rPr>
      </w:pPr>
      <w:r>
        <w:rPr>
          <w:rFonts w:hAnsi="Aptos"/>
          <w:color w:val="000000" w:themeColor="text1"/>
          <w:kern w:val="24"/>
          <w:sz w:val="36"/>
          <w:szCs w:val="36"/>
          <w:lang w:val="en-US"/>
        </w:rPr>
        <w:br w:type="page"/>
      </w:r>
    </w:p>
    <w:p w14:paraId="5A7C65AE" w14:textId="5732876B" w:rsidR="00B111AA" w:rsidRPr="00590B54" w:rsidRDefault="00B111AA" w:rsidP="00B111AA">
      <w:pPr>
        <w:rPr>
          <w:rFonts w:hAnsi="Aptos"/>
          <w:b/>
          <w:bCs/>
          <w:color w:val="000000" w:themeColor="text1"/>
          <w:kern w:val="24"/>
          <w:sz w:val="36"/>
          <w:szCs w:val="36"/>
          <w:lang w:val="en-US"/>
          <w14:ligatures w14:val="none"/>
        </w:rPr>
      </w:pPr>
      <w:r w:rsidRPr="00590B54">
        <w:rPr>
          <w:rFonts w:hAnsi="Aptos"/>
          <w:b/>
          <w:bCs/>
          <w:color w:val="000000" w:themeColor="text1"/>
          <w:kern w:val="24"/>
          <w:sz w:val="36"/>
          <w:szCs w:val="36"/>
          <w:lang w:val="en-US"/>
        </w:rPr>
        <w:lastRenderedPageBreak/>
        <w:t>Supplementary Table 1: antibody details</w:t>
      </w:r>
    </w:p>
    <w:p w14:paraId="5557BFF2" w14:textId="77777777" w:rsidR="000A27E2" w:rsidRPr="00E33C62" w:rsidRDefault="000A27E2" w:rsidP="001A5331">
      <w:pPr>
        <w:spacing w:before="7" w:line="360" w:lineRule="auto"/>
        <w:jc w:val="both"/>
        <w:rPr>
          <w:rFonts w:ascii="Calibri" w:eastAsia="Calibri" w:hAnsi="Calibri" w:cs="Calibri"/>
        </w:rPr>
      </w:pPr>
    </w:p>
    <w:tbl>
      <w:tblPr>
        <w:tblW w:w="9980" w:type="dxa"/>
        <w:tblCellMar>
          <w:left w:w="0" w:type="dxa"/>
          <w:right w:w="0" w:type="dxa"/>
        </w:tblCellMar>
        <w:tblLook w:val="0420" w:firstRow="1" w:lastRow="0" w:firstColumn="0" w:lastColumn="0" w:noHBand="0" w:noVBand="1"/>
      </w:tblPr>
      <w:tblGrid>
        <w:gridCol w:w="1309"/>
        <w:gridCol w:w="4575"/>
        <w:gridCol w:w="4096"/>
      </w:tblGrid>
      <w:tr w:rsidR="00B111AA" w:rsidRPr="00B111AA" w14:paraId="76CD89AE"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33A461" w14:textId="77777777" w:rsidR="00B111AA" w:rsidRPr="00B111AA" w:rsidRDefault="00B111AA" w:rsidP="00B111AA">
            <w:pPr>
              <w:spacing w:after="0" w:line="240" w:lineRule="auto"/>
              <w:rPr>
                <w:rFonts w:ascii="Times New Roman" w:eastAsia="Times New Roman" w:hAnsi="Times New Roman" w:cs="Times New Roman"/>
                <w:kern w:val="0"/>
                <w:lang w:eastAsia="en-GB"/>
                <w14:ligatures w14:val="none"/>
              </w:rPr>
            </w:pP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360E4F" w14:textId="77777777" w:rsidR="00B111AA" w:rsidRPr="00B111AA" w:rsidRDefault="00B111AA" w:rsidP="00B111AA">
            <w:pPr>
              <w:spacing w:after="0" w:line="240" w:lineRule="auto"/>
              <w:jc w:val="center"/>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Western</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6CFA3D8" w14:textId="77777777" w:rsidR="00B111AA" w:rsidRPr="00B111AA" w:rsidRDefault="00B111AA" w:rsidP="00B111AA">
            <w:pPr>
              <w:spacing w:after="0" w:line="240" w:lineRule="auto"/>
              <w:jc w:val="center"/>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Microscopy</w:t>
            </w:r>
          </w:p>
        </w:tc>
      </w:tr>
      <w:tr w:rsidR="00B111AA" w:rsidRPr="00B111AA" w14:paraId="38E9ECDD"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627CDD9"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l-GR" w:eastAsia="en-GB"/>
                <w14:ligatures w14:val="none"/>
              </w:rPr>
              <w:t>γ</w:t>
            </w:r>
            <w:r w:rsidRPr="00B111AA">
              <w:rPr>
                <w:rFonts w:ascii="Aptos" w:eastAsia="Times New Roman" w:hAnsi="Aptos" w:cs="Arial"/>
                <w:b/>
                <w:bCs/>
                <w:color w:val="000000" w:themeColor="text1"/>
                <w:kern w:val="24"/>
                <w:sz w:val="22"/>
                <w:szCs w:val="22"/>
                <w:lang w:val="en-US" w:eastAsia="en-GB"/>
                <w14:ligatures w14:val="none"/>
              </w:rPr>
              <w:t>H2AX</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10DE92"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Novus Bioscience</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372743"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val="en-US" w:eastAsia="en-GB"/>
                <w14:ligatures w14:val="none"/>
              </w:rPr>
              <w:t>JBW301 - Merck</w:t>
            </w:r>
          </w:p>
        </w:tc>
      </w:tr>
      <w:tr w:rsidR="00B111AA" w:rsidRPr="00B111AA" w14:paraId="0CC5F6A0"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130B24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PARP1</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4332488"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Atlas Antibodies</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0D42BB"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4C1DA869"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9300D0"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PARP2</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92F73E"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Atlas Antibodies</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23CA88"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39C3621D" w14:textId="77777777" w:rsidTr="00AE234C">
        <w:trPr>
          <w:trHeight w:val="399"/>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D2984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eastAsia="en-GB"/>
                <w14:ligatures w14:val="none"/>
              </w:rPr>
              <w:t>Cleaved PARP1</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29280C"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46D11 - Cell </w:t>
            </w:r>
            <w:proofErr w:type="spellStart"/>
            <w:r w:rsidRPr="00B111AA">
              <w:rPr>
                <w:rFonts w:ascii="Aptos" w:eastAsia="Times New Roman" w:hAnsi="Aptos" w:cs="Arial"/>
                <w:color w:val="000000" w:themeColor="text1"/>
                <w:kern w:val="24"/>
                <w:sz w:val="22"/>
                <w:szCs w:val="22"/>
                <w:lang w:eastAsia="en-GB"/>
                <w14:ligatures w14:val="none"/>
              </w:rPr>
              <w:t>Signaling</w:t>
            </w:r>
            <w:proofErr w:type="spellEnd"/>
            <w:r w:rsidRPr="00B111AA">
              <w:rPr>
                <w:rFonts w:ascii="Aptos" w:eastAsia="Times New Roman" w:hAnsi="Aptos" w:cs="Arial"/>
                <w:color w:val="000000" w:themeColor="text1"/>
                <w:kern w:val="24"/>
                <w:sz w:val="22"/>
                <w:szCs w:val="22"/>
                <w:lang w:eastAsia="en-GB"/>
                <w14:ligatures w14:val="none"/>
              </w:rPr>
              <w:t xml:space="preserve"> Tec.</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F2340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435090EC"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97BD64"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Caspase 3</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3496A6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Cell </w:t>
            </w:r>
            <w:proofErr w:type="spellStart"/>
            <w:r w:rsidRPr="00B111AA">
              <w:rPr>
                <w:rFonts w:ascii="Aptos" w:eastAsia="Times New Roman" w:hAnsi="Aptos" w:cs="Arial"/>
                <w:color w:val="000000" w:themeColor="text1"/>
                <w:kern w:val="24"/>
                <w:sz w:val="22"/>
                <w:szCs w:val="22"/>
                <w:lang w:eastAsia="en-GB"/>
                <w14:ligatures w14:val="none"/>
              </w:rPr>
              <w:t>Signaling</w:t>
            </w:r>
            <w:proofErr w:type="spellEnd"/>
            <w:r w:rsidRPr="00B111AA">
              <w:rPr>
                <w:rFonts w:ascii="Aptos" w:eastAsia="Times New Roman" w:hAnsi="Aptos" w:cs="Arial"/>
                <w:color w:val="000000" w:themeColor="text1"/>
                <w:kern w:val="24"/>
                <w:sz w:val="22"/>
                <w:szCs w:val="22"/>
                <w:lang w:eastAsia="en-GB"/>
                <w14:ligatures w14:val="none"/>
              </w:rPr>
              <w:t xml:space="preserve"> Tec.</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842A1E"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0D3678AA"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D48747"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LCB3</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8566497"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Cell </w:t>
            </w:r>
            <w:proofErr w:type="spellStart"/>
            <w:r w:rsidRPr="00B111AA">
              <w:rPr>
                <w:rFonts w:ascii="Aptos" w:eastAsia="Times New Roman" w:hAnsi="Aptos" w:cs="Arial"/>
                <w:color w:val="000000" w:themeColor="text1"/>
                <w:kern w:val="24"/>
                <w:sz w:val="22"/>
                <w:szCs w:val="22"/>
                <w:lang w:eastAsia="en-GB"/>
                <w14:ligatures w14:val="none"/>
              </w:rPr>
              <w:t>Signaling</w:t>
            </w:r>
            <w:proofErr w:type="spellEnd"/>
            <w:r w:rsidRPr="00B111AA">
              <w:rPr>
                <w:rFonts w:ascii="Aptos" w:eastAsia="Times New Roman" w:hAnsi="Aptos" w:cs="Arial"/>
                <w:color w:val="000000" w:themeColor="text1"/>
                <w:kern w:val="24"/>
                <w:sz w:val="22"/>
                <w:szCs w:val="22"/>
                <w:lang w:eastAsia="en-GB"/>
                <w14:ligatures w14:val="none"/>
              </w:rPr>
              <w:t xml:space="preserve"> Tec.</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55DDEB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#2775 - Cell Signalling </w:t>
            </w:r>
          </w:p>
        </w:tc>
      </w:tr>
      <w:tr w:rsidR="00B111AA" w:rsidRPr="000E63E2" w14:paraId="7D7CB583"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BFC53B"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p21</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0FE6078"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12D1 - Cell </w:t>
            </w:r>
            <w:proofErr w:type="spellStart"/>
            <w:r w:rsidRPr="00B111AA">
              <w:rPr>
                <w:rFonts w:ascii="Aptos" w:eastAsia="Times New Roman" w:hAnsi="Aptos" w:cs="Arial"/>
                <w:color w:val="000000" w:themeColor="text1"/>
                <w:kern w:val="24"/>
                <w:sz w:val="22"/>
                <w:szCs w:val="22"/>
                <w:lang w:eastAsia="en-GB"/>
                <w14:ligatures w14:val="none"/>
              </w:rPr>
              <w:t>Signaling</w:t>
            </w:r>
            <w:proofErr w:type="spellEnd"/>
            <w:r w:rsidRPr="00B111AA">
              <w:rPr>
                <w:rFonts w:ascii="Aptos" w:eastAsia="Times New Roman" w:hAnsi="Aptos" w:cs="Arial"/>
                <w:color w:val="000000" w:themeColor="text1"/>
                <w:kern w:val="24"/>
                <w:sz w:val="22"/>
                <w:szCs w:val="22"/>
                <w:lang w:eastAsia="en-GB"/>
                <w14:ligatures w14:val="none"/>
              </w:rPr>
              <w:t xml:space="preserve"> Tec.</w:t>
            </w:r>
            <w:r w:rsidRPr="00B111AA">
              <w:rPr>
                <w:rFonts w:ascii="Aptos" w:eastAsia="Times New Roman" w:hAnsi="Aptos" w:cs="Arial"/>
                <w:color w:val="000000" w:themeColor="text1"/>
                <w:kern w:val="24"/>
                <w:sz w:val="22"/>
                <w:szCs w:val="22"/>
                <w:lang w:eastAsia="en-GB"/>
                <w14:ligatures w14:val="none"/>
              </w:rPr>
              <w:tab/>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C7B521" w14:textId="77777777" w:rsidR="00B111AA" w:rsidRPr="00AE234C" w:rsidRDefault="00B111AA" w:rsidP="00B111AA">
            <w:pPr>
              <w:spacing w:after="0" w:line="240" w:lineRule="auto"/>
              <w:rPr>
                <w:rFonts w:ascii="Arial" w:eastAsia="Times New Roman" w:hAnsi="Arial" w:cs="Arial"/>
                <w:kern w:val="0"/>
                <w:sz w:val="36"/>
                <w:szCs w:val="36"/>
                <w:lang w:val="it-IT" w:eastAsia="en-GB"/>
                <w14:ligatures w14:val="none"/>
              </w:rPr>
            </w:pPr>
            <w:r w:rsidRPr="00AE234C">
              <w:rPr>
                <w:rFonts w:ascii="Aptos" w:eastAsia="Times New Roman" w:hAnsi="Aptos" w:cs="Arial"/>
                <w:color w:val="000000" w:themeColor="text1"/>
                <w:kern w:val="24"/>
                <w:sz w:val="22"/>
                <w:szCs w:val="22"/>
                <w:lang w:val="it-IT" w:eastAsia="en-GB"/>
                <w14:ligatures w14:val="none"/>
              </w:rPr>
              <w:t>Clone F-5: sc-6246 – Santa Cruz</w:t>
            </w:r>
          </w:p>
        </w:tc>
      </w:tr>
      <w:tr w:rsidR="00B111AA" w:rsidRPr="000E63E2" w14:paraId="18346F97"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44C4C9D"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p53</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23FDC5" w14:textId="77777777" w:rsidR="00B111AA" w:rsidRPr="00AE234C" w:rsidRDefault="00B111AA" w:rsidP="00B111AA">
            <w:pPr>
              <w:spacing w:after="0" w:line="240" w:lineRule="auto"/>
              <w:rPr>
                <w:rFonts w:ascii="Arial" w:eastAsia="Times New Roman" w:hAnsi="Arial" w:cs="Arial"/>
                <w:kern w:val="0"/>
                <w:sz w:val="36"/>
                <w:szCs w:val="36"/>
                <w:lang w:val="it-IT" w:eastAsia="en-GB"/>
                <w14:ligatures w14:val="none"/>
              </w:rPr>
            </w:pPr>
            <w:r w:rsidRPr="00AE234C">
              <w:rPr>
                <w:rFonts w:ascii="Aptos" w:eastAsia="Times New Roman" w:hAnsi="Aptos" w:cs="Arial"/>
                <w:color w:val="000000" w:themeColor="text1"/>
                <w:kern w:val="24"/>
                <w:sz w:val="22"/>
                <w:szCs w:val="22"/>
                <w:lang w:val="it-IT" w:eastAsia="en-GB"/>
                <w14:ligatures w14:val="none"/>
              </w:rPr>
              <w:t xml:space="preserve">A-1  sc-393031- Santa Cruz Biotech </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CB6D7E" w14:textId="77777777" w:rsidR="00B111AA" w:rsidRPr="00AE234C" w:rsidRDefault="00B111AA" w:rsidP="00B111AA">
            <w:pPr>
              <w:spacing w:after="0" w:line="240" w:lineRule="auto"/>
              <w:rPr>
                <w:rFonts w:ascii="Arial" w:eastAsia="Times New Roman" w:hAnsi="Arial" w:cs="Arial"/>
                <w:kern w:val="0"/>
                <w:sz w:val="36"/>
                <w:szCs w:val="36"/>
                <w:lang w:val="it-IT" w:eastAsia="en-GB"/>
                <w14:ligatures w14:val="none"/>
              </w:rPr>
            </w:pPr>
            <w:r w:rsidRPr="00AE234C">
              <w:rPr>
                <w:rFonts w:ascii="Aptos" w:eastAsia="Times New Roman" w:hAnsi="Aptos" w:cs="Arial"/>
                <w:color w:val="000000" w:themeColor="text1"/>
                <w:kern w:val="24"/>
                <w:sz w:val="22"/>
                <w:szCs w:val="22"/>
                <w:lang w:val="it-IT" w:eastAsia="en-GB"/>
                <w14:ligatures w14:val="none"/>
              </w:rPr>
              <w:t xml:space="preserve">A-1 - sc-393031- Santa Cruz Biotech </w:t>
            </w:r>
          </w:p>
        </w:tc>
      </w:tr>
      <w:tr w:rsidR="00B111AA" w:rsidRPr="00B111AA" w14:paraId="60B3BAEA"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EA9AE3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β-actin</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8DADA7"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Abcam</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4BBD8D"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49A04761"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16840A"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MCM2</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CD45616"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BD Biosciences</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F77DC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5B9D6265"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4DF2E3B"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MCM3</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FD46AE"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Cambridge Bios. Ltd. </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8D525C"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13967AE5"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D4A7C4"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PCNA</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34D355"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 xml:space="preserve">D3H8P-XP Cell Signalling Tec. </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19C488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33827B5B"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EF56AC0"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Rb</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0D0D2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BD Biosciences</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7BDB2D6"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r w:rsidR="00B111AA" w:rsidRPr="00B111AA" w14:paraId="1D58ED59" w14:textId="77777777" w:rsidTr="00AE234C">
        <w:trPr>
          <w:trHeight w:val="397"/>
        </w:trPr>
        <w:tc>
          <w:tcPr>
            <w:tcW w:w="130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C3341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b/>
                <w:bCs/>
                <w:color w:val="000000" w:themeColor="text1"/>
                <w:kern w:val="24"/>
                <w:sz w:val="22"/>
                <w:szCs w:val="22"/>
                <w:lang w:val="en-US" w:eastAsia="en-GB"/>
                <w14:ligatures w14:val="none"/>
              </w:rPr>
              <w:t>CDC6</w:t>
            </w:r>
          </w:p>
        </w:tc>
        <w:tc>
          <w:tcPr>
            <w:tcW w:w="45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B13A21"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r w:rsidRPr="00B111AA">
              <w:rPr>
                <w:rFonts w:ascii="Aptos" w:eastAsia="Times New Roman" w:hAnsi="Aptos" w:cs="Arial"/>
                <w:color w:val="000000" w:themeColor="text1"/>
                <w:kern w:val="24"/>
                <w:sz w:val="22"/>
                <w:szCs w:val="22"/>
                <w:lang w:eastAsia="en-GB"/>
                <w14:ligatures w14:val="none"/>
              </w:rPr>
              <w:t>180.2 - Santa Cruz Biotech</w:t>
            </w:r>
          </w:p>
        </w:tc>
        <w:tc>
          <w:tcPr>
            <w:tcW w:w="409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0FE88B" w14:textId="77777777" w:rsidR="00B111AA" w:rsidRPr="00B111AA" w:rsidRDefault="00B111AA" w:rsidP="00B111AA">
            <w:pPr>
              <w:spacing w:after="0" w:line="240" w:lineRule="auto"/>
              <w:rPr>
                <w:rFonts w:ascii="Arial" w:eastAsia="Times New Roman" w:hAnsi="Arial" w:cs="Arial"/>
                <w:kern w:val="0"/>
                <w:sz w:val="36"/>
                <w:szCs w:val="36"/>
                <w:lang w:eastAsia="en-GB"/>
                <w14:ligatures w14:val="none"/>
              </w:rPr>
            </w:pPr>
          </w:p>
        </w:tc>
      </w:tr>
    </w:tbl>
    <w:p w14:paraId="0DD114FD" w14:textId="38F4042A" w:rsidR="00C146E8" w:rsidRDefault="00C146E8"/>
    <w:p w14:paraId="222FB79D" w14:textId="68B1A91B" w:rsidR="00590B54" w:rsidRDefault="00590B54">
      <w:r>
        <w:br w:type="page"/>
      </w:r>
    </w:p>
    <w:p w14:paraId="3E91C5B6" w14:textId="2433146E" w:rsidR="00590B54" w:rsidRPr="00590B54" w:rsidRDefault="00590B54" w:rsidP="00302BE2">
      <w:pPr>
        <w:spacing w:after="0" w:line="240" w:lineRule="auto"/>
        <w:ind w:left="720" w:hanging="720"/>
        <w:rPr>
          <w:b/>
          <w:bCs/>
          <w:u w:val="single"/>
        </w:rPr>
      </w:pPr>
      <w:r w:rsidRPr="00590B54">
        <w:rPr>
          <w:b/>
          <w:bCs/>
          <w:u w:val="single"/>
        </w:rPr>
        <w:lastRenderedPageBreak/>
        <w:t>References</w:t>
      </w:r>
    </w:p>
    <w:p w14:paraId="67F61E73" w14:textId="77777777" w:rsidR="00590B54" w:rsidRDefault="00590B54" w:rsidP="00302BE2">
      <w:pPr>
        <w:spacing w:after="0" w:line="240" w:lineRule="auto"/>
        <w:ind w:left="720" w:hanging="720"/>
      </w:pPr>
    </w:p>
    <w:p w14:paraId="74EF97CF" w14:textId="3611E7CB" w:rsidR="00302BE2" w:rsidRDefault="00302BE2" w:rsidP="00590B54">
      <w:pPr>
        <w:spacing w:after="0" w:line="240" w:lineRule="auto"/>
        <w:ind w:left="720" w:hanging="720"/>
      </w:pPr>
      <w:fldSimple w:instr="ADDIN paperpile_bibliography &lt;pp-bibliography&gt;&lt;first-reference-indices&gt;&lt;formatting&gt;1&lt;/formatting&gt;&lt;space-after&gt;1&lt;/space-after&gt;&lt;/first-reference-indices&gt;&lt;/pp-bibliography&gt; \* MERGEFORMAT" w:fldLock="1">
        <w:r>
          <w:rPr>
            <w:noProof/>
          </w:rPr>
          <w:t xml:space="preserve">Amoroso, Francesca, Kimberley Glass, Reema Singh, Francisco Liberal, Rebecca E. Steele, Sarah Maguire, Rohinton Tarapore, et al. 2021. “Modulating the Unfolded Protein Response with ONC201 to Impact on Radiation Response in Prostate Cancer Cells.” </w:t>
        </w:r>
        <w:r w:rsidRPr="00590B54">
          <w:rPr>
            <w:i/>
            <w:noProof/>
          </w:rPr>
          <w:t>Scientific Reports</w:t>
        </w:r>
        <w:r>
          <w:rPr>
            <w:noProof/>
          </w:rPr>
          <w:t xml:space="preserve"> 11 (1): 4252.</w:t>
        </w:r>
      </w:fldSimple>
    </w:p>
    <w:sectPr w:rsidR="00302B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G973U133Q424N244"/>
    <w:docVar w:name="paperpile-doc-name" w:val="61. Ed abe Supplemental Methods 281025 1_FA.docx"/>
    <w:docVar w:name="paperpile-includeDoi" w:val="false"/>
    <w:docVar w:name="paperpile-styleFile" w:val="chicago-author-date.csl"/>
    <w:docVar w:name="paperpile-styleId" w:val="pp-chicago-author-date"/>
    <w:docVar w:name="paperpile-styleLabel" w:val="Chicago Manual of Style 17th edition (author-date)"/>
    <w:docVar w:name="paperpile-styleLocale" w:val="en-US"/>
  </w:docVars>
  <w:rsids>
    <w:rsidRoot w:val="00C146E8"/>
    <w:rsid w:val="00005082"/>
    <w:rsid w:val="0000689F"/>
    <w:rsid w:val="00024535"/>
    <w:rsid w:val="0003673E"/>
    <w:rsid w:val="00037987"/>
    <w:rsid w:val="0004612D"/>
    <w:rsid w:val="00080870"/>
    <w:rsid w:val="00086178"/>
    <w:rsid w:val="000A27E2"/>
    <w:rsid w:val="000B360F"/>
    <w:rsid w:val="000C5154"/>
    <w:rsid w:val="000C5262"/>
    <w:rsid w:val="000E5583"/>
    <w:rsid w:val="000E63E2"/>
    <w:rsid w:val="00102AA2"/>
    <w:rsid w:val="00122B57"/>
    <w:rsid w:val="00130C57"/>
    <w:rsid w:val="00190363"/>
    <w:rsid w:val="001A5331"/>
    <w:rsid w:val="001C14AF"/>
    <w:rsid w:val="001D4857"/>
    <w:rsid w:val="0023199D"/>
    <w:rsid w:val="00242DC1"/>
    <w:rsid w:val="00285928"/>
    <w:rsid w:val="002F68EA"/>
    <w:rsid w:val="00302BE2"/>
    <w:rsid w:val="003277B5"/>
    <w:rsid w:val="0034394C"/>
    <w:rsid w:val="00344737"/>
    <w:rsid w:val="00382FB8"/>
    <w:rsid w:val="003A346E"/>
    <w:rsid w:val="003D531D"/>
    <w:rsid w:val="003F2F6F"/>
    <w:rsid w:val="003F7CB6"/>
    <w:rsid w:val="004136C6"/>
    <w:rsid w:val="00436F51"/>
    <w:rsid w:val="00446B2E"/>
    <w:rsid w:val="00450541"/>
    <w:rsid w:val="00453126"/>
    <w:rsid w:val="00486883"/>
    <w:rsid w:val="004933AE"/>
    <w:rsid w:val="004B1543"/>
    <w:rsid w:val="004B24F4"/>
    <w:rsid w:val="004D181D"/>
    <w:rsid w:val="004E2E5F"/>
    <w:rsid w:val="00512C44"/>
    <w:rsid w:val="00552A12"/>
    <w:rsid w:val="00555A91"/>
    <w:rsid w:val="00590B54"/>
    <w:rsid w:val="006341DF"/>
    <w:rsid w:val="00637937"/>
    <w:rsid w:val="0064600C"/>
    <w:rsid w:val="006718DF"/>
    <w:rsid w:val="006767E6"/>
    <w:rsid w:val="006819B4"/>
    <w:rsid w:val="00696616"/>
    <w:rsid w:val="00726CD6"/>
    <w:rsid w:val="00763CDD"/>
    <w:rsid w:val="007819D1"/>
    <w:rsid w:val="007904F7"/>
    <w:rsid w:val="007A3CC2"/>
    <w:rsid w:val="00810B26"/>
    <w:rsid w:val="00813186"/>
    <w:rsid w:val="008277E8"/>
    <w:rsid w:val="008642F9"/>
    <w:rsid w:val="00886867"/>
    <w:rsid w:val="008A38E2"/>
    <w:rsid w:val="008C7981"/>
    <w:rsid w:val="00934234"/>
    <w:rsid w:val="009F4476"/>
    <w:rsid w:val="00A11913"/>
    <w:rsid w:val="00A12395"/>
    <w:rsid w:val="00A13DAC"/>
    <w:rsid w:val="00A62CAD"/>
    <w:rsid w:val="00A95654"/>
    <w:rsid w:val="00AA04A4"/>
    <w:rsid w:val="00AA298B"/>
    <w:rsid w:val="00AC4058"/>
    <w:rsid w:val="00AE234C"/>
    <w:rsid w:val="00B111AA"/>
    <w:rsid w:val="00B14A87"/>
    <w:rsid w:val="00B225BB"/>
    <w:rsid w:val="00B31993"/>
    <w:rsid w:val="00B549FF"/>
    <w:rsid w:val="00B614D5"/>
    <w:rsid w:val="00B9706C"/>
    <w:rsid w:val="00BD1390"/>
    <w:rsid w:val="00BD6107"/>
    <w:rsid w:val="00BE505B"/>
    <w:rsid w:val="00BF4590"/>
    <w:rsid w:val="00C10DDA"/>
    <w:rsid w:val="00C146E8"/>
    <w:rsid w:val="00C61D6B"/>
    <w:rsid w:val="00C87DF3"/>
    <w:rsid w:val="00CB4543"/>
    <w:rsid w:val="00CC06A4"/>
    <w:rsid w:val="00CE4545"/>
    <w:rsid w:val="00CF0021"/>
    <w:rsid w:val="00CF3825"/>
    <w:rsid w:val="00D41BDD"/>
    <w:rsid w:val="00D5724C"/>
    <w:rsid w:val="00D62CE1"/>
    <w:rsid w:val="00D7329A"/>
    <w:rsid w:val="00D8303B"/>
    <w:rsid w:val="00D90DB5"/>
    <w:rsid w:val="00DA04DD"/>
    <w:rsid w:val="00DD5C25"/>
    <w:rsid w:val="00DD6277"/>
    <w:rsid w:val="00E134CB"/>
    <w:rsid w:val="00E14DF6"/>
    <w:rsid w:val="00E20766"/>
    <w:rsid w:val="00E31FEB"/>
    <w:rsid w:val="00E6443A"/>
    <w:rsid w:val="00E7092D"/>
    <w:rsid w:val="00EA101E"/>
    <w:rsid w:val="00EE6018"/>
    <w:rsid w:val="00EF6B08"/>
    <w:rsid w:val="00F144AF"/>
    <w:rsid w:val="00F230A5"/>
    <w:rsid w:val="00F72D79"/>
    <w:rsid w:val="00FB7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DE505"/>
  <w15:chartTrackingRefBased/>
  <w15:docId w15:val="{3BD7ACFB-C2E0-48CD-A62B-AA6B7452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6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6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6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6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6E8"/>
    <w:rPr>
      <w:rFonts w:eastAsiaTheme="majorEastAsia" w:cstheme="majorBidi"/>
      <w:color w:val="272727" w:themeColor="text1" w:themeTint="D8"/>
    </w:rPr>
  </w:style>
  <w:style w:type="paragraph" w:styleId="Title">
    <w:name w:val="Title"/>
    <w:basedOn w:val="Normal"/>
    <w:next w:val="Normal"/>
    <w:link w:val="TitleChar"/>
    <w:uiPriority w:val="10"/>
    <w:qFormat/>
    <w:rsid w:val="00C14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6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6E8"/>
    <w:pPr>
      <w:spacing w:before="160"/>
      <w:jc w:val="center"/>
    </w:pPr>
    <w:rPr>
      <w:i/>
      <w:iCs/>
      <w:color w:val="404040" w:themeColor="text1" w:themeTint="BF"/>
    </w:rPr>
  </w:style>
  <w:style w:type="character" w:customStyle="1" w:styleId="QuoteChar">
    <w:name w:val="Quote Char"/>
    <w:basedOn w:val="DefaultParagraphFont"/>
    <w:link w:val="Quote"/>
    <w:uiPriority w:val="29"/>
    <w:rsid w:val="00C146E8"/>
    <w:rPr>
      <w:i/>
      <w:iCs/>
      <w:color w:val="404040" w:themeColor="text1" w:themeTint="BF"/>
    </w:rPr>
  </w:style>
  <w:style w:type="paragraph" w:styleId="ListParagraph">
    <w:name w:val="List Paragraph"/>
    <w:basedOn w:val="Normal"/>
    <w:uiPriority w:val="34"/>
    <w:qFormat/>
    <w:rsid w:val="00C146E8"/>
    <w:pPr>
      <w:ind w:left="720"/>
      <w:contextualSpacing/>
    </w:pPr>
  </w:style>
  <w:style w:type="character" w:styleId="IntenseEmphasis">
    <w:name w:val="Intense Emphasis"/>
    <w:basedOn w:val="DefaultParagraphFont"/>
    <w:uiPriority w:val="21"/>
    <w:qFormat/>
    <w:rsid w:val="00C146E8"/>
    <w:rPr>
      <w:i/>
      <w:iCs/>
      <w:color w:val="0F4761" w:themeColor="accent1" w:themeShade="BF"/>
    </w:rPr>
  </w:style>
  <w:style w:type="paragraph" w:styleId="IntenseQuote">
    <w:name w:val="Intense Quote"/>
    <w:basedOn w:val="Normal"/>
    <w:next w:val="Normal"/>
    <w:link w:val="IntenseQuoteChar"/>
    <w:uiPriority w:val="30"/>
    <w:qFormat/>
    <w:rsid w:val="00C14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6E8"/>
    <w:rPr>
      <w:i/>
      <w:iCs/>
      <w:color w:val="0F4761" w:themeColor="accent1" w:themeShade="BF"/>
    </w:rPr>
  </w:style>
  <w:style w:type="character" w:styleId="IntenseReference">
    <w:name w:val="Intense Reference"/>
    <w:basedOn w:val="DefaultParagraphFont"/>
    <w:uiPriority w:val="32"/>
    <w:qFormat/>
    <w:rsid w:val="00C146E8"/>
    <w:rPr>
      <w:b/>
      <w:bCs/>
      <w:smallCaps/>
      <w:color w:val="0F4761" w:themeColor="accent1" w:themeShade="BF"/>
      <w:spacing w:val="5"/>
    </w:rPr>
  </w:style>
  <w:style w:type="paragraph" w:styleId="Revision">
    <w:name w:val="Revision"/>
    <w:hidden/>
    <w:uiPriority w:val="99"/>
    <w:semiHidden/>
    <w:rsid w:val="006341DF"/>
    <w:pPr>
      <w:spacing w:after="0" w:line="240" w:lineRule="auto"/>
    </w:pPr>
  </w:style>
  <w:style w:type="character" w:styleId="CommentReference">
    <w:name w:val="annotation reference"/>
    <w:basedOn w:val="DefaultParagraphFont"/>
    <w:uiPriority w:val="99"/>
    <w:semiHidden/>
    <w:unhideWhenUsed/>
    <w:rsid w:val="00190363"/>
    <w:rPr>
      <w:sz w:val="16"/>
      <w:szCs w:val="16"/>
    </w:rPr>
  </w:style>
  <w:style w:type="paragraph" w:styleId="CommentText">
    <w:name w:val="annotation text"/>
    <w:basedOn w:val="Normal"/>
    <w:link w:val="CommentTextChar"/>
    <w:uiPriority w:val="99"/>
    <w:unhideWhenUsed/>
    <w:rsid w:val="00190363"/>
    <w:pPr>
      <w:spacing w:line="240" w:lineRule="auto"/>
    </w:pPr>
    <w:rPr>
      <w:sz w:val="20"/>
      <w:szCs w:val="20"/>
    </w:rPr>
  </w:style>
  <w:style w:type="character" w:customStyle="1" w:styleId="CommentTextChar">
    <w:name w:val="Comment Text Char"/>
    <w:basedOn w:val="DefaultParagraphFont"/>
    <w:link w:val="CommentText"/>
    <w:uiPriority w:val="99"/>
    <w:rsid w:val="00190363"/>
    <w:rPr>
      <w:sz w:val="20"/>
      <w:szCs w:val="20"/>
    </w:rPr>
  </w:style>
  <w:style w:type="paragraph" w:styleId="CommentSubject">
    <w:name w:val="annotation subject"/>
    <w:basedOn w:val="CommentText"/>
    <w:next w:val="CommentText"/>
    <w:link w:val="CommentSubjectChar"/>
    <w:uiPriority w:val="99"/>
    <w:semiHidden/>
    <w:unhideWhenUsed/>
    <w:rsid w:val="00190363"/>
    <w:rPr>
      <w:b/>
      <w:bCs/>
    </w:rPr>
  </w:style>
  <w:style w:type="character" w:customStyle="1" w:styleId="CommentSubjectChar">
    <w:name w:val="Comment Subject Char"/>
    <w:basedOn w:val="CommentTextChar"/>
    <w:link w:val="CommentSubject"/>
    <w:uiPriority w:val="99"/>
    <w:semiHidden/>
    <w:rsid w:val="00190363"/>
    <w:rPr>
      <w:b/>
      <w:bCs/>
      <w:sz w:val="20"/>
      <w:szCs w:val="20"/>
    </w:rPr>
  </w:style>
  <w:style w:type="paragraph" w:styleId="NormalWeb">
    <w:name w:val="Normal (Web)"/>
    <w:basedOn w:val="Normal"/>
    <w:uiPriority w:val="99"/>
    <w:semiHidden/>
    <w:unhideWhenUsed/>
    <w:rsid w:val="00B111A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460023">
      <w:bodyDiv w:val="1"/>
      <w:marLeft w:val="0"/>
      <w:marRight w:val="0"/>
      <w:marTop w:val="0"/>
      <w:marBottom w:val="0"/>
      <w:divBdr>
        <w:top w:val="none" w:sz="0" w:space="0" w:color="auto"/>
        <w:left w:val="none" w:sz="0" w:space="0" w:color="auto"/>
        <w:bottom w:val="none" w:sz="0" w:space="0" w:color="auto"/>
        <w:right w:val="none" w:sz="0" w:space="0" w:color="auto"/>
      </w:divBdr>
      <w:divsChild>
        <w:div w:id="1885948978">
          <w:marLeft w:val="0"/>
          <w:marRight w:val="0"/>
          <w:marTop w:val="0"/>
          <w:marBottom w:val="0"/>
          <w:divBdr>
            <w:top w:val="none" w:sz="0" w:space="0" w:color="auto"/>
            <w:left w:val="none" w:sz="0" w:space="0" w:color="auto"/>
            <w:bottom w:val="none" w:sz="0" w:space="0" w:color="auto"/>
            <w:right w:val="none" w:sz="0" w:space="0" w:color="auto"/>
          </w:divBdr>
        </w:div>
        <w:div w:id="887494907">
          <w:marLeft w:val="0"/>
          <w:marRight w:val="0"/>
          <w:marTop w:val="0"/>
          <w:marBottom w:val="0"/>
          <w:divBdr>
            <w:top w:val="none" w:sz="0" w:space="0" w:color="auto"/>
            <w:left w:val="none" w:sz="0" w:space="0" w:color="auto"/>
            <w:bottom w:val="none" w:sz="0" w:space="0" w:color="auto"/>
            <w:right w:val="none" w:sz="0" w:space="0" w:color="auto"/>
          </w:divBdr>
        </w:div>
        <w:div w:id="1639677901">
          <w:marLeft w:val="0"/>
          <w:marRight w:val="0"/>
          <w:marTop w:val="0"/>
          <w:marBottom w:val="0"/>
          <w:divBdr>
            <w:top w:val="none" w:sz="0" w:space="0" w:color="auto"/>
            <w:left w:val="none" w:sz="0" w:space="0" w:color="auto"/>
            <w:bottom w:val="none" w:sz="0" w:space="0" w:color="auto"/>
            <w:right w:val="none" w:sz="0" w:space="0" w:color="auto"/>
          </w:divBdr>
        </w:div>
        <w:div w:id="2124881561">
          <w:marLeft w:val="0"/>
          <w:marRight w:val="0"/>
          <w:marTop w:val="0"/>
          <w:marBottom w:val="0"/>
          <w:divBdr>
            <w:top w:val="none" w:sz="0" w:space="0" w:color="auto"/>
            <w:left w:val="none" w:sz="0" w:space="0" w:color="auto"/>
            <w:bottom w:val="none" w:sz="0" w:space="0" w:color="auto"/>
            <w:right w:val="none" w:sz="0" w:space="0" w:color="auto"/>
          </w:divBdr>
        </w:div>
        <w:div w:id="1597252701">
          <w:marLeft w:val="0"/>
          <w:marRight w:val="0"/>
          <w:marTop w:val="0"/>
          <w:marBottom w:val="0"/>
          <w:divBdr>
            <w:top w:val="none" w:sz="0" w:space="0" w:color="auto"/>
            <w:left w:val="none" w:sz="0" w:space="0" w:color="auto"/>
            <w:bottom w:val="none" w:sz="0" w:space="0" w:color="auto"/>
            <w:right w:val="none" w:sz="0" w:space="0" w:color="auto"/>
          </w:divBdr>
        </w:div>
        <w:div w:id="434253702">
          <w:marLeft w:val="0"/>
          <w:marRight w:val="0"/>
          <w:marTop w:val="0"/>
          <w:marBottom w:val="0"/>
          <w:divBdr>
            <w:top w:val="none" w:sz="0" w:space="0" w:color="auto"/>
            <w:left w:val="none" w:sz="0" w:space="0" w:color="auto"/>
            <w:bottom w:val="none" w:sz="0" w:space="0" w:color="auto"/>
            <w:right w:val="none" w:sz="0" w:space="0" w:color="auto"/>
          </w:divBdr>
        </w:div>
      </w:divsChild>
    </w:div>
    <w:div w:id="1102261770">
      <w:bodyDiv w:val="1"/>
      <w:marLeft w:val="0"/>
      <w:marRight w:val="0"/>
      <w:marTop w:val="0"/>
      <w:marBottom w:val="0"/>
      <w:divBdr>
        <w:top w:val="none" w:sz="0" w:space="0" w:color="auto"/>
        <w:left w:val="none" w:sz="0" w:space="0" w:color="auto"/>
        <w:bottom w:val="none" w:sz="0" w:space="0" w:color="auto"/>
        <w:right w:val="none" w:sz="0" w:space="0" w:color="auto"/>
      </w:divBdr>
      <w:divsChild>
        <w:div w:id="2001807523">
          <w:marLeft w:val="0"/>
          <w:marRight w:val="0"/>
          <w:marTop w:val="0"/>
          <w:marBottom w:val="0"/>
          <w:divBdr>
            <w:top w:val="none" w:sz="0" w:space="0" w:color="auto"/>
            <w:left w:val="none" w:sz="0" w:space="0" w:color="auto"/>
            <w:bottom w:val="none" w:sz="0" w:space="0" w:color="auto"/>
            <w:right w:val="none" w:sz="0" w:space="0" w:color="auto"/>
          </w:divBdr>
        </w:div>
        <w:div w:id="154882676">
          <w:marLeft w:val="0"/>
          <w:marRight w:val="0"/>
          <w:marTop w:val="0"/>
          <w:marBottom w:val="0"/>
          <w:divBdr>
            <w:top w:val="none" w:sz="0" w:space="0" w:color="auto"/>
            <w:left w:val="none" w:sz="0" w:space="0" w:color="auto"/>
            <w:bottom w:val="none" w:sz="0" w:space="0" w:color="auto"/>
            <w:right w:val="none" w:sz="0" w:space="0" w:color="auto"/>
          </w:divBdr>
        </w:div>
        <w:div w:id="1301882171">
          <w:marLeft w:val="0"/>
          <w:marRight w:val="0"/>
          <w:marTop w:val="0"/>
          <w:marBottom w:val="0"/>
          <w:divBdr>
            <w:top w:val="none" w:sz="0" w:space="0" w:color="auto"/>
            <w:left w:val="none" w:sz="0" w:space="0" w:color="auto"/>
            <w:bottom w:val="none" w:sz="0" w:space="0" w:color="auto"/>
            <w:right w:val="none" w:sz="0" w:space="0" w:color="auto"/>
          </w:divBdr>
        </w:div>
        <w:div w:id="1269391325">
          <w:marLeft w:val="0"/>
          <w:marRight w:val="0"/>
          <w:marTop w:val="0"/>
          <w:marBottom w:val="0"/>
          <w:divBdr>
            <w:top w:val="none" w:sz="0" w:space="0" w:color="auto"/>
            <w:left w:val="none" w:sz="0" w:space="0" w:color="auto"/>
            <w:bottom w:val="none" w:sz="0" w:space="0" w:color="auto"/>
            <w:right w:val="none" w:sz="0" w:space="0" w:color="auto"/>
          </w:divBdr>
        </w:div>
        <w:div w:id="973633960">
          <w:marLeft w:val="0"/>
          <w:marRight w:val="0"/>
          <w:marTop w:val="0"/>
          <w:marBottom w:val="0"/>
          <w:divBdr>
            <w:top w:val="none" w:sz="0" w:space="0" w:color="auto"/>
            <w:left w:val="none" w:sz="0" w:space="0" w:color="auto"/>
            <w:bottom w:val="none" w:sz="0" w:space="0" w:color="auto"/>
            <w:right w:val="none" w:sz="0" w:space="0" w:color="auto"/>
          </w:divBdr>
        </w:div>
        <w:div w:id="121388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3CA25-0CE0-4D44-B75E-F123EFA02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1600</Words>
  <Characters>9251</Characters>
  <Application>Microsoft Office Word</Application>
  <DocSecurity>0</DocSecurity>
  <Lines>130</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Cornelissen, BT (ngmb)</dc:creator>
  <cp:keywords/>
  <dc:description/>
  <cp:lastModifiedBy>Ed O'Neill</cp:lastModifiedBy>
  <cp:revision>2</cp:revision>
  <dcterms:created xsi:type="dcterms:W3CDTF">2026-09-02T12:55:00Z</dcterms:created>
  <dcterms:modified xsi:type="dcterms:W3CDTF">2026-09-02T12:55:00Z</dcterms:modified>
</cp:coreProperties>
</file>