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7050D" w14:textId="77777777" w:rsidR="00392EFF" w:rsidRPr="009A6F76" w:rsidRDefault="00392EFF" w:rsidP="00392EFF">
      <w:pPr>
        <w:spacing w:after="240" w:line="276" w:lineRule="auto"/>
        <w:jc w:val="both"/>
        <w:rPr>
          <w:rFonts w:eastAsiaTheme="minorEastAsia"/>
          <w:b/>
          <w:bCs/>
          <w:sz w:val="20"/>
          <w:szCs w:val="20"/>
        </w:rPr>
      </w:pPr>
      <w:r w:rsidRPr="2E81AF6D">
        <w:rPr>
          <w:rFonts w:eastAsiaTheme="minorEastAsia"/>
          <w:b/>
          <w:bCs/>
          <w:sz w:val="20"/>
          <w:szCs w:val="20"/>
        </w:rPr>
        <w:t>Supplementary Figures:</w:t>
      </w:r>
    </w:p>
    <w:p w14:paraId="04F9A0CA" w14:textId="77777777" w:rsidR="00392EFF" w:rsidRPr="00E42D6A" w:rsidRDefault="00392EFF" w:rsidP="00392EFF">
      <w:pPr>
        <w:spacing w:after="240" w:line="276" w:lineRule="auto"/>
        <w:jc w:val="both"/>
        <w:rPr>
          <w:rFonts w:eastAsiaTheme="minorEastAsia"/>
          <w:b/>
          <w:bCs/>
          <w:sz w:val="20"/>
          <w:szCs w:val="20"/>
        </w:rPr>
      </w:pPr>
      <w:r>
        <w:rPr>
          <w:rFonts w:eastAsiaTheme="minorEastAsia"/>
          <w:b/>
          <w:bCs/>
          <w:sz w:val="20"/>
          <w:szCs w:val="20"/>
        </w:rPr>
        <w:t xml:space="preserve">Supplementary dataset: </w:t>
      </w:r>
      <w:r w:rsidRPr="00E42D6A">
        <w:rPr>
          <w:b/>
          <w:bCs/>
          <w:sz w:val="20"/>
          <w:szCs w:val="20"/>
          <w:lang w:val="en-US"/>
        </w:rPr>
        <w:t>Sequencing results_CRCA20948_exome.xlsx</w:t>
      </w:r>
    </w:p>
    <w:p w14:paraId="779A096C" w14:textId="77777777" w:rsidR="00392EFF" w:rsidRPr="00E42D6A" w:rsidRDefault="00392EFF" w:rsidP="00392EFF">
      <w:pPr>
        <w:spacing w:after="240" w:line="276" w:lineRule="auto"/>
        <w:jc w:val="both"/>
        <w:rPr>
          <w:rFonts w:eastAsiaTheme="minorEastAsia"/>
          <w:b/>
          <w:bCs/>
          <w:sz w:val="20"/>
          <w:szCs w:val="20"/>
        </w:rPr>
      </w:pPr>
      <w:r>
        <w:rPr>
          <w:rFonts w:eastAsiaTheme="minorEastAsia"/>
          <w:b/>
          <w:bCs/>
          <w:sz w:val="20"/>
          <w:szCs w:val="20"/>
        </w:rPr>
        <w:t>Supplementary methods:</w:t>
      </w:r>
      <w:r w:rsidRPr="00E42D6A">
        <w:rPr>
          <w:rFonts w:eastAsiaTheme="minorEastAsia"/>
          <w:b/>
          <w:bCs/>
          <w:sz w:val="20"/>
          <w:szCs w:val="20"/>
          <w:lang w:val="en-US"/>
        </w:rPr>
        <w:t xml:space="preserve"> Antibody details</w:t>
      </w:r>
    </w:p>
    <w:p w14:paraId="6B685C3C" w14:textId="77777777" w:rsidR="00392EFF" w:rsidRPr="009A6F76" w:rsidRDefault="00392EFF" w:rsidP="00392EFF">
      <w:pPr>
        <w:spacing w:after="240" w:line="276" w:lineRule="auto"/>
        <w:jc w:val="both"/>
        <w:rPr>
          <w:rFonts w:eastAsiaTheme="minorEastAsia"/>
          <w:sz w:val="20"/>
          <w:szCs w:val="20"/>
        </w:rPr>
      </w:pPr>
      <w:r w:rsidRPr="2E81AF6D">
        <w:rPr>
          <w:rFonts w:eastAsiaTheme="minorEastAsia"/>
          <w:b/>
          <w:bCs/>
          <w:sz w:val="20"/>
          <w:szCs w:val="20"/>
        </w:rPr>
        <w:t xml:space="preserve">Supplementary Figure 1: </w:t>
      </w:r>
      <w:r w:rsidRPr="2E81AF6D">
        <w:rPr>
          <w:rFonts w:eastAsiaTheme="minorEastAsia"/>
          <w:sz w:val="20"/>
          <w:szCs w:val="20"/>
        </w:rPr>
        <w:t>CA20948 cells were</w:t>
      </w:r>
      <w:r w:rsidRPr="2E81AF6D">
        <w:rPr>
          <w:rFonts w:eastAsiaTheme="minorEastAsia"/>
          <w:b/>
          <w:bCs/>
          <w:sz w:val="20"/>
          <w:szCs w:val="20"/>
        </w:rPr>
        <w:t xml:space="preserve"> </w:t>
      </w:r>
      <w:r w:rsidRPr="2E81AF6D">
        <w:rPr>
          <w:rFonts w:eastAsiaTheme="minorEastAsia"/>
          <w:sz w:val="20"/>
          <w:szCs w:val="20"/>
        </w:rPr>
        <w:t xml:space="preserve">exposed to </w:t>
      </w:r>
      <w:r w:rsidRPr="2E81AF6D">
        <w:rPr>
          <w:rFonts w:eastAsiaTheme="minorEastAsia"/>
          <w:sz w:val="20"/>
          <w:szCs w:val="20"/>
          <w:vertAlign w:val="superscript"/>
        </w:rPr>
        <w:t>177</w:t>
      </w:r>
      <w:r w:rsidRPr="2E81AF6D">
        <w:rPr>
          <w:rFonts w:eastAsiaTheme="minorEastAsia"/>
          <w:sz w:val="20"/>
          <w:szCs w:val="20"/>
        </w:rPr>
        <w:t>Lu-DOTATATE (</w:t>
      </w:r>
      <w:r>
        <w:rPr>
          <w:rFonts w:eastAsiaTheme="minorEastAsia"/>
          <w:sz w:val="20"/>
          <w:szCs w:val="20"/>
        </w:rPr>
        <w:t>0.32</w:t>
      </w:r>
      <w:r w:rsidRPr="2E81AF6D">
        <w:rPr>
          <w:rFonts w:eastAsiaTheme="minorEastAsia"/>
          <w:sz w:val="20"/>
          <w:szCs w:val="20"/>
        </w:rPr>
        <w:t xml:space="preserve"> MBq/mL, TRT), for a brief time, or vehicle, or exposed to an equitoxic dose of external beam radiation (EBRT), washed and incubated on in varying concentrations of one of a panel of drugs. 14 days later, cells are stained to assess clonogenic survival. </w:t>
      </w:r>
      <w:r>
        <w:rPr>
          <w:rFonts w:eastAsiaTheme="minorEastAsia"/>
          <w:sz w:val="20"/>
          <w:szCs w:val="20"/>
        </w:rPr>
        <w:t>(</w:t>
      </w:r>
      <w:r w:rsidRPr="00FE1661">
        <w:rPr>
          <w:rFonts w:eastAsiaTheme="minorEastAsia"/>
          <w:b/>
          <w:bCs/>
          <w:sz w:val="20"/>
          <w:szCs w:val="20"/>
        </w:rPr>
        <w:t>a</w:t>
      </w:r>
      <w:r>
        <w:rPr>
          <w:rFonts w:eastAsiaTheme="minorEastAsia"/>
          <w:sz w:val="20"/>
          <w:szCs w:val="20"/>
        </w:rPr>
        <w:t xml:space="preserve">) </w:t>
      </w:r>
      <w:r w:rsidRPr="2E81AF6D">
        <w:rPr>
          <w:rFonts w:eastAsiaTheme="minorEastAsia"/>
          <w:sz w:val="20"/>
          <w:szCs w:val="20"/>
        </w:rPr>
        <w:t>Combination index of drug with EBRT or TRT was compared.</w:t>
      </w:r>
      <w:r>
        <w:rPr>
          <w:rFonts w:eastAsiaTheme="minorEastAsia"/>
          <w:sz w:val="20"/>
          <w:szCs w:val="20"/>
        </w:rPr>
        <w:t xml:space="preserve"> (</w:t>
      </w:r>
      <w:r w:rsidRPr="00FE1661">
        <w:rPr>
          <w:rFonts w:eastAsiaTheme="minorEastAsia"/>
          <w:b/>
          <w:bCs/>
          <w:sz w:val="20"/>
          <w:szCs w:val="20"/>
        </w:rPr>
        <w:t>b</w:t>
      </w:r>
      <w:r>
        <w:rPr>
          <w:rFonts w:eastAsiaTheme="minorEastAsia"/>
          <w:sz w:val="20"/>
          <w:szCs w:val="20"/>
        </w:rPr>
        <w:t>) ratio of the combination index with TRT vs. EBRT  (</w:t>
      </w:r>
      <w:r w:rsidRPr="00FE1661">
        <w:rPr>
          <w:rFonts w:eastAsiaTheme="minorEastAsia"/>
          <w:b/>
          <w:bCs/>
          <w:sz w:val="20"/>
          <w:szCs w:val="20"/>
        </w:rPr>
        <w:t>c</w:t>
      </w:r>
      <w:r>
        <w:rPr>
          <w:rFonts w:eastAsiaTheme="minorEastAsia"/>
          <w:sz w:val="20"/>
          <w:szCs w:val="20"/>
        </w:rPr>
        <w:t>) CI of drug combinations with TRT, (</w:t>
      </w:r>
      <w:r w:rsidRPr="007041E2">
        <w:rPr>
          <w:rFonts w:eastAsiaTheme="minorEastAsia"/>
          <w:b/>
          <w:bCs/>
          <w:sz w:val="20"/>
          <w:szCs w:val="20"/>
        </w:rPr>
        <w:t>d</w:t>
      </w:r>
      <w:r>
        <w:rPr>
          <w:rFonts w:eastAsiaTheme="minorEastAsia"/>
          <w:sz w:val="20"/>
          <w:szCs w:val="20"/>
        </w:rPr>
        <w:t>) Synergistic hits from the clonogenic drug screen.</w:t>
      </w:r>
    </w:p>
    <w:p w14:paraId="1DA74822" w14:textId="77777777" w:rsidR="00392EFF" w:rsidRDefault="00392EFF" w:rsidP="00392EFF">
      <w:pPr>
        <w:spacing w:after="240" w:line="276" w:lineRule="auto"/>
        <w:jc w:val="both"/>
        <w:rPr>
          <w:rFonts w:eastAsiaTheme="minorEastAsia"/>
          <w:sz w:val="20"/>
          <w:szCs w:val="20"/>
        </w:rPr>
      </w:pPr>
      <w:r w:rsidRPr="2E81AF6D">
        <w:rPr>
          <w:rFonts w:eastAsiaTheme="minorEastAsia"/>
          <w:b/>
          <w:bCs/>
          <w:sz w:val="20"/>
          <w:szCs w:val="20"/>
        </w:rPr>
        <w:t xml:space="preserve">Supplementary Figure 2: </w:t>
      </w:r>
      <w:r>
        <w:rPr>
          <w:rFonts w:eastAsiaTheme="minorEastAsia"/>
          <w:b/>
          <w:bCs/>
          <w:sz w:val="20"/>
          <w:szCs w:val="20"/>
        </w:rPr>
        <w:t xml:space="preserve">(a) </w:t>
      </w:r>
      <w:r w:rsidRPr="004036D4">
        <w:rPr>
          <w:rFonts w:eastAsiaTheme="minorEastAsia"/>
          <w:sz w:val="20"/>
          <w:szCs w:val="20"/>
        </w:rPr>
        <w:t>22Rv1</w:t>
      </w:r>
      <w:r>
        <w:rPr>
          <w:rFonts w:eastAsiaTheme="minorEastAsia"/>
          <w:sz w:val="20"/>
          <w:szCs w:val="20"/>
        </w:rPr>
        <w:t xml:space="preserve">, </w:t>
      </w:r>
      <w:r w:rsidRPr="2E81AF6D">
        <w:rPr>
          <w:rFonts w:eastAsiaTheme="minorEastAsia"/>
          <w:b/>
          <w:bCs/>
          <w:sz w:val="20"/>
          <w:szCs w:val="20"/>
        </w:rPr>
        <w:t>(</w:t>
      </w:r>
      <w:r>
        <w:rPr>
          <w:rFonts w:eastAsiaTheme="minorEastAsia"/>
          <w:b/>
          <w:bCs/>
          <w:sz w:val="20"/>
          <w:szCs w:val="20"/>
        </w:rPr>
        <w:t>b</w:t>
      </w:r>
      <w:r w:rsidRPr="2E81AF6D">
        <w:rPr>
          <w:rFonts w:eastAsiaTheme="minorEastAsia"/>
          <w:b/>
          <w:bCs/>
          <w:sz w:val="20"/>
          <w:szCs w:val="20"/>
        </w:rPr>
        <w:t xml:space="preserve">) </w:t>
      </w:r>
      <w:r w:rsidRPr="2E81AF6D">
        <w:rPr>
          <w:rFonts w:eastAsiaTheme="minorEastAsia"/>
          <w:sz w:val="20"/>
          <w:szCs w:val="20"/>
        </w:rPr>
        <w:t>LNCa</w:t>
      </w:r>
      <w:r>
        <w:rPr>
          <w:rFonts w:eastAsiaTheme="minorEastAsia"/>
          <w:sz w:val="20"/>
          <w:szCs w:val="20"/>
        </w:rPr>
        <w:t>P</w:t>
      </w:r>
      <w:r w:rsidRPr="2E81AF6D">
        <w:rPr>
          <w:rFonts w:eastAsiaTheme="minorEastAsia"/>
          <w:sz w:val="20"/>
          <w:szCs w:val="20"/>
        </w:rPr>
        <w:t xml:space="preserve"> or</w:t>
      </w:r>
      <w:r>
        <w:rPr>
          <w:rFonts w:eastAsiaTheme="minorEastAsia"/>
          <w:sz w:val="20"/>
          <w:szCs w:val="20"/>
        </w:rPr>
        <w:t xml:space="preserve"> </w:t>
      </w:r>
      <w:r w:rsidRPr="004036D4">
        <w:rPr>
          <w:rFonts w:eastAsiaTheme="minorEastAsia"/>
          <w:b/>
          <w:bCs/>
          <w:sz w:val="20"/>
          <w:szCs w:val="20"/>
        </w:rPr>
        <w:t>(c)</w:t>
      </w:r>
      <w:r w:rsidRPr="2E81AF6D">
        <w:rPr>
          <w:rFonts w:eastAsiaTheme="minorEastAsia"/>
          <w:sz w:val="20"/>
          <w:szCs w:val="20"/>
        </w:rPr>
        <w:t xml:space="preserve"> LNCa</w:t>
      </w:r>
      <w:r>
        <w:rPr>
          <w:rFonts w:eastAsiaTheme="minorEastAsia"/>
          <w:sz w:val="20"/>
          <w:szCs w:val="20"/>
        </w:rPr>
        <w:t>P</w:t>
      </w:r>
      <w:r w:rsidRPr="2E81AF6D">
        <w:rPr>
          <w:rFonts w:eastAsiaTheme="minorEastAsia"/>
          <w:sz w:val="20"/>
          <w:szCs w:val="20"/>
          <w:vertAlign w:val="superscript"/>
        </w:rPr>
        <w:t>p53-/-</w:t>
      </w:r>
      <w:r w:rsidRPr="2E81AF6D">
        <w:rPr>
          <w:rFonts w:eastAsiaTheme="minorEastAsia"/>
          <w:sz w:val="20"/>
          <w:szCs w:val="20"/>
        </w:rPr>
        <w:t xml:space="preserve"> cells were exposed to </w:t>
      </w:r>
      <w:r w:rsidRPr="2E81AF6D">
        <w:rPr>
          <w:rFonts w:eastAsiaTheme="minorEastAsia"/>
          <w:sz w:val="20"/>
          <w:szCs w:val="20"/>
          <w:vertAlign w:val="superscript"/>
        </w:rPr>
        <w:t>177</w:t>
      </w:r>
      <w:r w:rsidRPr="2E81AF6D">
        <w:rPr>
          <w:rFonts w:eastAsiaTheme="minorEastAsia"/>
          <w:sz w:val="20"/>
          <w:szCs w:val="20"/>
        </w:rPr>
        <w:t>Lu-PSMA, for a brief time, or vehicle, washed and incubated on in abemaciclib or vehicle control. After 1</w:t>
      </w:r>
      <w:r>
        <w:rPr>
          <w:rFonts w:eastAsiaTheme="minorEastAsia"/>
          <w:sz w:val="20"/>
          <w:szCs w:val="20"/>
        </w:rPr>
        <w:t>0 (22Rv1) or 1</w:t>
      </w:r>
      <w:r w:rsidRPr="2E81AF6D">
        <w:rPr>
          <w:rFonts w:eastAsiaTheme="minorEastAsia"/>
          <w:sz w:val="20"/>
          <w:szCs w:val="20"/>
        </w:rPr>
        <w:t>4 days</w:t>
      </w:r>
      <w:r>
        <w:rPr>
          <w:rFonts w:eastAsiaTheme="minorEastAsia"/>
          <w:sz w:val="20"/>
          <w:szCs w:val="20"/>
        </w:rPr>
        <w:t xml:space="preserve"> (LNCaP, </w:t>
      </w:r>
      <w:r w:rsidRPr="2E81AF6D">
        <w:rPr>
          <w:rFonts w:eastAsiaTheme="minorEastAsia"/>
          <w:sz w:val="20"/>
          <w:szCs w:val="20"/>
        </w:rPr>
        <w:t>LNCa</w:t>
      </w:r>
      <w:r>
        <w:rPr>
          <w:rFonts w:eastAsiaTheme="minorEastAsia"/>
          <w:sz w:val="20"/>
          <w:szCs w:val="20"/>
        </w:rPr>
        <w:t>P</w:t>
      </w:r>
      <w:r w:rsidRPr="2E81AF6D">
        <w:rPr>
          <w:rFonts w:eastAsiaTheme="minorEastAsia"/>
          <w:sz w:val="20"/>
          <w:szCs w:val="20"/>
          <w:vertAlign w:val="superscript"/>
        </w:rPr>
        <w:t>p53-/-</w:t>
      </w:r>
      <w:r>
        <w:rPr>
          <w:rFonts w:eastAsiaTheme="minorEastAsia"/>
          <w:sz w:val="20"/>
          <w:szCs w:val="20"/>
        </w:rPr>
        <w:t>)</w:t>
      </w:r>
      <w:r w:rsidRPr="2E81AF6D">
        <w:rPr>
          <w:rFonts w:eastAsiaTheme="minorEastAsia"/>
          <w:sz w:val="20"/>
          <w:szCs w:val="20"/>
        </w:rPr>
        <w:t xml:space="preserve"> cells were stained to assess clonogenic survival.</w:t>
      </w:r>
      <w:r w:rsidRPr="2E81AF6D">
        <w:rPr>
          <w:rFonts w:eastAsiaTheme="minorEastAsia"/>
          <w:b/>
          <w:bCs/>
          <w:sz w:val="20"/>
          <w:szCs w:val="20"/>
        </w:rPr>
        <w:t xml:space="preserve"> (</w:t>
      </w:r>
      <w:r>
        <w:rPr>
          <w:rFonts w:eastAsiaTheme="minorEastAsia"/>
          <w:b/>
          <w:bCs/>
          <w:sz w:val="20"/>
          <w:szCs w:val="20"/>
        </w:rPr>
        <w:t>d</w:t>
      </w:r>
      <w:r w:rsidRPr="2E81AF6D">
        <w:rPr>
          <w:rFonts w:eastAsiaTheme="minorEastAsia"/>
          <w:b/>
          <w:bCs/>
          <w:sz w:val="20"/>
          <w:szCs w:val="20"/>
        </w:rPr>
        <w:t xml:space="preserve">) </w:t>
      </w:r>
      <w:r w:rsidRPr="2E81AF6D">
        <w:rPr>
          <w:rFonts w:eastAsiaTheme="minorEastAsia"/>
          <w:sz w:val="20"/>
          <w:szCs w:val="20"/>
        </w:rPr>
        <w:t xml:space="preserve">CA20948 xenograft bearing athymic mice were administered </w:t>
      </w:r>
      <w:r w:rsidRPr="2E81AF6D">
        <w:rPr>
          <w:rFonts w:eastAsiaTheme="minorEastAsia"/>
          <w:sz w:val="20"/>
          <w:szCs w:val="20"/>
          <w:vertAlign w:val="superscript"/>
        </w:rPr>
        <w:t>177</w:t>
      </w:r>
      <w:r w:rsidRPr="2E81AF6D">
        <w:rPr>
          <w:rFonts w:eastAsiaTheme="minorEastAsia"/>
          <w:sz w:val="20"/>
          <w:szCs w:val="20"/>
        </w:rPr>
        <w:t xml:space="preserve">Lu-DOTATATE (7.2±1.2 MBq). Starting 24 h later, abemaciclib (25 or 50 mg/kg) or vehicle control was administered </w:t>
      </w:r>
      <w:r>
        <w:rPr>
          <w:rFonts w:eastAsiaTheme="minorEastAsia"/>
          <w:sz w:val="20"/>
          <w:szCs w:val="20"/>
        </w:rPr>
        <w:t>by oral gavage</w:t>
      </w:r>
      <w:r w:rsidRPr="2E81AF6D">
        <w:rPr>
          <w:rFonts w:eastAsiaTheme="minorEastAsia"/>
          <w:sz w:val="20"/>
          <w:szCs w:val="20"/>
        </w:rPr>
        <w:t xml:space="preserve"> daily for 10 days. Animal weight and tumour size were recorded over time</w:t>
      </w:r>
      <w:r>
        <w:rPr>
          <w:rFonts w:eastAsiaTheme="minorEastAsia"/>
          <w:sz w:val="20"/>
          <w:szCs w:val="20"/>
        </w:rPr>
        <w:t xml:space="preserve"> where the addition of abemaciclib to </w:t>
      </w:r>
      <w:r w:rsidRPr="00FD00F2">
        <w:rPr>
          <w:rFonts w:eastAsiaTheme="minorEastAsia"/>
          <w:sz w:val="20"/>
          <w:szCs w:val="20"/>
          <w:vertAlign w:val="superscript"/>
        </w:rPr>
        <w:t>177</w:t>
      </w:r>
      <w:r>
        <w:rPr>
          <w:rFonts w:eastAsiaTheme="minorEastAsia"/>
          <w:sz w:val="20"/>
          <w:szCs w:val="20"/>
        </w:rPr>
        <w:t xml:space="preserve">Lu-DOTATATE did not affect overall mice weight compared to </w:t>
      </w:r>
      <w:r w:rsidRPr="00FD00F2">
        <w:rPr>
          <w:rFonts w:eastAsiaTheme="minorEastAsia"/>
          <w:sz w:val="20"/>
          <w:szCs w:val="20"/>
          <w:vertAlign w:val="superscript"/>
        </w:rPr>
        <w:t>177</w:t>
      </w:r>
      <w:r>
        <w:rPr>
          <w:rFonts w:eastAsiaTheme="minorEastAsia"/>
          <w:sz w:val="20"/>
          <w:szCs w:val="20"/>
        </w:rPr>
        <w:t xml:space="preserve">Lu-DOTATATE. </w:t>
      </w:r>
      <w:r w:rsidRPr="2E81AF6D">
        <w:rPr>
          <w:rFonts w:eastAsiaTheme="minorEastAsia"/>
          <w:b/>
          <w:bCs/>
          <w:sz w:val="20"/>
          <w:szCs w:val="20"/>
        </w:rPr>
        <w:t>(</w:t>
      </w:r>
      <w:r>
        <w:rPr>
          <w:rFonts w:eastAsiaTheme="minorEastAsia"/>
          <w:b/>
          <w:bCs/>
          <w:sz w:val="20"/>
          <w:szCs w:val="20"/>
        </w:rPr>
        <w:t>e,f</w:t>
      </w:r>
      <w:r w:rsidRPr="2E81AF6D">
        <w:rPr>
          <w:rFonts w:eastAsiaTheme="minorEastAsia"/>
          <w:b/>
          <w:bCs/>
          <w:sz w:val="20"/>
          <w:szCs w:val="20"/>
        </w:rPr>
        <w:t>)</w:t>
      </w:r>
      <w:r>
        <w:rPr>
          <w:rFonts w:eastAsiaTheme="minorEastAsia"/>
          <w:b/>
          <w:bCs/>
          <w:sz w:val="20"/>
          <w:szCs w:val="20"/>
        </w:rPr>
        <w:t xml:space="preserve"> </w:t>
      </w:r>
      <w:r>
        <w:rPr>
          <w:rFonts w:eastAsiaTheme="minorEastAsia"/>
          <w:sz w:val="20"/>
          <w:szCs w:val="20"/>
        </w:rPr>
        <w:t xml:space="preserve">there was no correlation between uptake and survival between the </w:t>
      </w:r>
      <w:r w:rsidRPr="00286110">
        <w:rPr>
          <w:rFonts w:eastAsiaTheme="minorEastAsia"/>
          <w:sz w:val="20"/>
          <w:szCs w:val="20"/>
          <w:vertAlign w:val="superscript"/>
        </w:rPr>
        <w:t>177</w:t>
      </w:r>
      <w:r>
        <w:rPr>
          <w:rFonts w:eastAsiaTheme="minorEastAsia"/>
          <w:sz w:val="20"/>
          <w:szCs w:val="20"/>
        </w:rPr>
        <w:t xml:space="preserve">Lu-DOTATATE treatment groups. </w:t>
      </w:r>
      <w:r w:rsidRPr="00F545EC">
        <w:rPr>
          <w:rFonts w:eastAsiaTheme="minorEastAsia"/>
          <w:b/>
          <w:bCs/>
          <w:sz w:val="20"/>
          <w:szCs w:val="20"/>
        </w:rPr>
        <w:t>(</w:t>
      </w:r>
      <w:r>
        <w:rPr>
          <w:rFonts w:eastAsiaTheme="minorEastAsia"/>
          <w:b/>
          <w:bCs/>
          <w:sz w:val="20"/>
          <w:szCs w:val="20"/>
        </w:rPr>
        <w:t>g,h</w:t>
      </w:r>
      <w:r w:rsidRPr="00F545EC">
        <w:rPr>
          <w:rFonts w:eastAsiaTheme="minorEastAsia"/>
          <w:b/>
          <w:bCs/>
          <w:sz w:val="20"/>
          <w:szCs w:val="20"/>
        </w:rPr>
        <w:t>)</w:t>
      </w:r>
      <w:r w:rsidRPr="007D6566">
        <w:t xml:space="preserve"> </w:t>
      </w:r>
      <w:r w:rsidRPr="007D6566">
        <w:rPr>
          <w:rFonts w:eastAsiaTheme="minorEastAsia"/>
          <w:sz w:val="20"/>
          <w:szCs w:val="20"/>
        </w:rPr>
        <w:t>C.B-17/Icr SCID male mice</w:t>
      </w:r>
      <w:r>
        <w:rPr>
          <w:rFonts w:eastAsiaTheme="minorEastAsia"/>
          <w:sz w:val="20"/>
          <w:szCs w:val="20"/>
        </w:rPr>
        <w:t xml:space="preserve"> were inoculated with </w:t>
      </w:r>
      <w:r w:rsidRPr="007D6566">
        <w:rPr>
          <w:rFonts w:eastAsiaTheme="minorEastAsia"/>
          <w:sz w:val="20"/>
          <w:szCs w:val="20"/>
        </w:rPr>
        <w:t>10</w:t>
      </w:r>
      <w:r w:rsidRPr="006659A3">
        <w:rPr>
          <w:rFonts w:eastAsiaTheme="minorEastAsia"/>
          <w:sz w:val="20"/>
          <w:szCs w:val="20"/>
          <w:vertAlign w:val="superscript"/>
        </w:rPr>
        <w:t>6</w:t>
      </w:r>
      <w:r w:rsidRPr="007D6566">
        <w:rPr>
          <w:rFonts w:eastAsiaTheme="minorEastAsia"/>
          <w:sz w:val="20"/>
          <w:szCs w:val="20"/>
        </w:rPr>
        <w:t xml:space="preserve"> 22Rv1 cells in a 1:1 Matrigel and media mix (100 µl)</w:t>
      </w:r>
      <w:r>
        <w:rPr>
          <w:rFonts w:eastAsiaTheme="minorEastAsia"/>
          <w:b/>
          <w:bCs/>
          <w:sz w:val="20"/>
          <w:szCs w:val="20"/>
        </w:rPr>
        <w:t xml:space="preserve"> </w:t>
      </w:r>
      <w:r>
        <w:rPr>
          <w:rFonts w:eastAsiaTheme="minorEastAsia"/>
          <w:sz w:val="20"/>
          <w:szCs w:val="20"/>
        </w:rPr>
        <w:t>and randomised to receive v</w:t>
      </w:r>
      <w:r w:rsidRPr="00915458">
        <w:rPr>
          <w:rFonts w:eastAsiaTheme="minorEastAsia"/>
          <w:sz w:val="20"/>
          <w:szCs w:val="20"/>
        </w:rPr>
        <w:t xml:space="preserve">ehicle (purple), </w:t>
      </w:r>
      <w:r w:rsidRPr="0061677C">
        <w:rPr>
          <w:rFonts w:eastAsiaTheme="minorEastAsia"/>
          <w:sz w:val="20"/>
          <w:szCs w:val="20"/>
          <w:vertAlign w:val="superscript"/>
        </w:rPr>
        <w:t>177</w:t>
      </w:r>
      <w:r w:rsidRPr="00915458">
        <w:rPr>
          <w:rFonts w:eastAsiaTheme="minorEastAsia"/>
          <w:sz w:val="20"/>
          <w:szCs w:val="20"/>
        </w:rPr>
        <w:t xml:space="preserve">Lu-PSMA (40 MBq, blue), </w:t>
      </w:r>
      <w:r>
        <w:rPr>
          <w:rFonts w:eastAsiaTheme="minorEastAsia"/>
          <w:sz w:val="20"/>
          <w:szCs w:val="20"/>
        </w:rPr>
        <w:t>a</w:t>
      </w:r>
      <w:r w:rsidRPr="00915458">
        <w:rPr>
          <w:rFonts w:eastAsiaTheme="minorEastAsia"/>
          <w:sz w:val="20"/>
          <w:szCs w:val="20"/>
        </w:rPr>
        <w:t>bemaciclib (25 mg/Kg, OG, green) or the combination of the two (red),</w:t>
      </w:r>
      <w:r>
        <w:rPr>
          <w:rFonts w:eastAsiaTheme="minorEastAsia"/>
          <w:sz w:val="20"/>
          <w:szCs w:val="20"/>
        </w:rPr>
        <w:t xml:space="preserve"> survival</w:t>
      </w:r>
      <w:r w:rsidRPr="00915458">
        <w:rPr>
          <w:rFonts w:eastAsiaTheme="minorEastAsia"/>
          <w:sz w:val="20"/>
          <w:szCs w:val="20"/>
        </w:rPr>
        <w:t xml:space="preserve"> represented as the time needed to 2.5</w:t>
      </w:r>
      <w:r>
        <w:rPr>
          <w:rFonts w:eastAsiaTheme="minorEastAsia"/>
          <w:sz w:val="20"/>
          <w:szCs w:val="20"/>
        </w:rPr>
        <w:t>×</w:t>
      </w:r>
      <w:r w:rsidRPr="00915458">
        <w:rPr>
          <w:rFonts w:eastAsiaTheme="minorEastAsia"/>
          <w:sz w:val="20"/>
          <w:szCs w:val="20"/>
        </w:rPr>
        <w:t xml:space="preserve"> times the original tumour size measured right before the treatment. </w:t>
      </w:r>
      <w:r w:rsidRPr="00915458">
        <w:rPr>
          <w:rFonts w:eastAsiaTheme="minorEastAsia"/>
          <w:sz w:val="20"/>
          <w:szCs w:val="20"/>
          <w:lang w:val="nb-NO"/>
        </w:rPr>
        <w:t>Tumour sizes were measured with callipers every 3 days.</w:t>
      </w:r>
      <w:r>
        <w:rPr>
          <w:rFonts w:eastAsiaTheme="minorEastAsia"/>
          <w:sz w:val="20"/>
          <w:szCs w:val="20"/>
        </w:rPr>
        <w:t xml:space="preserve"> </w:t>
      </w:r>
      <w:r w:rsidRPr="00A177A1">
        <w:rPr>
          <w:rFonts w:eastAsiaTheme="minorEastAsia"/>
          <w:b/>
          <w:bCs/>
          <w:sz w:val="20"/>
          <w:szCs w:val="20"/>
        </w:rPr>
        <w:t>(</w:t>
      </w:r>
      <w:r>
        <w:rPr>
          <w:rFonts w:eastAsiaTheme="minorEastAsia"/>
          <w:b/>
          <w:bCs/>
          <w:sz w:val="20"/>
          <w:szCs w:val="20"/>
        </w:rPr>
        <w:t>i</w:t>
      </w:r>
      <w:r w:rsidRPr="00A177A1">
        <w:rPr>
          <w:rFonts w:eastAsiaTheme="minorEastAsia"/>
          <w:b/>
          <w:bCs/>
          <w:sz w:val="20"/>
          <w:szCs w:val="20"/>
        </w:rPr>
        <w:t>)</w:t>
      </w:r>
      <w:r w:rsidRPr="00EE6E6A">
        <w:t xml:space="preserve"> </w:t>
      </w:r>
      <w:r w:rsidRPr="00EE6E6A">
        <w:rPr>
          <w:rFonts w:eastAsiaTheme="minorEastAsia"/>
          <w:sz w:val="20"/>
          <w:szCs w:val="20"/>
        </w:rPr>
        <w:t>M</w:t>
      </w:r>
      <w:r>
        <w:rPr>
          <w:rFonts w:eastAsiaTheme="minorEastAsia"/>
          <w:sz w:val="20"/>
          <w:szCs w:val="20"/>
        </w:rPr>
        <w:t>ouse</w:t>
      </w:r>
      <w:r w:rsidRPr="00EE6E6A">
        <w:rPr>
          <w:rFonts w:eastAsiaTheme="minorEastAsia"/>
          <w:sz w:val="20"/>
          <w:szCs w:val="20"/>
        </w:rPr>
        <w:t xml:space="preserve"> weights in each treatment group are reported as average of 10 animals ± SD. </w:t>
      </w:r>
      <w:r>
        <w:rPr>
          <w:rFonts w:eastAsiaTheme="minorEastAsia"/>
          <w:sz w:val="20"/>
          <w:szCs w:val="20"/>
        </w:rPr>
        <w:t>T</w:t>
      </w:r>
      <w:r w:rsidRPr="00EE6E6A">
        <w:rPr>
          <w:rFonts w:eastAsiaTheme="minorEastAsia"/>
          <w:sz w:val="20"/>
          <w:szCs w:val="20"/>
        </w:rPr>
        <w:t>wo-way ANOVA did not show any significant difference between the groups (n.s.).</w:t>
      </w:r>
    </w:p>
    <w:p w14:paraId="35870E34" w14:textId="77777777" w:rsidR="00392EFF" w:rsidRDefault="00392EFF" w:rsidP="00392EFF">
      <w:pPr>
        <w:spacing w:after="240" w:line="276" w:lineRule="auto"/>
        <w:jc w:val="both"/>
        <w:rPr>
          <w:rFonts w:eastAsiaTheme="minorEastAsia"/>
          <w:sz w:val="20"/>
          <w:szCs w:val="20"/>
        </w:rPr>
      </w:pPr>
      <w:r w:rsidRPr="2E81AF6D">
        <w:rPr>
          <w:rFonts w:eastAsiaTheme="minorEastAsia"/>
          <w:b/>
          <w:bCs/>
          <w:sz w:val="20"/>
          <w:szCs w:val="20"/>
        </w:rPr>
        <w:t xml:space="preserve">Supplementary Figure 3: </w:t>
      </w:r>
      <w:r>
        <w:rPr>
          <w:rFonts w:eastAsiaTheme="minorEastAsia"/>
          <w:sz w:val="20"/>
          <w:szCs w:val="20"/>
        </w:rPr>
        <w:t xml:space="preserve"> </w:t>
      </w:r>
      <w:r w:rsidRPr="007B6158">
        <w:rPr>
          <w:rFonts w:eastAsiaTheme="minorEastAsia"/>
          <w:sz w:val="20"/>
          <w:szCs w:val="20"/>
        </w:rPr>
        <w:t>p53 mutant cell lines BON1 and QGP1</w:t>
      </w:r>
      <w:r>
        <w:rPr>
          <w:rFonts w:eastAsiaTheme="minorEastAsia"/>
          <w:b/>
          <w:bCs/>
          <w:sz w:val="20"/>
          <w:szCs w:val="20"/>
        </w:rPr>
        <w:t xml:space="preserve"> </w:t>
      </w:r>
      <w:r>
        <w:rPr>
          <w:rFonts w:eastAsiaTheme="minorEastAsia"/>
          <w:sz w:val="20"/>
          <w:szCs w:val="20"/>
        </w:rPr>
        <w:t xml:space="preserve">did not demonstrate any evidence of any synergy or cooperativity with </w:t>
      </w:r>
      <w:r w:rsidRPr="00F166C5">
        <w:rPr>
          <w:rFonts w:eastAsiaTheme="minorEastAsia"/>
          <w:sz w:val="20"/>
          <w:szCs w:val="20"/>
          <w:vertAlign w:val="superscript"/>
        </w:rPr>
        <w:t>177</w:t>
      </w:r>
      <w:r>
        <w:rPr>
          <w:rFonts w:eastAsiaTheme="minorEastAsia"/>
          <w:sz w:val="20"/>
          <w:szCs w:val="20"/>
        </w:rPr>
        <w:t>Lu-DOTATATE and CDK4/6i in (a,b,c,d) BON1</w:t>
      </w:r>
      <w:r w:rsidRPr="00CC3F64">
        <w:rPr>
          <w:rFonts w:eastAsiaTheme="minorEastAsia"/>
          <w:sz w:val="20"/>
          <w:szCs w:val="20"/>
          <w:vertAlign w:val="superscript"/>
        </w:rPr>
        <w:t>wt</w:t>
      </w:r>
      <w:r>
        <w:rPr>
          <w:rFonts w:eastAsiaTheme="minorEastAsia"/>
          <w:sz w:val="20"/>
          <w:szCs w:val="20"/>
        </w:rPr>
        <w:t xml:space="preserve"> cells  (e) which may affected by the limited capacity of </w:t>
      </w:r>
      <w:r w:rsidRPr="00F166C5">
        <w:rPr>
          <w:rFonts w:eastAsiaTheme="minorEastAsia"/>
          <w:sz w:val="20"/>
          <w:szCs w:val="20"/>
          <w:vertAlign w:val="superscript"/>
        </w:rPr>
        <w:t>177</w:t>
      </w:r>
      <w:r>
        <w:rPr>
          <w:rFonts w:eastAsiaTheme="minorEastAsia"/>
          <w:sz w:val="20"/>
          <w:szCs w:val="20"/>
        </w:rPr>
        <w:t xml:space="preserve">Lu-DOTATATE as a monotherapy to reduce clonogenic survival in BON1 cell line. (f) Overexpression of sstr2 in QGP1 resulted in significant increase in efficacy of  </w:t>
      </w:r>
      <w:bookmarkStart w:id="0" w:name="OLE_LINK3"/>
      <w:r w:rsidRPr="00F166C5">
        <w:rPr>
          <w:rFonts w:eastAsiaTheme="minorEastAsia"/>
          <w:sz w:val="20"/>
          <w:szCs w:val="20"/>
          <w:vertAlign w:val="superscript"/>
        </w:rPr>
        <w:t>177</w:t>
      </w:r>
      <w:r>
        <w:rPr>
          <w:rFonts w:eastAsiaTheme="minorEastAsia"/>
          <w:sz w:val="20"/>
          <w:szCs w:val="20"/>
        </w:rPr>
        <w:t>Lu-DOTATATE</w:t>
      </w:r>
      <w:bookmarkEnd w:id="0"/>
      <w:r>
        <w:rPr>
          <w:rFonts w:eastAsiaTheme="minorEastAsia"/>
          <w:sz w:val="20"/>
          <w:szCs w:val="20"/>
        </w:rPr>
        <w:t xml:space="preserve">, but (g-j) did not provide any evidence of synergy  or cooperation with CDK4/6i (abemaciclib, ribociclib). </w:t>
      </w:r>
    </w:p>
    <w:p w14:paraId="1938B02B" w14:textId="77777777" w:rsidR="00392EFF" w:rsidRPr="001A0585" w:rsidRDefault="00392EFF" w:rsidP="00392EFF">
      <w:pPr>
        <w:spacing w:after="240" w:line="276" w:lineRule="auto"/>
        <w:jc w:val="both"/>
        <w:rPr>
          <w:rFonts w:eastAsiaTheme="minorEastAsia"/>
          <w:sz w:val="20"/>
          <w:szCs w:val="20"/>
        </w:rPr>
      </w:pPr>
      <w:r w:rsidRPr="00E52E15">
        <w:rPr>
          <w:rFonts w:eastAsiaTheme="minorEastAsia"/>
          <w:b/>
          <w:bCs/>
          <w:sz w:val="20"/>
          <w:szCs w:val="20"/>
        </w:rPr>
        <w:t xml:space="preserve">Supplementary Figure 4: </w:t>
      </w:r>
      <w:r>
        <w:rPr>
          <w:rFonts w:eastAsiaTheme="minorEastAsia"/>
          <w:b/>
          <w:bCs/>
          <w:sz w:val="20"/>
          <w:szCs w:val="20"/>
        </w:rPr>
        <w:t xml:space="preserve"> </w:t>
      </w:r>
      <w:r>
        <w:rPr>
          <w:rFonts w:eastAsiaTheme="minorEastAsia"/>
          <w:sz w:val="20"/>
          <w:szCs w:val="20"/>
        </w:rPr>
        <w:t xml:space="preserve">Metabolic luminescence based assay, Cell Titre Glo (Promega) generated false negatives of activity with increased relative viability to varying activity concentrations of </w:t>
      </w:r>
      <w:r w:rsidRPr="0055720E">
        <w:rPr>
          <w:rFonts w:eastAsiaTheme="minorEastAsia"/>
          <w:sz w:val="20"/>
          <w:szCs w:val="20"/>
          <w:vertAlign w:val="superscript"/>
        </w:rPr>
        <w:t>177</w:t>
      </w:r>
      <w:r w:rsidRPr="0055720E">
        <w:rPr>
          <w:rFonts w:eastAsiaTheme="minorEastAsia"/>
          <w:sz w:val="20"/>
          <w:szCs w:val="20"/>
        </w:rPr>
        <w:t>L</w:t>
      </w:r>
      <w:r>
        <w:rPr>
          <w:rFonts w:eastAsiaTheme="minorEastAsia"/>
          <w:sz w:val="20"/>
          <w:szCs w:val="20"/>
        </w:rPr>
        <w:t xml:space="preserve">u-DOTATATE (0-1.5 MBq/mL) in CA20948 cells across the CDK4/6i concentration range with (a) abemaciclib, and (d) palbociclib. Cell numbers of these plates prior to viability assay using Celigo imaging cytometry revealed a dose-dependent decrease in cell number with CDK4/6i concentration for (b) abemaciclib, and (e) palbociclib. Correlating the average viability by CellTitre Glo to cell number within these wells there was an apparent increase in viability with increasing concentration of CDK4/6i for (c) abemaciclib, and (f) palbociclib. </w:t>
      </w:r>
    </w:p>
    <w:p w14:paraId="2ECB1BD7" w14:textId="77777777" w:rsidR="00392EFF" w:rsidRPr="0075734D" w:rsidRDefault="00392EFF" w:rsidP="00392EFF">
      <w:pPr>
        <w:spacing w:after="240" w:line="276" w:lineRule="auto"/>
        <w:jc w:val="both"/>
        <w:rPr>
          <w:rFonts w:eastAsiaTheme="minorEastAsia"/>
          <w:sz w:val="20"/>
          <w:szCs w:val="20"/>
        </w:rPr>
      </w:pPr>
      <w:r w:rsidRPr="00E52E15">
        <w:rPr>
          <w:rFonts w:eastAsiaTheme="minorEastAsia"/>
          <w:b/>
          <w:bCs/>
          <w:sz w:val="20"/>
          <w:szCs w:val="20"/>
        </w:rPr>
        <w:t xml:space="preserve">Supplementary Figure </w:t>
      </w:r>
      <w:r>
        <w:rPr>
          <w:rFonts w:eastAsiaTheme="minorEastAsia"/>
          <w:b/>
          <w:bCs/>
          <w:sz w:val="20"/>
          <w:szCs w:val="20"/>
        </w:rPr>
        <w:t xml:space="preserve">5: </w:t>
      </w:r>
      <w:r>
        <w:rPr>
          <w:rFonts w:eastAsiaTheme="minorEastAsia"/>
          <w:sz w:val="20"/>
          <w:szCs w:val="20"/>
        </w:rPr>
        <w:t>Cell cycle analysis did not indicate a CDK4/6i dose-dependent cell cycle arrest for the mechanism of action in (a) 22Rv1 cell lines at days 6 and 7, and in (b) CA20948 cells at day 2 as well as (c) day 10.  Cell cycle distribution was based upon DNA content imaged using Celigo imaging cytometer with cells treated within 96 well plates for the same initial treatment conditions used for the clonogenic assays. Cells were fixed in ice cold methanol and stored in -20 °C and stained with Hoescht 33342 when activity was at background levels before imaging on Celigo imaging cytometer.</w:t>
      </w:r>
    </w:p>
    <w:p w14:paraId="40F7E61D" w14:textId="77777777" w:rsidR="00392EFF" w:rsidRDefault="00392EFF" w:rsidP="00392EFF">
      <w:pPr>
        <w:spacing w:after="240" w:line="276" w:lineRule="auto"/>
        <w:jc w:val="both"/>
        <w:rPr>
          <w:rFonts w:eastAsiaTheme="minorEastAsia"/>
          <w:sz w:val="20"/>
          <w:szCs w:val="20"/>
        </w:rPr>
      </w:pPr>
      <w:r w:rsidRPr="00F34018">
        <w:rPr>
          <w:rFonts w:eastAsiaTheme="minorEastAsia"/>
          <w:b/>
          <w:bCs/>
          <w:sz w:val="20"/>
          <w:szCs w:val="20"/>
        </w:rPr>
        <w:lastRenderedPageBreak/>
        <w:t xml:space="preserve">Supplementary Figure </w:t>
      </w:r>
      <w:r>
        <w:rPr>
          <w:rFonts w:eastAsiaTheme="minorEastAsia"/>
          <w:b/>
          <w:bCs/>
          <w:sz w:val="20"/>
          <w:szCs w:val="20"/>
        </w:rPr>
        <w:t>6</w:t>
      </w:r>
      <w:r>
        <w:rPr>
          <w:rFonts w:eastAsiaTheme="minorEastAsia"/>
          <w:sz w:val="20"/>
          <w:szCs w:val="20"/>
        </w:rPr>
        <w:t xml:space="preserve">: (a) </w:t>
      </w:r>
      <w:r w:rsidRPr="2E81AF6D">
        <w:rPr>
          <w:rFonts w:eastAsiaTheme="minorEastAsia"/>
          <w:sz w:val="20"/>
          <w:szCs w:val="20"/>
        </w:rPr>
        <w:t>22R</w:t>
      </w:r>
      <w:r>
        <w:rPr>
          <w:rFonts w:eastAsiaTheme="minorEastAsia"/>
          <w:sz w:val="20"/>
          <w:szCs w:val="20"/>
        </w:rPr>
        <w:t>v</w:t>
      </w:r>
      <w:r w:rsidRPr="2E81AF6D">
        <w:rPr>
          <w:rFonts w:eastAsiaTheme="minorEastAsia"/>
          <w:sz w:val="20"/>
          <w:szCs w:val="20"/>
        </w:rPr>
        <w:t xml:space="preserve">1 or CA20948 cells were treated with </w:t>
      </w:r>
      <w:r w:rsidRPr="2E81AF6D">
        <w:rPr>
          <w:rFonts w:eastAsiaTheme="minorEastAsia"/>
          <w:sz w:val="20"/>
          <w:szCs w:val="20"/>
          <w:vertAlign w:val="superscript"/>
        </w:rPr>
        <w:t>177</w:t>
      </w:r>
      <w:r w:rsidRPr="2E81AF6D">
        <w:rPr>
          <w:rFonts w:eastAsiaTheme="minorEastAsia"/>
          <w:sz w:val="20"/>
          <w:szCs w:val="20"/>
        </w:rPr>
        <w:t xml:space="preserve">Lu-PSMA or </w:t>
      </w:r>
      <w:r w:rsidRPr="2E81AF6D">
        <w:rPr>
          <w:rFonts w:eastAsiaTheme="minorEastAsia"/>
          <w:sz w:val="20"/>
          <w:szCs w:val="20"/>
          <w:vertAlign w:val="superscript"/>
        </w:rPr>
        <w:t>177</w:t>
      </w:r>
      <w:r w:rsidRPr="2E81AF6D">
        <w:rPr>
          <w:rFonts w:eastAsiaTheme="minorEastAsia"/>
          <w:sz w:val="20"/>
          <w:szCs w:val="20"/>
        </w:rPr>
        <w:t>Lu-DOTATATE, respectively, for a brief time, or vehicle, washed and incubated on in abemaciclib or vehicle control. After 1, 3, 7 or 10 days, cells were harvested and proteins of the replisome assessed by western blot</w:t>
      </w:r>
      <w:r>
        <w:rPr>
          <w:rFonts w:eastAsiaTheme="minorEastAsia"/>
          <w:sz w:val="20"/>
          <w:szCs w:val="20"/>
        </w:rPr>
        <w:t>.</w:t>
      </w:r>
      <w:r w:rsidRPr="00485B87">
        <w:rPr>
          <w:rFonts w:eastAsiaTheme="minorEastAsia"/>
          <w:sz w:val="20"/>
          <w:szCs w:val="20"/>
        </w:rPr>
        <w:t xml:space="preserve"> Images are representative of n=3 independent experiments</w:t>
      </w:r>
      <w:r w:rsidRPr="2E81AF6D">
        <w:rPr>
          <w:rFonts w:eastAsiaTheme="minorEastAsia"/>
          <w:sz w:val="20"/>
          <w:szCs w:val="20"/>
        </w:rPr>
        <w:t>.</w:t>
      </w:r>
      <w:r>
        <w:rPr>
          <w:rFonts w:eastAsiaTheme="minorEastAsia"/>
          <w:sz w:val="20"/>
          <w:szCs w:val="20"/>
        </w:rPr>
        <w:t xml:space="preserve"> (b) There was no evidence of any significant change in the</w:t>
      </w:r>
      <w:r w:rsidRPr="009045F9">
        <w:t xml:space="preserve"> </w:t>
      </w:r>
      <w:r>
        <w:rPr>
          <w:rFonts w:eastAsiaTheme="minorEastAsia"/>
          <w:sz w:val="20"/>
          <w:szCs w:val="20"/>
        </w:rPr>
        <w:t>d</w:t>
      </w:r>
      <w:r w:rsidRPr="009045F9">
        <w:rPr>
          <w:rFonts w:eastAsiaTheme="minorEastAsia"/>
          <w:sz w:val="20"/>
          <w:szCs w:val="20"/>
        </w:rPr>
        <w:t>ensitometric</w:t>
      </w:r>
      <w:r>
        <w:rPr>
          <w:rFonts w:eastAsiaTheme="minorEastAsia"/>
          <w:sz w:val="20"/>
          <w:szCs w:val="20"/>
        </w:rPr>
        <w:t xml:space="preserve"> ratio of ppRb:pRb+Rb within the same blots which would be indicative of  cell cycle arrest by abemaciclib compared to control without Abe with and without the addition of </w:t>
      </w:r>
      <w:r w:rsidRPr="00DC27D4">
        <w:rPr>
          <w:rFonts w:eastAsiaTheme="minorEastAsia"/>
          <w:sz w:val="20"/>
          <w:szCs w:val="20"/>
          <w:vertAlign w:val="superscript"/>
        </w:rPr>
        <w:t>177</w:t>
      </w:r>
      <w:r>
        <w:rPr>
          <w:rFonts w:eastAsiaTheme="minorEastAsia"/>
          <w:sz w:val="20"/>
          <w:szCs w:val="20"/>
        </w:rPr>
        <w:t xml:space="preserve">Lu-PSMA or </w:t>
      </w:r>
      <w:r w:rsidRPr="00DC27D4">
        <w:rPr>
          <w:rFonts w:eastAsiaTheme="minorEastAsia"/>
          <w:sz w:val="20"/>
          <w:szCs w:val="20"/>
          <w:vertAlign w:val="superscript"/>
        </w:rPr>
        <w:t>177</w:t>
      </w:r>
      <w:r>
        <w:rPr>
          <w:rFonts w:eastAsiaTheme="minorEastAsia"/>
          <w:sz w:val="20"/>
          <w:szCs w:val="20"/>
        </w:rPr>
        <w:t xml:space="preserve">Lu-DOTATATE. </w:t>
      </w:r>
    </w:p>
    <w:p w14:paraId="0143CCAB" w14:textId="77777777" w:rsidR="00392EFF" w:rsidRPr="002C2D38" w:rsidRDefault="00392EFF" w:rsidP="00392EFF">
      <w:pPr>
        <w:spacing w:after="240" w:line="276" w:lineRule="auto"/>
        <w:jc w:val="both"/>
        <w:rPr>
          <w:rFonts w:eastAsiaTheme="minorEastAsia"/>
          <w:sz w:val="20"/>
          <w:szCs w:val="20"/>
        </w:rPr>
      </w:pPr>
      <w:r w:rsidRPr="002C2D38">
        <w:rPr>
          <w:rFonts w:eastAsiaTheme="minorEastAsia"/>
          <w:b/>
          <w:bCs/>
          <w:sz w:val="20"/>
          <w:szCs w:val="20"/>
        </w:rPr>
        <w:t xml:space="preserve">Supplementary Figure 7: </w:t>
      </w:r>
      <w:r w:rsidRPr="002C2D38">
        <w:rPr>
          <w:rFonts w:eastAsiaTheme="minorEastAsia"/>
          <w:sz w:val="20"/>
          <w:szCs w:val="20"/>
        </w:rPr>
        <w:t xml:space="preserve">22Rv1 cells were treated with </w:t>
      </w:r>
      <w:r w:rsidRPr="002C2D38">
        <w:rPr>
          <w:rFonts w:eastAsiaTheme="minorEastAsia"/>
          <w:sz w:val="20"/>
          <w:szCs w:val="20"/>
          <w:vertAlign w:val="superscript"/>
        </w:rPr>
        <w:t>177</w:t>
      </w:r>
      <w:r w:rsidRPr="002C2D38">
        <w:rPr>
          <w:rFonts w:eastAsiaTheme="minorEastAsia"/>
          <w:sz w:val="20"/>
          <w:szCs w:val="20"/>
        </w:rPr>
        <w:t>Lu-PSMA for 2 hours, washed and incubated for 1, 3, 7 or 10 days, after which γH2AX content was determined by western blot. Images are representative of n=3 independent experiments.  Actin was utilised for intrinsic normalization.</w:t>
      </w:r>
    </w:p>
    <w:p w14:paraId="210F5F57" w14:textId="77777777" w:rsidR="00392EFF" w:rsidRDefault="00392EFF" w:rsidP="00392EFF">
      <w:pPr>
        <w:spacing w:after="240" w:line="276" w:lineRule="auto"/>
        <w:jc w:val="both"/>
        <w:rPr>
          <w:rFonts w:eastAsiaTheme="minorEastAsia"/>
          <w:sz w:val="20"/>
          <w:szCs w:val="20"/>
        </w:rPr>
      </w:pPr>
      <w:r w:rsidRPr="002C2D38">
        <w:rPr>
          <w:rFonts w:eastAsiaTheme="minorEastAsia"/>
          <w:b/>
          <w:bCs/>
          <w:sz w:val="20"/>
          <w:szCs w:val="20"/>
        </w:rPr>
        <w:t xml:space="preserve">Supplementary Figure 8: </w:t>
      </w:r>
      <w:r w:rsidRPr="002C2D38">
        <w:rPr>
          <w:rFonts w:eastAsiaTheme="minorEastAsia"/>
          <w:sz w:val="20"/>
          <w:szCs w:val="20"/>
        </w:rPr>
        <w:t>22R</w:t>
      </w:r>
      <w:r>
        <w:rPr>
          <w:rFonts w:eastAsiaTheme="minorEastAsia"/>
          <w:sz w:val="20"/>
          <w:szCs w:val="20"/>
        </w:rPr>
        <w:t>v</w:t>
      </w:r>
      <w:r w:rsidRPr="002C2D38">
        <w:rPr>
          <w:rFonts w:eastAsiaTheme="minorEastAsia"/>
          <w:sz w:val="20"/>
          <w:szCs w:val="20"/>
        </w:rPr>
        <w:t xml:space="preserve">1 cells were treated with </w:t>
      </w:r>
      <w:r w:rsidRPr="002C2D38">
        <w:rPr>
          <w:rFonts w:eastAsiaTheme="minorEastAsia"/>
          <w:sz w:val="20"/>
          <w:szCs w:val="20"/>
          <w:vertAlign w:val="superscript"/>
        </w:rPr>
        <w:t>177</w:t>
      </w:r>
      <w:r w:rsidRPr="002C2D38">
        <w:rPr>
          <w:rFonts w:eastAsiaTheme="minorEastAsia"/>
          <w:sz w:val="20"/>
          <w:szCs w:val="20"/>
        </w:rPr>
        <w:t>Lu-PSMA, for a brief time, or vehicle, washed and incubated on in abemaciclib or vehicle control. After 1 or 10 days, cells were harvested and protein</w:t>
      </w:r>
      <w:r w:rsidRPr="002C2D38">
        <w:rPr>
          <w:rFonts w:ascii="Calibri" w:eastAsia="Calibri" w:hAnsi="Calibri"/>
          <w:color w:val="000000" w:themeColor="text1"/>
          <w:spacing w:val="-2"/>
          <w:sz w:val="36"/>
          <w:szCs w:val="36"/>
        </w:rPr>
        <w:t xml:space="preserve"> </w:t>
      </w:r>
      <w:r w:rsidRPr="002C2D38">
        <w:rPr>
          <w:rFonts w:eastAsiaTheme="minorEastAsia"/>
          <w:sz w:val="20"/>
          <w:szCs w:val="20"/>
        </w:rPr>
        <w:t>markers of cell stress and cell death assessed by western blot. Images are representative of n=3 independent experiments.</w:t>
      </w:r>
    </w:p>
    <w:p w14:paraId="65C94E51" w14:textId="77777777" w:rsidR="00392EFF" w:rsidRDefault="00392EFF" w:rsidP="00392EFF">
      <w:pPr>
        <w:spacing w:after="240" w:line="276" w:lineRule="auto"/>
        <w:jc w:val="both"/>
        <w:rPr>
          <w:rFonts w:eastAsiaTheme="minorEastAsia"/>
          <w:sz w:val="20"/>
          <w:szCs w:val="20"/>
        </w:rPr>
      </w:pPr>
      <w:r w:rsidRPr="00F34018">
        <w:rPr>
          <w:rFonts w:eastAsiaTheme="minorEastAsia"/>
          <w:b/>
          <w:bCs/>
          <w:sz w:val="20"/>
          <w:szCs w:val="20"/>
        </w:rPr>
        <w:t xml:space="preserve">Supplementary Figure </w:t>
      </w:r>
      <w:r>
        <w:rPr>
          <w:rFonts w:eastAsiaTheme="minorEastAsia"/>
          <w:b/>
          <w:bCs/>
          <w:sz w:val="20"/>
          <w:szCs w:val="20"/>
        </w:rPr>
        <w:t>9</w:t>
      </w:r>
      <w:r>
        <w:rPr>
          <w:rFonts w:eastAsiaTheme="minorEastAsia"/>
          <w:sz w:val="20"/>
          <w:szCs w:val="20"/>
        </w:rPr>
        <w:t xml:space="preserve">: Greater incidence of permanent senescence was achieved in CA20948 cells treated with both </w:t>
      </w:r>
      <w:r w:rsidRPr="004470F3">
        <w:rPr>
          <w:rFonts w:eastAsiaTheme="minorEastAsia"/>
          <w:sz w:val="20"/>
          <w:szCs w:val="20"/>
          <w:vertAlign w:val="superscript"/>
        </w:rPr>
        <w:t>177</w:t>
      </w:r>
      <w:r>
        <w:rPr>
          <w:rFonts w:eastAsiaTheme="minorEastAsia"/>
          <w:sz w:val="20"/>
          <w:szCs w:val="20"/>
        </w:rPr>
        <w:t xml:space="preserve">Lu-DOTATATE (0.5 MBq/mL) and abemaciclib (600 nM) compared with abemaciclib (600 nM) alone which resulted in a transient senescence/quiescence. Plates were treated with as per normal clonogenic conditions but with a washout and replacement of media every 3 days until day 14 post wash-out.  </w:t>
      </w:r>
    </w:p>
    <w:p w14:paraId="76CE6A3A" w14:textId="77777777" w:rsidR="00392EFF" w:rsidRPr="00231AD0" w:rsidRDefault="00392EFF" w:rsidP="00392EFF">
      <w:pPr>
        <w:spacing w:after="240" w:line="276" w:lineRule="auto"/>
        <w:jc w:val="both"/>
        <w:rPr>
          <w:rFonts w:eastAsiaTheme="minorEastAsia"/>
          <w:sz w:val="20"/>
          <w:szCs w:val="20"/>
        </w:rPr>
      </w:pPr>
      <w:r w:rsidRPr="00F34018">
        <w:rPr>
          <w:rFonts w:eastAsiaTheme="minorEastAsia"/>
          <w:b/>
          <w:bCs/>
          <w:sz w:val="20"/>
          <w:szCs w:val="20"/>
        </w:rPr>
        <w:t xml:space="preserve">Supplementary Figure </w:t>
      </w:r>
      <w:r>
        <w:rPr>
          <w:rFonts w:eastAsiaTheme="minorEastAsia"/>
          <w:b/>
          <w:bCs/>
          <w:sz w:val="20"/>
          <w:szCs w:val="20"/>
        </w:rPr>
        <w:t xml:space="preserve">10: </w:t>
      </w:r>
      <w:r>
        <w:rPr>
          <w:rFonts w:eastAsiaTheme="minorEastAsia"/>
          <w:sz w:val="20"/>
          <w:szCs w:val="20"/>
        </w:rPr>
        <w:t>Cell cycle expression of p21</w:t>
      </w:r>
      <w:r w:rsidRPr="000D16B9">
        <w:rPr>
          <w:rFonts w:eastAsiaTheme="minorEastAsia"/>
          <w:sz w:val="20"/>
          <w:szCs w:val="20"/>
          <w:vertAlign w:val="superscript"/>
        </w:rPr>
        <w:t>hi</w:t>
      </w:r>
      <w:r>
        <w:rPr>
          <w:rFonts w:eastAsiaTheme="minorEastAsia"/>
          <w:sz w:val="20"/>
          <w:szCs w:val="20"/>
        </w:rPr>
        <w:t xml:space="preserve"> and p21</w:t>
      </w:r>
      <w:r w:rsidRPr="000D16B9">
        <w:rPr>
          <w:rFonts w:eastAsiaTheme="minorEastAsia"/>
          <w:sz w:val="20"/>
          <w:szCs w:val="20"/>
          <w:vertAlign w:val="superscript"/>
        </w:rPr>
        <w:t>lo</w:t>
      </w:r>
      <w:r>
        <w:rPr>
          <w:rFonts w:eastAsiaTheme="minorEastAsia"/>
          <w:sz w:val="20"/>
          <w:szCs w:val="20"/>
        </w:rPr>
        <w:t xml:space="preserve"> at earlier (3d) vs late sustained expression (10d) in 22Rv1 cells following </w:t>
      </w:r>
      <w:r w:rsidRPr="006F1E9C">
        <w:rPr>
          <w:rFonts w:eastAsiaTheme="minorEastAsia"/>
          <w:sz w:val="20"/>
          <w:szCs w:val="20"/>
          <w:vertAlign w:val="superscript"/>
        </w:rPr>
        <w:t>177</w:t>
      </w:r>
      <w:r>
        <w:rPr>
          <w:rFonts w:eastAsiaTheme="minorEastAsia"/>
          <w:sz w:val="20"/>
          <w:szCs w:val="20"/>
        </w:rPr>
        <w:t>Lu-PSMA treatment (22 MBq/mL) and abemaciclib (50, 200, 1000 nM). Early high expression of p21 is almost entirely in G2, whereas there is the emergence of p21</w:t>
      </w:r>
      <w:r w:rsidRPr="00D73EA6">
        <w:rPr>
          <w:rFonts w:eastAsiaTheme="minorEastAsia"/>
          <w:sz w:val="20"/>
          <w:szCs w:val="20"/>
          <w:vertAlign w:val="superscript"/>
        </w:rPr>
        <w:t>hi</w:t>
      </w:r>
      <w:r>
        <w:rPr>
          <w:rFonts w:eastAsiaTheme="minorEastAsia"/>
          <w:sz w:val="20"/>
          <w:szCs w:val="20"/>
        </w:rPr>
        <w:t xml:space="preserve"> cells at day 10 which is greater with </w:t>
      </w:r>
      <w:r w:rsidRPr="00BF3CB6">
        <w:rPr>
          <w:rFonts w:eastAsiaTheme="minorEastAsia"/>
          <w:sz w:val="20"/>
          <w:szCs w:val="20"/>
          <w:vertAlign w:val="superscript"/>
        </w:rPr>
        <w:t>177</w:t>
      </w:r>
      <w:r>
        <w:rPr>
          <w:rFonts w:eastAsiaTheme="minorEastAsia"/>
          <w:sz w:val="20"/>
          <w:szCs w:val="20"/>
        </w:rPr>
        <w:t>Lu-PSMA. Cell cycle determined by DNA content (Hoescht 33342) and p21</w:t>
      </w:r>
      <w:r w:rsidRPr="002C6CA2">
        <w:rPr>
          <w:rFonts w:eastAsiaTheme="minorEastAsia"/>
          <w:sz w:val="20"/>
          <w:szCs w:val="20"/>
          <w:vertAlign w:val="superscript"/>
        </w:rPr>
        <w:t>hi</w:t>
      </w:r>
      <w:r>
        <w:rPr>
          <w:rFonts w:eastAsiaTheme="minorEastAsia"/>
          <w:sz w:val="20"/>
          <w:szCs w:val="20"/>
        </w:rPr>
        <w:t xml:space="preserve"> and p21</w:t>
      </w:r>
      <w:r w:rsidRPr="002C6CA2">
        <w:rPr>
          <w:rFonts w:eastAsiaTheme="minorEastAsia"/>
          <w:sz w:val="20"/>
          <w:szCs w:val="20"/>
          <w:vertAlign w:val="superscript"/>
        </w:rPr>
        <w:t>lo</w:t>
      </w:r>
      <w:r>
        <w:rPr>
          <w:rFonts w:eastAsiaTheme="minorEastAsia"/>
          <w:sz w:val="20"/>
          <w:szCs w:val="20"/>
        </w:rPr>
        <w:t xml:space="preserve"> levels were determined by integrated florescence intensity per cell using Celigo imaging cytometer. </w:t>
      </w:r>
    </w:p>
    <w:p w14:paraId="67CE31B2" w14:textId="77777777" w:rsidR="00392EFF" w:rsidRDefault="00392EFF" w:rsidP="00392EFF">
      <w:pPr>
        <w:spacing w:after="240" w:line="276" w:lineRule="auto"/>
        <w:jc w:val="both"/>
        <w:rPr>
          <w:rFonts w:eastAsiaTheme="minorEastAsia"/>
          <w:sz w:val="20"/>
          <w:szCs w:val="20"/>
        </w:rPr>
      </w:pPr>
      <w:r w:rsidRPr="00F34018">
        <w:rPr>
          <w:rFonts w:eastAsiaTheme="minorEastAsia"/>
          <w:b/>
          <w:bCs/>
          <w:sz w:val="20"/>
          <w:szCs w:val="20"/>
        </w:rPr>
        <w:t xml:space="preserve">Supplementary Figure </w:t>
      </w:r>
      <w:r>
        <w:rPr>
          <w:rFonts w:eastAsiaTheme="minorEastAsia"/>
          <w:b/>
          <w:bCs/>
          <w:sz w:val="20"/>
          <w:szCs w:val="20"/>
        </w:rPr>
        <w:t xml:space="preserve">11: </w:t>
      </w:r>
      <w:r w:rsidRPr="001648E1">
        <w:rPr>
          <w:rFonts w:eastAsiaTheme="minorEastAsia"/>
          <w:sz w:val="20"/>
          <w:szCs w:val="20"/>
        </w:rPr>
        <w:t xml:space="preserve">Inhibition of autophagy by HCQ is synergistic with </w:t>
      </w:r>
      <w:r w:rsidRPr="001648E1">
        <w:rPr>
          <w:rFonts w:eastAsiaTheme="minorEastAsia"/>
          <w:sz w:val="20"/>
          <w:szCs w:val="20"/>
          <w:vertAlign w:val="superscript"/>
        </w:rPr>
        <w:t>177</w:t>
      </w:r>
      <w:r w:rsidRPr="001648E1">
        <w:rPr>
          <w:rFonts w:eastAsiaTheme="minorEastAsia"/>
          <w:sz w:val="20"/>
          <w:szCs w:val="20"/>
        </w:rPr>
        <w:t xml:space="preserve">Lu-DOTATATE in CA20948 cells with diminishing effect in combination with </w:t>
      </w:r>
      <w:r w:rsidRPr="001648E1">
        <w:rPr>
          <w:rFonts w:eastAsiaTheme="minorEastAsia"/>
          <w:sz w:val="20"/>
          <w:szCs w:val="20"/>
          <w:vertAlign w:val="superscript"/>
        </w:rPr>
        <w:t>177</w:t>
      </w:r>
      <w:r w:rsidRPr="001648E1">
        <w:rPr>
          <w:rFonts w:eastAsiaTheme="minorEastAsia"/>
          <w:sz w:val="20"/>
          <w:szCs w:val="20"/>
        </w:rPr>
        <w:t>Lu+Abe</w:t>
      </w:r>
      <w:r>
        <w:rPr>
          <w:rFonts w:eastAsiaTheme="minorEastAsia"/>
          <w:sz w:val="20"/>
          <w:szCs w:val="20"/>
        </w:rPr>
        <w:t xml:space="preserve"> as determined by decreasing synergistic potency of abemaciclib on </w:t>
      </w:r>
      <w:r w:rsidRPr="00852F84">
        <w:rPr>
          <w:rFonts w:eastAsiaTheme="minorEastAsia"/>
          <w:sz w:val="20"/>
          <w:szCs w:val="20"/>
          <w:vertAlign w:val="superscript"/>
        </w:rPr>
        <w:t>177</w:t>
      </w:r>
      <w:r>
        <w:rPr>
          <w:rFonts w:eastAsiaTheme="minorEastAsia"/>
          <w:sz w:val="20"/>
          <w:szCs w:val="20"/>
        </w:rPr>
        <w:t xml:space="preserve">Lu-DOTATATE  (log alpha) in MuSyC (Wooten et al. 2021 Nat Commun, 12, 4607). </w:t>
      </w:r>
    </w:p>
    <w:p w14:paraId="6C5578F7" w14:textId="77777777" w:rsidR="00392EFF" w:rsidRDefault="00392EFF" w:rsidP="00392EFF">
      <w:pPr>
        <w:spacing w:after="240" w:line="276" w:lineRule="auto"/>
        <w:jc w:val="both"/>
        <w:rPr>
          <w:rFonts w:eastAsiaTheme="minorEastAsia"/>
          <w:sz w:val="20"/>
          <w:szCs w:val="20"/>
        </w:rPr>
      </w:pPr>
      <w:r w:rsidRPr="00F34018">
        <w:rPr>
          <w:rFonts w:eastAsiaTheme="minorEastAsia"/>
          <w:b/>
          <w:bCs/>
          <w:sz w:val="20"/>
          <w:szCs w:val="20"/>
        </w:rPr>
        <w:t xml:space="preserve">Supplementary Figure </w:t>
      </w:r>
      <w:r>
        <w:rPr>
          <w:rFonts w:eastAsiaTheme="minorEastAsia"/>
          <w:b/>
          <w:bCs/>
          <w:sz w:val="20"/>
          <w:szCs w:val="20"/>
        </w:rPr>
        <w:t xml:space="preserve">12: </w:t>
      </w:r>
      <w:r w:rsidRPr="002C1B14">
        <w:rPr>
          <w:rFonts w:eastAsiaTheme="minorEastAsia"/>
          <w:sz w:val="20"/>
          <w:szCs w:val="20"/>
        </w:rPr>
        <w:t>Inhibition of autophagy by HCQ</w:t>
      </w:r>
      <w:r>
        <w:rPr>
          <w:rFonts w:eastAsiaTheme="minorEastAsia"/>
          <w:sz w:val="20"/>
          <w:szCs w:val="20"/>
        </w:rPr>
        <w:t xml:space="preserve"> (5 µM) does not appear to be synergistic at all activity concentrations of</w:t>
      </w:r>
      <w:r w:rsidRPr="002C1B14">
        <w:rPr>
          <w:rFonts w:eastAsiaTheme="minorEastAsia"/>
          <w:sz w:val="20"/>
          <w:szCs w:val="20"/>
        </w:rPr>
        <w:t xml:space="preserve"> </w:t>
      </w:r>
      <w:r w:rsidRPr="002C1B14">
        <w:rPr>
          <w:rFonts w:eastAsiaTheme="minorEastAsia"/>
          <w:sz w:val="20"/>
          <w:szCs w:val="20"/>
          <w:vertAlign w:val="superscript"/>
        </w:rPr>
        <w:t>177</w:t>
      </w:r>
      <w:r w:rsidRPr="002C1B14">
        <w:rPr>
          <w:rFonts w:eastAsiaTheme="minorEastAsia"/>
          <w:sz w:val="20"/>
          <w:szCs w:val="20"/>
        </w:rPr>
        <w:t>Lu-PSMA in 22Rv1</w:t>
      </w:r>
      <w:r>
        <w:rPr>
          <w:rFonts w:eastAsiaTheme="minorEastAsia"/>
          <w:sz w:val="20"/>
          <w:szCs w:val="20"/>
        </w:rPr>
        <w:t xml:space="preserve"> due to decreased</w:t>
      </w:r>
      <w:r w:rsidRPr="002C1B14">
        <w:rPr>
          <w:rFonts w:eastAsiaTheme="minorEastAsia"/>
          <w:sz w:val="20"/>
          <w:szCs w:val="20"/>
        </w:rPr>
        <w:t xml:space="preserve"> induction of senescence</w:t>
      </w:r>
      <w:r>
        <w:rPr>
          <w:rFonts w:eastAsiaTheme="minorEastAsia"/>
          <w:sz w:val="20"/>
          <w:szCs w:val="20"/>
        </w:rPr>
        <w:t xml:space="preserve"> (% cells with high levels of SA-β-Gal) with the addition of increasing concentration of abemaciclib (50, 200, 1000 nM), while not affecting the percentage of cells undergoing apoptosis (% cells with high levels of Annexin V staining). </w:t>
      </w:r>
    </w:p>
    <w:p w14:paraId="260E8CE0" w14:textId="77777777" w:rsidR="00392EFF" w:rsidRDefault="00392EFF" w:rsidP="00392EFF">
      <w:pPr>
        <w:spacing w:after="240" w:line="276" w:lineRule="auto"/>
        <w:jc w:val="both"/>
        <w:rPr>
          <w:rFonts w:eastAsiaTheme="minorEastAsia"/>
          <w:sz w:val="20"/>
          <w:szCs w:val="20"/>
        </w:rPr>
      </w:pPr>
      <w:r w:rsidRPr="00F34018">
        <w:rPr>
          <w:rFonts w:eastAsiaTheme="minorEastAsia"/>
          <w:b/>
          <w:bCs/>
          <w:sz w:val="20"/>
          <w:szCs w:val="20"/>
        </w:rPr>
        <w:t xml:space="preserve">Supplementary Figure </w:t>
      </w:r>
      <w:r>
        <w:rPr>
          <w:rFonts w:eastAsiaTheme="minorEastAsia"/>
          <w:b/>
          <w:bCs/>
          <w:sz w:val="20"/>
          <w:szCs w:val="20"/>
        </w:rPr>
        <w:t xml:space="preserve">13: (a) </w:t>
      </w:r>
      <w:r w:rsidRPr="00CE6C6D">
        <w:rPr>
          <w:rFonts w:eastAsiaTheme="minorEastAsia"/>
          <w:sz w:val="20"/>
          <w:szCs w:val="20"/>
        </w:rPr>
        <w:t>Inhibition of autophagy by HCQ</w:t>
      </w:r>
      <w:r>
        <w:rPr>
          <w:rFonts w:eastAsiaTheme="minorEastAsia"/>
          <w:sz w:val="20"/>
          <w:szCs w:val="20"/>
        </w:rPr>
        <w:t xml:space="preserve"> (5 µM)</w:t>
      </w:r>
      <w:r w:rsidRPr="00CE6C6D">
        <w:rPr>
          <w:rFonts w:eastAsiaTheme="minorEastAsia"/>
          <w:sz w:val="20"/>
          <w:szCs w:val="20"/>
        </w:rPr>
        <w:t xml:space="preserve"> in 22Rv1 cells </w:t>
      </w:r>
      <w:r>
        <w:rPr>
          <w:rFonts w:eastAsiaTheme="minorEastAsia"/>
          <w:sz w:val="20"/>
          <w:szCs w:val="20"/>
        </w:rPr>
        <w:t>reduces senescence within p21</w:t>
      </w:r>
      <w:r w:rsidRPr="0092722A">
        <w:rPr>
          <w:rFonts w:eastAsiaTheme="minorEastAsia"/>
          <w:sz w:val="20"/>
          <w:szCs w:val="20"/>
          <w:vertAlign w:val="superscript"/>
        </w:rPr>
        <w:t>lo</w:t>
      </w:r>
      <w:r>
        <w:rPr>
          <w:rFonts w:eastAsiaTheme="minorEastAsia"/>
          <w:sz w:val="20"/>
          <w:szCs w:val="20"/>
        </w:rPr>
        <w:t xml:space="preserve"> and p21</w:t>
      </w:r>
      <w:r w:rsidRPr="0092722A">
        <w:rPr>
          <w:rFonts w:eastAsiaTheme="minorEastAsia"/>
          <w:sz w:val="20"/>
          <w:szCs w:val="20"/>
          <w:vertAlign w:val="superscript"/>
        </w:rPr>
        <w:t>hi</w:t>
      </w:r>
      <w:r>
        <w:rPr>
          <w:rFonts w:eastAsiaTheme="minorEastAsia"/>
          <w:sz w:val="20"/>
          <w:szCs w:val="20"/>
          <w:vertAlign w:val="superscript"/>
        </w:rPr>
        <w:t xml:space="preserve"> </w:t>
      </w:r>
      <w:r>
        <w:rPr>
          <w:rFonts w:eastAsiaTheme="minorEastAsia"/>
          <w:sz w:val="20"/>
          <w:szCs w:val="20"/>
        </w:rPr>
        <w:t xml:space="preserve"> senescent cell populations with the most significant reduction with p21</w:t>
      </w:r>
      <w:r w:rsidRPr="00526146">
        <w:rPr>
          <w:rFonts w:eastAsiaTheme="minorEastAsia"/>
          <w:sz w:val="20"/>
          <w:szCs w:val="20"/>
          <w:vertAlign w:val="superscript"/>
        </w:rPr>
        <w:t>lo</w:t>
      </w:r>
      <w:r>
        <w:rPr>
          <w:rFonts w:eastAsiaTheme="minorEastAsia"/>
          <w:sz w:val="20"/>
          <w:szCs w:val="20"/>
          <w:vertAlign w:val="superscript"/>
        </w:rPr>
        <w:t xml:space="preserve"> </w:t>
      </w:r>
      <w:r>
        <w:rPr>
          <w:rFonts w:eastAsiaTheme="minorEastAsia"/>
          <w:sz w:val="20"/>
          <w:szCs w:val="20"/>
        </w:rPr>
        <w:t xml:space="preserve">population with and without the addition of </w:t>
      </w:r>
      <w:r w:rsidRPr="00526146">
        <w:rPr>
          <w:rFonts w:eastAsiaTheme="minorEastAsia"/>
          <w:sz w:val="20"/>
          <w:szCs w:val="20"/>
          <w:vertAlign w:val="superscript"/>
        </w:rPr>
        <w:t>177</w:t>
      </w:r>
      <w:r>
        <w:rPr>
          <w:rFonts w:eastAsiaTheme="minorEastAsia"/>
          <w:sz w:val="20"/>
          <w:szCs w:val="20"/>
        </w:rPr>
        <w:t>Lu-PSMA (0,15,22,30 MBq/mL). (</w:t>
      </w:r>
      <w:r w:rsidRPr="0061192A">
        <w:rPr>
          <w:rFonts w:eastAsiaTheme="minorEastAsia"/>
          <w:b/>
          <w:bCs/>
          <w:sz w:val="20"/>
          <w:szCs w:val="20"/>
        </w:rPr>
        <w:t>b</w:t>
      </w:r>
      <w:r>
        <w:rPr>
          <w:rFonts w:eastAsiaTheme="minorEastAsia"/>
          <w:sz w:val="20"/>
          <w:szCs w:val="20"/>
        </w:rPr>
        <w:t xml:space="preserve">) Only abemaciclib (200 nM)+HCQ (5 µM) resulted in a reduction in cell number relative to abemaciclib alone (200 nM), whereas the addition of </w:t>
      </w:r>
      <w:r w:rsidRPr="00573E2F">
        <w:rPr>
          <w:rFonts w:eastAsiaTheme="minorEastAsia"/>
          <w:sz w:val="20"/>
          <w:szCs w:val="20"/>
          <w:vertAlign w:val="superscript"/>
        </w:rPr>
        <w:t>177</w:t>
      </w:r>
      <w:r>
        <w:rPr>
          <w:rFonts w:eastAsiaTheme="minorEastAsia"/>
          <w:sz w:val="20"/>
          <w:szCs w:val="20"/>
        </w:rPr>
        <w:t xml:space="preserve">Lu-PSMA did not result in any reduction of cell number with the addition of HCQ to Abe. </w:t>
      </w:r>
    </w:p>
    <w:p w14:paraId="173F2BA5" w14:textId="77777777" w:rsidR="00392EFF" w:rsidRPr="001239C9" w:rsidRDefault="00392EFF" w:rsidP="00392EFF">
      <w:pPr>
        <w:spacing w:after="240" w:line="276" w:lineRule="auto"/>
        <w:jc w:val="both"/>
        <w:rPr>
          <w:rFonts w:eastAsiaTheme="minorEastAsia"/>
          <w:sz w:val="20"/>
          <w:szCs w:val="20"/>
        </w:rPr>
      </w:pPr>
      <w:r w:rsidRPr="001239C9">
        <w:rPr>
          <w:rFonts w:eastAsiaTheme="minorEastAsia"/>
          <w:b/>
          <w:bCs/>
          <w:sz w:val="20"/>
          <w:szCs w:val="20"/>
        </w:rPr>
        <w:t xml:space="preserve">Supplementary Figure 14: </w:t>
      </w:r>
      <w:r w:rsidRPr="001239C9">
        <w:rPr>
          <w:rFonts w:eastAsiaTheme="minorEastAsia"/>
          <w:sz w:val="20"/>
          <w:szCs w:val="20"/>
        </w:rPr>
        <w:t>Inhibition of autophagy by HCQ</w:t>
      </w:r>
      <w:r>
        <w:rPr>
          <w:rFonts w:eastAsiaTheme="minorEastAsia"/>
          <w:sz w:val="20"/>
          <w:szCs w:val="20"/>
        </w:rPr>
        <w:t xml:space="preserve"> (5 µM) </w:t>
      </w:r>
      <w:r w:rsidRPr="001239C9">
        <w:rPr>
          <w:rFonts w:eastAsiaTheme="minorEastAsia"/>
          <w:sz w:val="20"/>
          <w:szCs w:val="20"/>
        </w:rPr>
        <w:t xml:space="preserve"> in 22Rv1 cells does not affect p21 levels in combination with </w:t>
      </w:r>
      <w:r w:rsidRPr="001239C9">
        <w:rPr>
          <w:rFonts w:eastAsiaTheme="minorEastAsia"/>
          <w:sz w:val="20"/>
          <w:szCs w:val="20"/>
          <w:vertAlign w:val="superscript"/>
        </w:rPr>
        <w:t>177</w:t>
      </w:r>
      <w:r w:rsidRPr="001239C9">
        <w:rPr>
          <w:rFonts w:eastAsiaTheme="minorEastAsia"/>
          <w:sz w:val="20"/>
          <w:szCs w:val="20"/>
        </w:rPr>
        <w:t>Lu</w:t>
      </w:r>
      <w:r>
        <w:rPr>
          <w:rFonts w:eastAsiaTheme="minorEastAsia"/>
          <w:sz w:val="20"/>
          <w:szCs w:val="20"/>
        </w:rPr>
        <w:t>-PSMA</w:t>
      </w:r>
      <w:r w:rsidRPr="001239C9">
        <w:rPr>
          <w:rFonts w:eastAsiaTheme="minorEastAsia"/>
          <w:sz w:val="20"/>
          <w:szCs w:val="20"/>
        </w:rPr>
        <w:t>, but it does reduce the incidence of senescence that is associated with high levels of p21</w:t>
      </w:r>
      <w:r>
        <w:rPr>
          <w:rFonts w:eastAsiaTheme="minorEastAsia"/>
          <w:sz w:val="20"/>
          <w:szCs w:val="20"/>
        </w:rPr>
        <w:t>. Representative immunofluorescence images of cells processed in SI Fig 13 (Celigo Imaging Cytometer, scale bar = 100 µm)</w:t>
      </w:r>
      <w:r w:rsidRPr="001239C9">
        <w:rPr>
          <w:rFonts w:eastAsiaTheme="minorEastAsia"/>
          <w:sz w:val="20"/>
          <w:szCs w:val="20"/>
        </w:rPr>
        <w:t xml:space="preserve">. </w:t>
      </w:r>
    </w:p>
    <w:p w14:paraId="6D7A0A3E" w14:textId="77777777" w:rsidR="00392EFF" w:rsidRDefault="00392EFF" w:rsidP="00392EFF">
      <w:pPr>
        <w:spacing w:after="240" w:line="276" w:lineRule="auto"/>
        <w:jc w:val="both"/>
        <w:rPr>
          <w:rFonts w:eastAsiaTheme="minorEastAsia"/>
          <w:sz w:val="20"/>
          <w:szCs w:val="20"/>
        </w:rPr>
      </w:pPr>
    </w:p>
    <w:p w14:paraId="7DE7DA4A" w14:textId="77777777" w:rsidR="00392EFF" w:rsidRPr="008C478C" w:rsidRDefault="00392EFF" w:rsidP="00392EFF">
      <w:pPr>
        <w:spacing w:after="240" w:line="276" w:lineRule="auto"/>
        <w:jc w:val="both"/>
        <w:rPr>
          <w:rFonts w:eastAsiaTheme="minorEastAsia"/>
          <w:sz w:val="20"/>
          <w:szCs w:val="20"/>
        </w:rPr>
      </w:pPr>
      <w:r w:rsidRPr="001239C9">
        <w:rPr>
          <w:rFonts w:eastAsiaTheme="minorEastAsia"/>
          <w:b/>
          <w:bCs/>
          <w:sz w:val="20"/>
          <w:szCs w:val="20"/>
        </w:rPr>
        <w:t>Supplementary Figure 1</w:t>
      </w:r>
      <w:r>
        <w:rPr>
          <w:rFonts w:eastAsiaTheme="minorEastAsia"/>
          <w:b/>
          <w:bCs/>
          <w:sz w:val="20"/>
          <w:szCs w:val="20"/>
        </w:rPr>
        <w:t>5</w:t>
      </w:r>
      <w:r w:rsidRPr="001239C9">
        <w:rPr>
          <w:rFonts w:eastAsiaTheme="minorEastAsia"/>
          <w:b/>
          <w:bCs/>
          <w:sz w:val="20"/>
          <w:szCs w:val="20"/>
        </w:rPr>
        <w:t>:</w:t>
      </w:r>
      <w:r>
        <w:rPr>
          <w:rFonts w:eastAsiaTheme="minorEastAsia"/>
          <w:b/>
          <w:bCs/>
          <w:sz w:val="20"/>
          <w:szCs w:val="20"/>
        </w:rPr>
        <w:t xml:space="preserve"> </w:t>
      </w:r>
      <w:r>
        <w:rPr>
          <w:rFonts w:eastAsiaTheme="minorEastAsia"/>
          <w:sz w:val="20"/>
          <w:szCs w:val="20"/>
        </w:rPr>
        <w:t xml:space="preserve">Cytoplasmic chromatin fragments detected in the cytoplasm of senescent CA20948 cells using Hoechst 33342 in cells treated with higher concentrations of abemaciclib alone at day 7 (400, 800 nM), and at all concentrations of abemaciclib (189, 400, 800 nM) when in combination with </w:t>
      </w:r>
      <w:r w:rsidRPr="006606AB">
        <w:rPr>
          <w:rFonts w:eastAsiaTheme="minorEastAsia"/>
          <w:sz w:val="20"/>
          <w:szCs w:val="20"/>
          <w:vertAlign w:val="superscript"/>
        </w:rPr>
        <w:t>177</w:t>
      </w:r>
      <w:r>
        <w:rPr>
          <w:rFonts w:eastAsiaTheme="minorEastAsia"/>
          <w:sz w:val="20"/>
          <w:szCs w:val="20"/>
        </w:rPr>
        <w:t xml:space="preserve">Lu-DOTATATE (1.5 MBq/mL) with no CCF detected in cells treated with </w:t>
      </w:r>
      <w:r w:rsidRPr="000907B0">
        <w:rPr>
          <w:rFonts w:eastAsiaTheme="minorEastAsia"/>
          <w:sz w:val="20"/>
          <w:szCs w:val="20"/>
          <w:vertAlign w:val="superscript"/>
        </w:rPr>
        <w:t>177</w:t>
      </w:r>
      <w:r>
        <w:rPr>
          <w:rFonts w:eastAsiaTheme="minorEastAsia"/>
          <w:sz w:val="20"/>
          <w:szCs w:val="20"/>
        </w:rPr>
        <w:t xml:space="preserve">Lu-DOTATATE alone. </w:t>
      </w:r>
    </w:p>
    <w:p w14:paraId="42AE4D22" w14:textId="77777777" w:rsidR="00392EFF" w:rsidRDefault="00392EFF" w:rsidP="00392EFF">
      <w:pPr>
        <w:spacing w:after="240" w:line="276" w:lineRule="auto"/>
        <w:jc w:val="both"/>
        <w:rPr>
          <w:rFonts w:eastAsiaTheme="minorEastAsia"/>
          <w:sz w:val="20"/>
          <w:szCs w:val="20"/>
        </w:rPr>
      </w:pPr>
      <w:r w:rsidRPr="00075277">
        <w:rPr>
          <w:rFonts w:eastAsiaTheme="minorEastAsia"/>
          <w:b/>
          <w:bCs/>
          <w:sz w:val="20"/>
          <w:szCs w:val="20"/>
        </w:rPr>
        <w:t>Supplementary Figure 1</w:t>
      </w:r>
      <w:r>
        <w:rPr>
          <w:rFonts w:eastAsiaTheme="minorEastAsia"/>
          <w:b/>
          <w:bCs/>
          <w:sz w:val="20"/>
          <w:szCs w:val="20"/>
        </w:rPr>
        <w:t>6</w:t>
      </w:r>
      <w:r w:rsidRPr="00075277">
        <w:rPr>
          <w:rFonts w:eastAsiaTheme="minorEastAsia"/>
          <w:b/>
          <w:bCs/>
          <w:sz w:val="20"/>
          <w:szCs w:val="20"/>
        </w:rPr>
        <w:t>:</w:t>
      </w:r>
      <w:r>
        <w:rPr>
          <w:rFonts w:eastAsiaTheme="minorEastAsia"/>
          <w:sz w:val="20"/>
          <w:szCs w:val="20"/>
        </w:rPr>
        <w:t xml:space="preserve"> CA20948 cells treated with </w:t>
      </w:r>
      <w:r w:rsidRPr="00E074A3">
        <w:rPr>
          <w:rFonts w:eastAsiaTheme="minorEastAsia"/>
          <w:sz w:val="20"/>
          <w:szCs w:val="20"/>
          <w:vertAlign w:val="superscript"/>
        </w:rPr>
        <w:t>177</w:t>
      </w:r>
      <w:r>
        <w:rPr>
          <w:rFonts w:eastAsiaTheme="minorEastAsia"/>
          <w:sz w:val="20"/>
          <w:szCs w:val="20"/>
        </w:rPr>
        <w:t xml:space="preserve">Lu-DOTATATE (1.5 MBq/mL) and abemaciclib (400 nM) with stressed nucleoli had atypical expression of Annexin V, with focal expression of annexin V on the surface of the cell, as well as cytoplasmic staining of Annexin V (observable from day 3, but day 10 is shown, scale bar: 20 μm). </w:t>
      </w:r>
    </w:p>
    <w:p w14:paraId="33D1DBC2" w14:textId="77777777" w:rsidR="00392EFF" w:rsidRDefault="00392EFF" w:rsidP="00392EFF">
      <w:pPr>
        <w:spacing w:after="240" w:line="276" w:lineRule="auto"/>
        <w:jc w:val="both"/>
        <w:rPr>
          <w:rFonts w:eastAsiaTheme="minorEastAsia"/>
          <w:sz w:val="20"/>
          <w:szCs w:val="20"/>
        </w:rPr>
      </w:pPr>
      <w:r w:rsidRPr="00075277">
        <w:rPr>
          <w:rFonts w:eastAsiaTheme="minorEastAsia"/>
          <w:b/>
          <w:bCs/>
          <w:sz w:val="20"/>
          <w:szCs w:val="20"/>
        </w:rPr>
        <w:t>Supplementary Figure 1</w:t>
      </w:r>
      <w:r>
        <w:rPr>
          <w:rFonts w:eastAsiaTheme="minorEastAsia"/>
          <w:b/>
          <w:bCs/>
          <w:sz w:val="20"/>
          <w:szCs w:val="20"/>
        </w:rPr>
        <w:t>7</w:t>
      </w:r>
      <w:r w:rsidRPr="00075277">
        <w:rPr>
          <w:rFonts w:eastAsiaTheme="minorEastAsia"/>
          <w:b/>
          <w:bCs/>
          <w:sz w:val="20"/>
          <w:szCs w:val="20"/>
        </w:rPr>
        <w:t>:</w:t>
      </w:r>
      <w:r>
        <w:rPr>
          <w:rFonts w:eastAsiaTheme="minorEastAsia"/>
          <w:sz w:val="20"/>
          <w:szCs w:val="20"/>
        </w:rPr>
        <w:t xml:space="preserve"> p21 and p53 coincide within the release of </w:t>
      </w:r>
      <w:r w:rsidRPr="2E81AF6D">
        <w:rPr>
          <w:rFonts w:eastAsiaTheme="minorEastAsia"/>
          <w:sz w:val="20"/>
          <w:szCs w:val="20"/>
        </w:rPr>
        <w:t xml:space="preserve">CCF into the cytoplasm </w:t>
      </w:r>
      <w:r>
        <w:rPr>
          <w:rFonts w:eastAsiaTheme="minorEastAsia"/>
          <w:sz w:val="20"/>
          <w:szCs w:val="20"/>
        </w:rPr>
        <w:t xml:space="preserve">in CA20948 cells treated with </w:t>
      </w:r>
      <w:r w:rsidRPr="00E074A3">
        <w:rPr>
          <w:rFonts w:eastAsiaTheme="minorEastAsia"/>
          <w:sz w:val="20"/>
          <w:szCs w:val="20"/>
          <w:vertAlign w:val="superscript"/>
        </w:rPr>
        <w:t>177</w:t>
      </w:r>
      <w:r>
        <w:rPr>
          <w:rFonts w:eastAsiaTheme="minorEastAsia"/>
          <w:sz w:val="20"/>
          <w:szCs w:val="20"/>
        </w:rPr>
        <w:t xml:space="preserve">Lu-DOTATATE (0.32 MBq/mL) and abemaciclib (800 nM) (day 5, scale bar: 10 μm) and indicates a potentially disrupted nucleophagic clearance mechanism by the combination of Abemaciclib and </w:t>
      </w:r>
      <w:r w:rsidRPr="00E074A3">
        <w:rPr>
          <w:rFonts w:eastAsiaTheme="minorEastAsia"/>
          <w:sz w:val="20"/>
          <w:szCs w:val="20"/>
          <w:vertAlign w:val="superscript"/>
        </w:rPr>
        <w:t>177</w:t>
      </w:r>
      <w:r>
        <w:rPr>
          <w:rFonts w:eastAsiaTheme="minorEastAsia"/>
          <w:sz w:val="20"/>
          <w:szCs w:val="20"/>
        </w:rPr>
        <w:t xml:space="preserve">Lu-DOTATATE. </w:t>
      </w:r>
    </w:p>
    <w:p w14:paraId="14E8631E" w14:textId="77777777" w:rsidR="00392EFF" w:rsidRDefault="00392EFF" w:rsidP="00392EFF">
      <w:pPr>
        <w:spacing w:after="240" w:line="276" w:lineRule="auto"/>
        <w:jc w:val="both"/>
        <w:rPr>
          <w:rFonts w:eastAsiaTheme="minorEastAsia"/>
          <w:sz w:val="20"/>
          <w:szCs w:val="20"/>
        </w:rPr>
      </w:pPr>
      <w:r w:rsidRPr="00075277">
        <w:rPr>
          <w:rFonts w:eastAsiaTheme="minorEastAsia"/>
          <w:b/>
          <w:bCs/>
          <w:sz w:val="20"/>
          <w:szCs w:val="20"/>
        </w:rPr>
        <w:t>Supplementary Figure 1</w:t>
      </w:r>
      <w:r>
        <w:rPr>
          <w:rFonts w:eastAsiaTheme="minorEastAsia"/>
          <w:b/>
          <w:bCs/>
          <w:sz w:val="20"/>
          <w:szCs w:val="20"/>
        </w:rPr>
        <w:t>8</w:t>
      </w:r>
      <w:r w:rsidRPr="00075277">
        <w:rPr>
          <w:rFonts w:eastAsiaTheme="minorEastAsia"/>
          <w:b/>
          <w:bCs/>
          <w:sz w:val="20"/>
          <w:szCs w:val="20"/>
        </w:rPr>
        <w:t>:</w:t>
      </w:r>
      <w:r w:rsidRPr="0049715D">
        <w:rPr>
          <w:rFonts w:eastAsiaTheme="minorEastAsia"/>
          <w:b/>
          <w:bCs/>
          <w:sz w:val="20"/>
          <w:szCs w:val="20"/>
        </w:rPr>
        <w:t xml:space="preserve"> </w:t>
      </w:r>
      <w:r>
        <w:rPr>
          <w:rFonts w:eastAsiaTheme="minorEastAsia"/>
          <w:b/>
          <w:bCs/>
          <w:sz w:val="20"/>
          <w:szCs w:val="20"/>
        </w:rPr>
        <w:t>(A)</w:t>
      </w:r>
      <w:r w:rsidRPr="0020451A">
        <w:rPr>
          <w:rFonts w:eastAsiaTheme="minorEastAsia"/>
          <w:b/>
          <w:bCs/>
          <w:sz w:val="20"/>
          <w:szCs w:val="20"/>
        </w:rPr>
        <w:t xml:space="preserve"> </w:t>
      </w:r>
      <w:r w:rsidRPr="0020451A">
        <w:rPr>
          <w:rFonts w:eastAsiaTheme="minorEastAsia"/>
          <w:sz w:val="20"/>
          <w:szCs w:val="20"/>
        </w:rPr>
        <w:t xml:space="preserve">Evaluation of SASP in </w:t>
      </w:r>
      <w:r>
        <w:rPr>
          <w:rFonts w:eastAsiaTheme="minorEastAsia"/>
          <w:sz w:val="20"/>
          <w:szCs w:val="20"/>
        </w:rPr>
        <w:t xml:space="preserve">(A) </w:t>
      </w:r>
      <w:r w:rsidRPr="0020451A">
        <w:rPr>
          <w:rFonts w:eastAsiaTheme="minorEastAsia"/>
          <w:sz w:val="20"/>
          <w:szCs w:val="20"/>
        </w:rPr>
        <w:t>Supernatant</w:t>
      </w:r>
      <w:r>
        <w:rPr>
          <w:rFonts w:eastAsiaTheme="minorEastAsia"/>
          <w:sz w:val="20"/>
          <w:szCs w:val="20"/>
        </w:rPr>
        <w:t xml:space="preserve">s, and (B) cell lysates </w:t>
      </w:r>
      <w:r w:rsidRPr="0020451A">
        <w:rPr>
          <w:rFonts w:eastAsiaTheme="minorEastAsia"/>
          <w:sz w:val="20"/>
          <w:szCs w:val="20"/>
        </w:rPr>
        <w:t xml:space="preserve">collected from 22Rv1 cell lines treated with either Abemaciclib alone (200, 1000 nM) or in combination with </w:t>
      </w:r>
      <w:r w:rsidRPr="0020451A">
        <w:rPr>
          <w:rFonts w:eastAsiaTheme="minorEastAsia"/>
          <w:sz w:val="20"/>
          <w:szCs w:val="20"/>
          <w:vertAlign w:val="superscript"/>
        </w:rPr>
        <w:t>177</w:t>
      </w:r>
      <w:r w:rsidRPr="0020451A">
        <w:rPr>
          <w:rFonts w:eastAsiaTheme="minorEastAsia"/>
          <w:sz w:val="20"/>
          <w:szCs w:val="20"/>
        </w:rPr>
        <w:t>Lu-PSMA (22 MBq</w:t>
      </w:r>
      <w:r>
        <w:rPr>
          <w:rFonts w:eastAsiaTheme="minorEastAsia"/>
          <w:sz w:val="20"/>
          <w:szCs w:val="20"/>
        </w:rPr>
        <w:t>/mL</w:t>
      </w:r>
      <w:r w:rsidRPr="0020451A">
        <w:rPr>
          <w:rFonts w:eastAsiaTheme="minorEastAsia"/>
          <w:sz w:val="20"/>
          <w:szCs w:val="20"/>
        </w:rPr>
        <w:t>). Samples were harvested at 7 days from the treatment</w:t>
      </w:r>
      <w:r>
        <w:rPr>
          <w:rFonts w:eastAsiaTheme="minorEastAsia"/>
          <w:sz w:val="20"/>
          <w:szCs w:val="20"/>
        </w:rPr>
        <w:t>. O</w:t>
      </w:r>
      <w:r w:rsidRPr="0020451A">
        <w:rPr>
          <w:rFonts w:eastAsiaTheme="minorEastAsia"/>
          <w:sz w:val="20"/>
          <w:szCs w:val="20"/>
        </w:rPr>
        <w:t xml:space="preserve">nly one factor results impacted by the treatments, MIF (red open box).  </w:t>
      </w:r>
      <w:r>
        <w:rPr>
          <w:rFonts w:eastAsiaTheme="minorEastAsia"/>
          <w:sz w:val="20"/>
          <w:szCs w:val="20"/>
        </w:rPr>
        <w:t>(</w:t>
      </w:r>
      <w:r w:rsidRPr="0020451A">
        <w:rPr>
          <w:rFonts w:eastAsiaTheme="minorEastAsia"/>
          <w:sz w:val="20"/>
          <w:szCs w:val="20"/>
        </w:rPr>
        <w:t xml:space="preserve">C) Quantitative analysis </w:t>
      </w:r>
      <w:r>
        <w:rPr>
          <w:rFonts w:eastAsiaTheme="minorEastAsia"/>
          <w:sz w:val="20"/>
          <w:szCs w:val="20"/>
        </w:rPr>
        <w:t>(</w:t>
      </w:r>
      <w:r w:rsidRPr="0020451A">
        <w:rPr>
          <w:rFonts w:eastAsiaTheme="minorEastAsia"/>
          <w:sz w:val="20"/>
          <w:szCs w:val="20"/>
        </w:rPr>
        <w:t>integrated intensity) of MIF as reported in A and B is shown for the supernatants (black bars) and for the cell lysates (white bars).</w:t>
      </w:r>
    </w:p>
    <w:p w14:paraId="322F2DDF" w14:textId="77777777" w:rsidR="00392EFF" w:rsidRDefault="00392EFF" w:rsidP="00392EFF">
      <w:pPr>
        <w:rPr>
          <w:rFonts w:eastAsiaTheme="minorEastAsia"/>
          <w:sz w:val="20"/>
          <w:szCs w:val="20"/>
        </w:rPr>
      </w:pPr>
      <w:r>
        <w:rPr>
          <w:rFonts w:eastAsiaTheme="minorEastAsia"/>
          <w:sz w:val="20"/>
          <w:szCs w:val="20"/>
        </w:rPr>
        <w:br w:type="page"/>
      </w:r>
    </w:p>
    <w:p w14:paraId="3BA51AB6" w14:textId="77777777" w:rsidR="00DE6AE2" w:rsidRDefault="00DE6AE2"/>
    <w:sectPr w:rsidR="00DE6A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EFF"/>
    <w:rsid w:val="00195413"/>
    <w:rsid w:val="00392EFF"/>
    <w:rsid w:val="003A03A7"/>
    <w:rsid w:val="003D0186"/>
    <w:rsid w:val="004710AD"/>
    <w:rsid w:val="007278E4"/>
    <w:rsid w:val="00A3738C"/>
    <w:rsid w:val="00B91ABC"/>
    <w:rsid w:val="00BC6C35"/>
    <w:rsid w:val="00CB270D"/>
    <w:rsid w:val="00CF7583"/>
    <w:rsid w:val="00DE6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06F3A"/>
  <w15:chartTrackingRefBased/>
  <w15:docId w15:val="{E69013F4-C8FE-4728-B8F5-4A393AFBC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EFF"/>
    <w:rPr>
      <w:lang w:val="en-GB"/>
    </w:rPr>
  </w:style>
  <w:style w:type="paragraph" w:styleId="Heading1">
    <w:name w:val="heading 1"/>
    <w:basedOn w:val="Normal"/>
    <w:next w:val="Normal"/>
    <w:link w:val="Heading1Char"/>
    <w:uiPriority w:val="9"/>
    <w:qFormat/>
    <w:rsid w:val="00392EFF"/>
    <w:pPr>
      <w:keepNext/>
      <w:keepLines/>
      <w:spacing w:before="360" w:after="80"/>
      <w:outlineLvl w:val="0"/>
    </w:pPr>
    <w:rPr>
      <w:rFonts w:asciiTheme="majorHAnsi" w:eastAsiaTheme="majorEastAsia" w:hAnsiTheme="majorHAnsi" w:cstheme="majorBidi"/>
      <w:color w:val="0F4761" w:themeColor="accent1" w:themeShade="BF"/>
      <w:sz w:val="40"/>
      <w:szCs w:val="40"/>
      <w:lang w:val="en-US"/>
    </w:rPr>
  </w:style>
  <w:style w:type="paragraph" w:styleId="Heading2">
    <w:name w:val="heading 2"/>
    <w:basedOn w:val="Normal"/>
    <w:next w:val="Normal"/>
    <w:link w:val="Heading2Char"/>
    <w:uiPriority w:val="9"/>
    <w:semiHidden/>
    <w:unhideWhenUsed/>
    <w:qFormat/>
    <w:rsid w:val="00392EFF"/>
    <w:pPr>
      <w:keepNext/>
      <w:keepLines/>
      <w:spacing w:before="160" w:after="80"/>
      <w:outlineLvl w:val="1"/>
    </w:pPr>
    <w:rPr>
      <w:rFonts w:asciiTheme="majorHAnsi" w:eastAsiaTheme="majorEastAsia" w:hAnsiTheme="majorHAnsi" w:cstheme="majorBidi"/>
      <w:color w:val="0F4761" w:themeColor="accent1" w:themeShade="BF"/>
      <w:sz w:val="32"/>
      <w:szCs w:val="32"/>
      <w:lang w:val="en-US"/>
    </w:rPr>
  </w:style>
  <w:style w:type="paragraph" w:styleId="Heading3">
    <w:name w:val="heading 3"/>
    <w:basedOn w:val="Normal"/>
    <w:next w:val="Normal"/>
    <w:link w:val="Heading3Char"/>
    <w:uiPriority w:val="9"/>
    <w:semiHidden/>
    <w:unhideWhenUsed/>
    <w:qFormat/>
    <w:rsid w:val="00392EFF"/>
    <w:pPr>
      <w:keepNext/>
      <w:keepLines/>
      <w:spacing w:before="160" w:after="80"/>
      <w:outlineLvl w:val="2"/>
    </w:pPr>
    <w:rPr>
      <w:rFonts w:eastAsiaTheme="majorEastAsia" w:cstheme="majorBidi"/>
      <w:color w:val="0F4761" w:themeColor="accent1" w:themeShade="BF"/>
      <w:sz w:val="28"/>
      <w:szCs w:val="28"/>
      <w:lang w:val="en-US"/>
    </w:rPr>
  </w:style>
  <w:style w:type="paragraph" w:styleId="Heading4">
    <w:name w:val="heading 4"/>
    <w:basedOn w:val="Normal"/>
    <w:next w:val="Normal"/>
    <w:link w:val="Heading4Char"/>
    <w:uiPriority w:val="9"/>
    <w:semiHidden/>
    <w:unhideWhenUsed/>
    <w:qFormat/>
    <w:rsid w:val="00392EFF"/>
    <w:pPr>
      <w:keepNext/>
      <w:keepLines/>
      <w:spacing w:before="80" w:after="40"/>
      <w:outlineLvl w:val="3"/>
    </w:pPr>
    <w:rPr>
      <w:rFonts w:eastAsiaTheme="majorEastAsia" w:cstheme="majorBidi"/>
      <w:i/>
      <w:iCs/>
      <w:color w:val="0F4761" w:themeColor="accent1" w:themeShade="BF"/>
      <w:lang w:val="en-US"/>
    </w:rPr>
  </w:style>
  <w:style w:type="paragraph" w:styleId="Heading5">
    <w:name w:val="heading 5"/>
    <w:basedOn w:val="Normal"/>
    <w:next w:val="Normal"/>
    <w:link w:val="Heading5Char"/>
    <w:uiPriority w:val="9"/>
    <w:semiHidden/>
    <w:unhideWhenUsed/>
    <w:qFormat/>
    <w:rsid w:val="00392EFF"/>
    <w:pPr>
      <w:keepNext/>
      <w:keepLines/>
      <w:spacing w:before="80" w:after="40"/>
      <w:outlineLvl w:val="4"/>
    </w:pPr>
    <w:rPr>
      <w:rFonts w:eastAsiaTheme="majorEastAsia" w:cstheme="majorBidi"/>
      <w:color w:val="0F4761" w:themeColor="accent1" w:themeShade="BF"/>
      <w:lang w:val="en-US"/>
    </w:rPr>
  </w:style>
  <w:style w:type="paragraph" w:styleId="Heading6">
    <w:name w:val="heading 6"/>
    <w:basedOn w:val="Normal"/>
    <w:next w:val="Normal"/>
    <w:link w:val="Heading6Char"/>
    <w:uiPriority w:val="9"/>
    <w:semiHidden/>
    <w:unhideWhenUsed/>
    <w:qFormat/>
    <w:rsid w:val="00392EFF"/>
    <w:pPr>
      <w:keepNext/>
      <w:keepLines/>
      <w:spacing w:before="40" w:after="0"/>
      <w:outlineLvl w:val="5"/>
    </w:pPr>
    <w:rPr>
      <w:rFonts w:eastAsiaTheme="majorEastAsia" w:cstheme="majorBidi"/>
      <w:i/>
      <w:iCs/>
      <w:color w:val="595959" w:themeColor="text1" w:themeTint="A6"/>
      <w:lang w:val="en-US"/>
    </w:rPr>
  </w:style>
  <w:style w:type="paragraph" w:styleId="Heading7">
    <w:name w:val="heading 7"/>
    <w:basedOn w:val="Normal"/>
    <w:next w:val="Normal"/>
    <w:link w:val="Heading7Char"/>
    <w:uiPriority w:val="9"/>
    <w:semiHidden/>
    <w:unhideWhenUsed/>
    <w:qFormat/>
    <w:rsid w:val="00392EFF"/>
    <w:pPr>
      <w:keepNext/>
      <w:keepLines/>
      <w:spacing w:before="40" w:after="0"/>
      <w:outlineLvl w:val="6"/>
    </w:pPr>
    <w:rPr>
      <w:rFonts w:eastAsiaTheme="majorEastAsia" w:cstheme="majorBidi"/>
      <w:color w:val="595959" w:themeColor="text1" w:themeTint="A6"/>
      <w:lang w:val="en-US"/>
    </w:rPr>
  </w:style>
  <w:style w:type="paragraph" w:styleId="Heading8">
    <w:name w:val="heading 8"/>
    <w:basedOn w:val="Normal"/>
    <w:next w:val="Normal"/>
    <w:link w:val="Heading8Char"/>
    <w:uiPriority w:val="9"/>
    <w:semiHidden/>
    <w:unhideWhenUsed/>
    <w:qFormat/>
    <w:rsid w:val="00392EFF"/>
    <w:pPr>
      <w:keepNext/>
      <w:keepLines/>
      <w:spacing w:after="0"/>
      <w:outlineLvl w:val="7"/>
    </w:pPr>
    <w:rPr>
      <w:rFonts w:eastAsiaTheme="majorEastAsia" w:cstheme="majorBidi"/>
      <w:i/>
      <w:iCs/>
      <w:color w:val="272727" w:themeColor="text1" w:themeTint="D8"/>
      <w:lang w:val="en-US"/>
    </w:rPr>
  </w:style>
  <w:style w:type="paragraph" w:styleId="Heading9">
    <w:name w:val="heading 9"/>
    <w:basedOn w:val="Normal"/>
    <w:next w:val="Normal"/>
    <w:link w:val="Heading9Char"/>
    <w:uiPriority w:val="9"/>
    <w:semiHidden/>
    <w:unhideWhenUsed/>
    <w:qFormat/>
    <w:rsid w:val="00392EFF"/>
    <w:pPr>
      <w:keepNext/>
      <w:keepLines/>
      <w:spacing w:after="0"/>
      <w:outlineLvl w:val="8"/>
    </w:pPr>
    <w:rPr>
      <w:rFonts w:eastAsiaTheme="majorEastAsia" w:cstheme="majorBidi"/>
      <w:color w:val="272727" w:themeColor="text1" w:themeTint="D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2E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2E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2E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2E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2E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2E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2E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2E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2EFF"/>
    <w:rPr>
      <w:rFonts w:eastAsiaTheme="majorEastAsia" w:cstheme="majorBidi"/>
      <w:color w:val="272727" w:themeColor="text1" w:themeTint="D8"/>
    </w:rPr>
  </w:style>
  <w:style w:type="paragraph" w:styleId="Title">
    <w:name w:val="Title"/>
    <w:basedOn w:val="Normal"/>
    <w:next w:val="Normal"/>
    <w:link w:val="TitleChar"/>
    <w:uiPriority w:val="10"/>
    <w:qFormat/>
    <w:rsid w:val="00392EFF"/>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392E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2EFF"/>
    <w:pPr>
      <w:numPr>
        <w:ilvl w:val="1"/>
      </w:numPr>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392E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2EFF"/>
    <w:pPr>
      <w:spacing w:before="160"/>
      <w:jc w:val="center"/>
    </w:pPr>
    <w:rPr>
      <w:i/>
      <w:iCs/>
      <w:color w:val="404040" w:themeColor="text1" w:themeTint="BF"/>
      <w:lang w:val="en-US"/>
    </w:rPr>
  </w:style>
  <w:style w:type="character" w:customStyle="1" w:styleId="QuoteChar">
    <w:name w:val="Quote Char"/>
    <w:basedOn w:val="DefaultParagraphFont"/>
    <w:link w:val="Quote"/>
    <w:uiPriority w:val="29"/>
    <w:rsid w:val="00392EFF"/>
    <w:rPr>
      <w:i/>
      <w:iCs/>
      <w:color w:val="404040" w:themeColor="text1" w:themeTint="BF"/>
    </w:rPr>
  </w:style>
  <w:style w:type="paragraph" w:styleId="ListParagraph">
    <w:name w:val="List Paragraph"/>
    <w:basedOn w:val="Normal"/>
    <w:uiPriority w:val="34"/>
    <w:qFormat/>
    <w:rsid w:val="00392EFF"/>
    <w:pPr>
      <w:ind w:left="720"/>
      <w:contextualSpacing/>
    </w:pPr>
    <w:rPr>
      <w:lang w:val="en-US"/>
    </w:rPr>
  </w:style>
  <w:style w:type="character" w:styleId="IntenseEmphasis">
    <w:name w:val="Intense Emphasis"/>
    <w:basedOn w:val="DefaultParagraphFont"/>
    <w:uiPriority w:val="21"/>
    <w:qFormat/>
    <w:rsid w:val="00392EFF"/>
    <w:rPr>
      <w:i/>
      <w:iCs/>
      <w:color w:val="0F4761" w:themeColor="accent1" w:themeShade="BF"/>
    </w:rPr>
  </w:style>
  <w:style w:type="paragraph" w:styleId="IntenseQuote">
    <w:name w:val="Intense Quote"/>
    <w:basedOn w:val="Normal"/>
    <w:next w:val="Normal"/>
    <w:link w:val="IntenseQuoteChar"/>
    <w:uiPriority w:val="30"/>
    <w:qFormat/>
    <w:rsid w:val="00392E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en-US"/>
    </w:rPr>
  </w:style>
  <w:style w:type="character" w:customStyle="1" w:styleId="IntenseQuoteChar">
    <w:name w:val="Intense Quote Char"/>
    <w:basedOn w:val="DefaultParagraphFont"/>
    <w:link w:val="IntenseQuote"/>
    <w:uiPriority w:val="30"/>
    <w:rsid w:val="00392EFF"/>
    <w:rPr>
      <w:i/>
      <w:iCs/>
      <w:color w:val="0F4761" w:themeColor="accent1" w:themeShade="BF"/>
    </w:rPr>
  </w:style>
  <w:style w:type="character" w:styleId="IntenseReference">
    <w:name w:val="Intense Reference"/>
    <w:basedOn w:val="DefaultParagraphFont"/>
    <w:uiPriority w:val="32"/>
    <w:qFormat/>
    <w:rsid w:val="00392EF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1383</Words>
  <Characters>7884</Characters>
  <Application>Microsoft Office Word</Application>
  <DocSecurity>0</DocSecurity>
  <Lines>65</Lines>
  <Paragraphs>18</Paragraphs>
  <ScaleCrop>false</ScaleCrop>
  <Company>Springer Nature</Company>
  <LinksUpToDate>false</LinksUpToDate>
  <CharactersWithSpaces>9249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Nilesh Nawale</dc:creator>
  <cp:keywords/>
  <dc:description/>
  <cp:lastModifiedBy>Nilesh Nawale</cp:lastModifiedBy>
  <cp:revision>1</cp:revision>
  <dcterms:created xsi:type="dcterms:W3CDTF">2026-11-04T11:35:00Z</dcterms:created>
  <dcterms:modified xsi:type="dcterms:W3CDTF">2026-11-04T11:35:00Z</dcterms:modified>
</cp:coreProperties>
</file>