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BC4C" w14:textId="3B804607" w:rsidR="00DC51D2" w:rsidRPr="00E85791" w:rsidRDefault="00E85791" w:rsidP="00DC51D2">
      <w:pPr>
        <w:jc w:val="center"/>
        <w:rPr>
          <w:rFonts w:eastAsiaTheme="minorEastAsia"/>
          <w:b/>
          <w:bCs/>
          <w:sz w:val="20"/>
          <w:szCs w:val="20"/>
        </w:rPr>
      </w:pPr>
      <w:r w:rsidRPr="00E85791">
        <w:rPr>
          <w:b/>
          <w:bCs/>
        </w:rPr>
        <w:t>CDK4/6 inhibition exploits the radiobiology of lutetium-177 therapy to induce replication stress and durable senescence</w:t>
      </w:r>
    </w:p>
    <w:p w14:paraId="766FDF49" w14:textId="11319E97" w:rsidR="00DC51D2" w:rsidRPr="009A6F76" w:rsidRDefault="00DC51D2" w:rsidP="00DC51D2">
      <w:pPr>
        <w:jc w:val="center"/>
        <w:rPr>
          <w:rFonts w:eastAsiaTheme="minorEastAsia"/>
          <w:b/>
          <w:bCs/>
          <w:sz w:val="20"/>
          <w:szCs w:val="20"/>
        </w:rPr>
      </w:pPr>
      <w:r>
        <w:rPr>
          <w:rFonts w:eastAsiaTheme="minorEastAsia"/>
          <w:b/>
          <w:bCs/>
          <w:sz w:val="20"/>
          <w:szCs w:val="20"/>
        </w:rPr>
        <w:t>Supplementary Figures</w:t>
      </w:r>
    </w:p>
    <w:p w14:paraId="4D4FDA24" w14:textId="77777777" w:rsidR="00DC51D2" w:rsidRPr="009A6F76" w:rsidRDefault="00DC51D2" w:rsidP="00DC51D2">
      <w:pPr>
        <w:spacing w:after="240" w:line="276" w:lineRule="auto"/>
        <w:jc w:val="center"/>
        <w:rPr>
          <w:rFonts w:eastAsiaTheme="minorEastAsia"/>
          <w:sz w:val="20"/>
          <w:szCs w:val="20"/>
        </w:rPr>
      </w:pPr>
    </w:p>
    <w:p w14:paraId="0B70703F" w14:textId="77777777" w:rsidR="00DC51D2" w:rsidRPr="009A6F76" w:rsidRDefault="00DC51D2" w:rsidP="00DC51D2">
      <w:pPr>
        <w:spacing w:after="240" w:line="276" w:lineRule="auto"/>
        <w:jc w:val="center"/>
        <w:rPr>
          <w:rFonts w:eastAsiaTheme="minorEastAsia"/>
          <w:sz w:val="20"/>
          <w:szCs w:val="20"/>
          <w:vertAlign w:val="superscript"/>
        </w:rPr>
      </w:pPr>
      <w:r w:rsidRPr="2E81AF6D">
        <w:rPr>
          <w:rFonts w:eastAsiaTheme="minorEastAsia"/>
          <w:sz w:val="20"/>
          <w:szCs w:val="20"/>
        </w:rPr>
        <w:t>Edward O’Neill*</w:t>
      </w:r>
      <w:r w:rsidRPr="2E81AF6D">
        <w:rPr>
          <w:rFonts w:eastAsiaTheme="minorEastAsia"/>
          <w:sz w:val="20"/>
          <w:szCs w:val="20"/>
          <w:vertAlign w:val="superscript"/>
        </w:rPr>
        <w:t>1,2</w:t>
      </w:r>
      <w:r w:rsidRPr="2E81AF6D">
        <w:rPr>
          <w:rFonts w:eastAsiaTheme="minorEastAsia"/>
          <w:sz w:val="20"/>
          <w:szCs w:val="20"/>
        </w:rPr>
        <w:t>, Francesca Amoroso</w:t>
      </w:r>
      <w:r w:rsidRPr="2E81AF6D">
        <w:rPr>
          <w:rFonts w:eastAsiaTheme="minorEastAsia"/>
          <w:sz w:val="20"/>
          <w:szCs w:val="20"/>
          <w:vertAlign w:val="superscript"/>
        </w:rPr>
        <w:t xml:space="preserve"> 1</w:t>
      </w:r>
      <w:r w:rsidRPr="0010146D">
        <w:rPr>
          <w:rFonts w:eastAsiaTheme="minorEastAsia"/>
          <w:sz w:val="20"/>
          <w:szCs w:val="20"/>
        </w:rPr>
        <w:t>,</w:t>
      </w:r>
      <w:r w:rsidRPr="2E81AF6D">
        <w:rPr>
          <w:rFonts w:eastAsiaTheme="minorEastAsia"/>
          <w:sz w:val="20"/>
          <w:szCs w:val="20"/>
        </w:rPr>
        <w:t xml:space="preserve"> Michael Mosley</w:t>
      </w:r>
      <w:r w:rsidRPr="2E81AF6D">
        <w:rPr>
          <w:rFonts w:eastAsiaTheme="minorEastAsia"/>
          <w:sz w:val="20"/>
          <w:szCs w:val="20"/>
          <w:vertAlign w:val="superscript"/>
        </w:rPr>
        <w:t>1</w:t>
      </w:r>
      <w:r w:rsidRPr="2E81AF6D">
        <w:rPr>
          <w:rFonts w:eastAsiaTheme="minorEastAsia"/>
          <w:sz w:val="20"/>
          <w:szCs w:val="20"/>
        </w:rPr>
        <w:t>, Julie Nonnekens</w:t>
      </w:r>
      <w:r w:rsidRPr="2E81AF6D">
        <w:rPr>
          <w:rFonts w:eastAsiaTheme="minorEastAsia"/>
          <w:sz w:val="20"/>
          <w:szCs w:val="20"/>
          <w:vertAlign w:val="superscript"/>
        </w:rPr>
        <w:t>3</w:t>
      </w:r>
      <w:r w:rsidRPr="2E81AF6D">
        <w:rPr>
          <w:rFonts w:eastAsiaTheme="minorEastAsia"/>
          <w:sz w:val="20"/>
          <w:szCs w:val="20"/>
        </w:rPr>
        <w:t xml:space="preserve">, </w:t>
      </w:r>
      <w:bookmarkStart w:id="0" w:name="_Int_GMLbzBOG"/>
      <w:proofErr w:type="spellStart"/>
      <w:r w:rsidRPr="2E81AF6D">
        <w:rPr>
          <w:rFonts w:eastAsiaTheme="minorEastAsia"/>
          <w:sz w:val="20"/>
          <w:szCs w:val="20"/>
        </w:rPr>
        <w:t>Txema</w:t>
      </w:r>
      <w:bookmarkEnd w:id="0"/>
      <w:proofErr w:type="spellEnd"/>
      <w:r w:rsidRPr="2E81AF6D">
        <w:rPr>
          <w:rFonts w:eastAsiaTheme="minorEastAsia"/>
          <w:sz w:val="20"/>
          <w:szCs w:val="20"/>
        </w:rPr>
        <w:t xml:space="preserve"> Heredia </w:t>
      </w:r>
      <w:bookmarkStart w:id="1" w:name="_Int_OQErak6O"/>
      <w:r w:rsidRPr="2E81AF6D">
        <w:rPr>
          <w:rFonts w:eastAsiaTheme="minorEastAsia"/>
          <w:sz w:val="20"/>
          <w:szCs w:val="20"/>
        </w:rPr>
        <w:t>Genestar</w:t>
      </w:r>
      <w:bookmarkEnd w:id="1"/>
      <w:r w:rsidRPr="2E81AF6D">
        <w:rPr>
          <w:rFonts w:eastAsiaTheme="minorEastAsia"/>
          <w:sz w:val="20"/>
          <w:szCs w:val="20"/>
        </w:rPr>
        <w:t xml:space="preserve"> </w:t>
      </w:r>
      <w:r w:rsidRPr="2E81AF6D">
        <w:rPr>
          <w:rFonts w:eastAsiaTheme="minorEastAsia"/>
          <w:sz w:val="20"/>
          <w:szCs w:val="20"/>
          <w:vertAlign w:val="superscript"/>
        </w:rPr>
        <w:t>3</w:t>
      </w:r>
      <w:r w:rsidRPr="2E81AF6D">
        <w:rPr>
          <w:rFonts w:eastAsiaTheme="minorEastAsia"/>
          <w:sz w:val="20"/>
          <w:szCs w:val="20"/>
        </w:rPr>
        <w:t xml:space="preserve">, Bart Cornelissen* </w:t>
      </w:r>
      <w:r w:rsidRPr="2E81AF6D">
        <w:rPr>
          <w:rFonts w:eastAsiaTheme="minorEastAsia"/>
          <w:sz w:val="20"/>
          <w:szCs w:val="20"/>
          <w:vertAlign w:val="superscript"/>
        </w:rPr>
        <w:t>1,4</w:t>
      </w:r>
    </w:p>
    <w:p w14:paraId="738EDA34" w14:textId="77777777" w:rsidR="00DC51D2" w:rsidRPr="009A6F76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</w:rPr>
      </w:pPr>
    </w:p>
    <w:p w14:paraId="4A55FB5F" w14:textId="77777777" w:rsidR="00DC51D2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2E81AF6D">
        <w:rPr>
          <w:rFonts w:eastAsiaTheme="minorEastAsia"/>
          <w:sz w:val="20"/>
          <w:szCs w:val="20"/>
          <w:vertAlign w:val="superscript"/>
        </w:rPr>
        <w:t>1</w:t>
      </w:r>
      <w:r w:rsidRPr="2E81AF6D">
        <w:rPr>
          <w:rFonts w:eastAsiaTheme="minorEastAsia"/>
          <w:sz w:val="20"/>
          <w:szCs w:val="20"/>
        </w:rPr>
        <w:t xml:space="preserve"> Oxford Institute for Radiation Oncology, Department of Oncology, University of Oxford, Oxford, UK </w:t>
      </w:r>
    </w:p>
    <w:p w14:paraId="5F99365D" w14:textId="77777777" w:rsidR="00DC51D2" w:rsidRPr="009A6F76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2E81AF6D">
        <w:rPr>
          <w:rFonts w:eastAsiaTheme="minorEastAsia"/>
          <w:sz w:val="20"/>
          <w:szCs w:val="20"/>
          <w:vertAlign w:val="superscript"/>
        </w:rPr>
        <w:t>2</w:t>
      </w:r>
      <w:r w:rsidRPr="2E81AF6D">
        <w:rPr>
          <w:rFonts w:eastAsiaTheme="minorEastAsia"/>
          <w:sz w:val="20"/>
          <w:szCs w:val="20"/>
        </w:rPr>
        <w:t xml:space="preserve"> Nuffield Department of Surgical Sciences, University of Oxford, Oxford, UK </w:t>
      </w:r>
    </w:p>
    <w:p w14:paraId="13C7793C" w14:textId="77777777" w:rsidR="00DC51D2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  <w:vertAlign w:val="superscript"/>
        </w:rPr>
      </w:pPr>
      <w:r w:rsidRPr="2E81AF6D">
        <w:rPr>
          <w:rFonts w:eastAsiaTheme="minorEastAsia"/>
          <w:sz w:val="20"/>
          <w:szCs w:val="20"/>
          <w:vertAlign w:val="superscript"/>
        </w:rPr>
        <w:t>3</w:t>
      </w:r>
      <w:r w:rsidRPr="2E81AF6D">
        <w:rPr>
          <w:rFonts w:eastAsiaTheme="minorEastAsia"/>
          <w:sz w:val="20"/>
          <w:szCs w:val="20"/>
        </w:rPr>
        <w:t xml:space="preserve"> Departments of Nuclear Medicine and Genetics, Erasmus University Medical </w:t>
      </w:r>
      <w:proofErr w:type="spellStart"/>
      <w:r w:rsidRPr="2E81AF6D">
        <w:rPr>
          <w:rFonts w:eastAsiaTheme="minorEastAsia"/>
          <w:sz w:val="20"/>
          <w:szCs w:val="20"/>
        </w:rPr>
        <w:t>Center</w:t>
      </w:r>
      <w:proofErr w:type="spellEnd"/>
      <w:r w:rsidRPr="2E81AF6D">
        <w:rPr>
          <w:rFonts w:eastAsiaTheme="minorEastAsia"/>
          <w:sz w:val="20"/>
          <w:szCs w:val="20"/>
        </w:rPr>
        <w:t>, Rotterdam, the Netherlands</w:t>
      </w:r>
    </w:p>
    <w:p w14:paraId="6682B867" w14:textId="77777777" w:rsidR="00DC51D2" w:rsidRPr="009A6F76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2E81AF6D">
        <w:rPr>
          <w:rFonts w:eastAsiaTheme="minorEastAsia"/>
          <w:sz w:val="20"/>
          <w:szCs w:val="20"/>
          <w:vertAlign w:val="superscript"/>
        </w:rPr>
        <w:t>4</w:t>
      </w:r>
      <w:r w:rsidRPr="2E81AF6D">
        <w:rPr>
          <w:rFonts w:eastAsiaTheme="minorEastAsia"/>
          <w:sz w:val="20"/>
          <w:szCs w:val="20"/>
        </w:rPr>
        <w:t xml:space="preserve"> Department of Nuclear Medicine and Molecular Imaging, University Medical </w:t>
      </w:r>
      <w:proofErr w:type="spellStart"/>
      <w:r w:rsidRPr="2E81AF6D">
        <w:rPr>
          <w:rFonts w:eastAsiaTheme="minorEastAsia"/>
          <w:sz w:val="20"/>
          <w:szCs w:val="20"/>
        </w:rPr>
        <w:t>Center</w:t>
      </w:r>
      <w:proofErr w:type="spellEnd"/>
      <w:r w:rsidRPr="2E81AF6D">
        <w:rPr>
          <w:rFonts w:eastAsiaTheme="minorEastAsia"/>
          <w:sz w:val="20"/>
          <w:szCs w:val="20"/>
        </w:rPr>
        <w:t xml:space="preserve"> Groningen, University of Groningen, Groningen, the Netherlands</w:t>
      </w:r>
    </w:p>
    <w:p w14:paraId="3FE93DCE" w14:textId="77777777" w:rsidR="00DC51D2" w:rsidRPr="009A6F76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</w:rPr>
      </w:pPr>
    </w:p>
    <w:p w14:paraId="4230E292" w14:textId="29739277" w:rsidR="00DC51D2" w:rsidRDefault="00DC51D2"/>
    <w:p w14:paraId="51C6B28D" w14:textId="77777777" w:rsidR="00DC51D2" w:rsidRDefault="00DC51D2">
      <w:r>
        <w:br w:type="page"/>
      </w:r>
    </w:p>
    <w:p w14:paraId="48E66DA4" w14:textId="77777777" w:rsidR="00DC51D2" w:rsidRPr="009A6F76" w:rsidRDefault="00DC51D2" w:rsidP="00DC51D2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2E81AF6D">
        <w:rPr>
          <w:rFonts w:eastAsiaTheme="minorEastAsia"/>
          <w:b/>
          <w:bCs/>
          <w:sz w:val="20"/>
          <w:szCs w:val="20"/>
        </w:rPr>
        <w:lastRenderedPageBreak/>
        <w:t xml:space="preserve">Supplementary Figure 1: </w:t>
      </w:r>
      <w:r w:rsidRPr="2E81AF6D">
        <w:rPr>
          <w:rFonts w:eastAsiaTheme="minorEastAsia"/>
          <w:sz w:val="20"/>
          <w:szCs w:val="20"/>
        </w:rPr>
        <w:t>CA20948 cells were</w:t>
      </w:r>
      <w:r w:rsidRPr="2E81AF6D">
        <w:rPr>
          <w:rFonts w:eastAsiaTheme="minorEastAsia"/>
          <w:b/>
          <w:bCs/>
          <w:sz w:val="20"/>
          <w:szCs w:val="20"/>
        </w:rPr>
        <w:t xml:space="preserve"> </w:t>
      </w:r>
      <w:r w:rsidRPr="2E81AF6D">
        <w:rPr>
          <w:rFonts w:eastAsiaTheme="minorEastAsia"/>
          <w:sz w:val="20"/>
          <w:szCs w:val="20"/>
        </w:rPr>
        <w:t xml:space="preserve">exposed to </w:t>
      </w:r>
      <w:r w:rsidRPr="2E81AF6D">
        <w:rPr>
          <w:rFonts w:eastAsiaTheme="minorEastAsia"/>
          <w:sz w:val="20"/>
          <w:szCs w:val="20"/>
          <w:vertAlign w:val="superscript"/>
        </w:rPr>
        <w:t>177</w:t>
      </w:r>
      <w:r w:rsidRPr="2E81AF6D">
        <w:rPr>
          <w:rFonts w:eastAsiaTheme="minorEastAsia"/>
          <w:sz w:val="20"/>
          <w:szCs w:val="20"/>
        </w:rPr>
        <w:t>Lu-DOTATATE (</w:t>
      </w:r>
      <w:r>
        <w:rPr>
          <w:rFonts w:eastAsiaTheme="minorEastAsia"/>
          <w:sz w:val="20"/>
          <w:szCs w:val="20"/>
        </w:rPr>
        <w:t>0.32</w:t>
      </w:r>
      <w:r w:rsidRPr="2E81AF6D">
        <w:rPr>
          <w:rFonts w:eastAsiaTheme="minorEastAsia"/>
          <w:sz w:val="20"/>
          <w:szCs w:val="20"/>
        </w:rPr>
        <w:t xml:space="preserve"> MBq/mL, TRT), for a brief time, or vehicle, or exposed to an equitoxic dose of external beam radiation (EBRT), washed and incubated on in varying concentrations of one of a panel of drugs. 14 days later, cells are stained to assess clonogenic survival. </w:t>
      </w:r>
      <w:r>
        <w:rPr>
          <w:rFonts w:eastAsiaTheme="minorEastAsia"/>
          <w:sz w:val="20"/>
          <w:szCs w:val="20"/>
        </w:rPr>
        <w:t>(</w:t>
      </w:r>
      <w:r w:rsidRPr="00FE1661">
        <w:rPr>
          <w:rFonts w:eastAsiaTheme="minorEastAsia"/>
          <w:b/>
          <w:bCs/>
          <w:sz w:val="20"/>
          <w:szCs w:val="20"/>
        </w:rPr>
        <w:t>a</w:t>
      </w:r>
      <w:r>
        <w:rPr>
          <w:rFonts w:eastAsiaTheme="minorEastAsia"/>
          <w:sz w:val="20"/>
          <w:szCs w:val="20"/>
        </w:rPr>
        <w:t xml:space="preserve">) </w:t>
      </w:r>
      <w:r w:rsidRPr="2E81AF6D">
        <w:rPr>
          <w:rFonts w:eastAsiaTheme="minorEastAsia"/>
          <w:sz w:val="20"/>
          <w:szCs w:val="20"/>
        </w:rPr>
        <w:t>Combination index of drug with EBRT or TRT was compared.</w:t>
      </w:r>
      <w:r>
        <w:rPr>
          <w:rFonts w:eastAsiaTheme="minorEastAsia"/>
          <w:sz w:val="20"/>
          <w:szCs w:val="20"/>
        </w:rPr>
        <w:t xml:space="preserve"> (</w:t>
      </w:r>
      <w:r w:rsidRPr="00FE1661">
        <w:rPr>
          <w:rFonts w:eastAsiaTheme="minorEastAsia"/>
          <w:b/>
          <w:bCs/>
          <w:sz w:val="20"/>
          <w:szCs w:val="20"/>
        </w:rPr>
        <w:t>b</w:t>
      </w:r>
      <w:r>
        <w:rPr>
          <w:rFonts w:eastAsiaTheme="minorEastAsia"/>
          <w:sz w:val="20"/>
          <w:szCs w:val="20"/>
        </w:rPr>
        <w:t>) ratio of the combination index with TRT vs. EBRT  (</w:t>
      </w:r>
      <w:r w:rsidRPr="00FE1661">
        <w:rPr>
          <w:rFonts w:eastAsiaTheme="minorEastAsia"/>
          <w:b/>
          <w:bCs/>
          <w:sz w:val="20"/>
          <w:szCs w:val="20"/>
        </w:rPr>
        <w:t>c</w:t>
      </w:r>
      <w:r>
        <w:rPr>
          <w:rFonts w:eastAsiaTheme="minorEastAsia"/>
          <w:sz w:val="20"/>
          <w:szCs w:val="20"/>
        </w:rPr>
        <w:t>) CI of drug combinations with TRT, (</w:t>
      </w:r>
      <w:r w:rsidRPr="007041E2">
        <w:rPr>
          <w:rFonts w:eastAsiaTheme="minorEastAsia"/>
          <w:b/>
          <w:bCs/>
          <w:sz w:val="20"/>
          <w:szCs w:val="20"/>
        </w:rPr>
        <w:t>d</w:t>
      </w:r>
      <w:r>
        <w:rPr>
          <w:rFonts w:eastAsiaTheme="minorEastAsia"/>
          <w:sz w:val="20"/>
          <w:szCs w:val="20"/>
        </w:rPr>
        <w:t>) Synergistic hits from the clonogenic drug screen.</w:t>
      </w:r>
    </w:p>
    <w:p w14:paraId="1FEB85AA" w14:textId="2A5237AF" w:rsidR="00DC51D2" w:rsidRDefault="00DA783B" w:rsidP="00DA783B">
      <w:pPr>
        <w:ind w:left="-1134"/>
      </w:pPr>
      <w:r>
        <w:rPr>
          <w:noProof/>
        </w:rPr>
        <w:drawing>
          <wp:inline distT="0" distB="0" distL="0" distR="0" wp14:anchorId="75E439FA" wp14:editId="4D6856A0">
            <wp:extent cx="6896344" cy="7541726"/>
            <wp:effectExtent l="0" t="0" r="0" b="0"/>
            <wp:docPr id="535718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344" cy="754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E275" w14:textId="77777777" w:rsidR="00DA783B" w:rsidRDefault="00DA783B" w:rsidP="00DA783B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2E81AF6D">
        <w:rPr>
          <w:rFonts w:eastAsiaTheme="minorEastAsia"/>
          <w:b/>
          <w:bCs/>
          <w:sz w:val="20"/>
          <w:szCs w:val="20"/>
        </w:rPr>
        <w:lastRenderedPageBreak/>
        <w:t xml:space="preserve">Supplementary Figure 2: </w:t>
      </w:r>
      <w:r>
        <w:rPr>
          <w:rFonts w:eastAsiaTheme="minorEastAsia"/>
          <w:b/>
          <w:bCs/>
          <w:sz w:val="20"/>
          <w:szCs w:val="20"/>
        </w:rPr>
        <w:t xml:space="preserve">(a) </w:t>
      </w:r>
      <w:r w:rsidRPr="004036D4">
        <w:rPr>
          <w:rFonts w:eastAsiaTheme="minorEastAsia"/>
          <w:sz w:val="20"/>
          <w:szCs w:val="20"/>
        </w:rPr>
        <w:t>22Rv1</w:t>
      </w:r>
      <w:r>
        <w:rPr>
          <w:rFonts w:eastAsiaTheme="minorEastAsia"/>
          <w:sz w:val="20"/>
          <w:szCs w:val="20"/>
        </w:rPr>
        <w:t xml:space="preserve">, </w:t>
      </w:r>
      <w:r w:rsidRPr="2E81AF6D">
        <w:rPr>
          <w:rFonts w:eastAsiaTheme="minorEastAsia"/>
          <w:b/>
          <w:bCs/>
          <w:sz w:val="20"/>
          <w:szCs w:val="20"/>
        </w:rPr>
        <w:t>(</w:t>
      </w:r>
      <w:r>
        <w:rPr>
          <w:rFonts w:eastAsiaTheme="minorEastAsia"/>
          <w:b/>
          <w:bCs/>
          <w:sz w:val="20"/>
          <w:szCs w:val="20"/>
        </w:rPr>
        <w:t>b</w:t>
      </w:r>
      <w:r w:rsidRPr="2E81AF6D">
        <w:rPr>
          <w:rFonts w:eastAsiaTheme="minorEastAsia"/>
          <w:b/>
          <w:bCs/>
          <w:sz w:val="20"/>
          <w:szCs w:val="20"/>
        </w:rPr>
        <w:t xml:space="preserve">) </w:t>
      </w:r>
      <w:r w:rsidRPr="2E81AF6D">
        <w:rPr>
          <w:rFonts w:eastAsiaTheme="minorEastAsia"/>
          <w:sz w:val="20"/>
          <w:szCs w:val="20"/>
        </w:rPr>
        <w:t>LNCa</w:t>
      </w:r>
      <w:r>
        <w:rPr>
          <w:rFonts w:eastAsiaTheme="minorEastAsia"/>
          <w:sz w:val="20"/>
          <w:szCs w:val="20"/>
        </w:rPr>
        <w:t>P</w:t>
      </w:r>
      <w:r w:rsidRPr="2E81AF6D">
        <w:rPr>
          <w:rFonts w:eastAsiaTheme="minorEastAsia"/>
          <w:sz w:val="20"/>
          <w:szCs w:val="20"/>
        </w:rPr>
        <w:t xml:space="preserve"> or</w:t>
      </w:r>
      <w:r>
        <w:rPr>
          <w:rFonts w:eastAsiaTheme="minorEastAsia"/>
          <w:sz w:val="20"/>
          <w:szCs w:val="20"/>
        </w:rPr>
        <w:t xml:space="preserve"> </w:t>
      </w:r>
      <w:r w:rsidRPr="004036D4">
        <w:rPr>
          <w:rFonts w:eastAsiaTheme="minorEastAsia"/>
          <w:b/>
          <w:bCs/>
          <w:sz w:val="20"/>
          <w:szCs w:val="20"/>
        </w:rPr>
        <w:t>(c)</w:t>
      </w:r>
      <w:r w:rsidRPr="2E81AF6D">
        <w:rPr>
          <w:rFonts w:eastAsiaTheme="minorEastAsia"/>
          <w:sz w:val="20"/>
          <w:szCs w:val="20"/>
        </w:rPr>
        <w:t xml:space="preserve"> LNCa</w:t>
      </w:r>
      <w:r>
        <w:rPr>
          <w:rFonts w:eastAsiaTheme="minorEastAsia"/>
          <w:sz w:val="20"/>
          <w:szCs w:val="20"/>
        </w:rPr>
        <w:t>P</w:t>
      </w:r>
      <w:r w:rsidRPr="2E81AF6D">
        <w:rPr>
          <w:rFonts w:eastAsiaTheme="minorEastAsia"/>
          <w:sz w:val="20"/>
          <w:szCs w:val="20"/>
          <w:vertAlign w:val="superscript"/>
        </w:rPr>
        <w:t>p53-/-</w:t>
      </w:r>
      <w:r w:rsidRPr="2E81AF6D">
        <w:rPr>
          <w:rFonts w:eastAsiaTheme="minorEastAsia"/>
          <w:sz w:val="20"/>
          <w:szCs w:val="20"/>
        </w:rPr>
        <w:t xml:space="preserve"> cells were exposed to </w:t>
      </w:r>
      <w:r w:rsidRPr="2E81AF6D">
        <w:rPr>
          <w:rFonts w:eastAsiaTheme="minorEastAsia"/>
          <w:sz w:val="20"/>
          <w:szCs w:val="20"/>
          <w:vertAlign w:val="superscript"/>
        </w:rPr>
        <w:t>177</w:t>
      </w:r>
      <w:r w:rsidRPr="2E81AF6D">
        <w:rPr>
          <w:rFonts w:eastAsiaTheme="minorEastAsia"/>
          <w:sz w:val="20"/>
          <w:szCs w:val="20"/>
        </w:rPr>
        <w:t>Lu-PSMA, for a brief time, or vehicle, washed and incubated on in abemaciclib or vehicle control. After 1</w:t>
      </w:r>
      <w:r>
        <w:rPr>
          <w:rFonts w:eastAsiaTheme="minorEastAsia"/>
          <w:sz w:val="20"/>
          <w:szCs w:val="20"/>
        </w:rPr>
        <w:t>0 (22Rv1) or 1</w:t>
      </w:r>
      <w:r w:rsidRPr="2E81AF6D">
        <w:rPr>
          <w:rFonts w:eastAsiaTheme="minorEastAsia"/>
          <w:sz w:val="20"/>
          <w:szCs w:val="20"/>
        </w:rPr>
        <w:t>4 days</w:t>
      </w:r>
      <w:r>
        <w:rPr>
          <w:rFonts w:eastAsiaTheme="minorEastAsia"/>
          <w:sz w:val="20"/>
          <w:szCs w:val="20"/>
        </w:rPr>
        <w:t xml:space="preserve"> (LNCaP, </w:t>
      </w:r>
      <w:r w:rsidRPr="2E81AF6D">
        <w:rPr>
          <w:rFonts w:eastAsiaTheme="minorEastAsia"/>
          <w:sz w:val="20"/>
          <w:szCs w:val="20"/>
        </w:rPr>
        <w:t>LNCa</w:t>
      </w:r>
      <w:r>
        <w:rPr>
          <w:rFonts w:eastAsiaTheme="minorEastAsia"/>
          <w:sz w:val="20"/>
          <w:szCs w:val="20"/>
        </w:rPr>
        <w:t>P</w:t>
      </w:r>
      <w:r w:rsidRPr="2E81AF6D">
        <w:rPr>
          <w:rFonts w:eastAsiaTheme="minorEastAsia"/>
          <w:sz w:val="20"/>
          <w:szCs w:val="20"/>
          <w:vertAlign w:val="superscript"/>
        </w:rPr>
        <w:t>p53-/-</w:t>
      </w:r>
      <w:r>
        <w:rPr>
          <w:rFonts w:eastAsiaTheme="minorEastAsia"/>
          <w:sz w:val="20"/>
          <w:szCs w:val="20"/>
        </w:rPr>
        <w:t>)</w:t>
      </w:r>
      <w:r w:rsidRPr="2E81AF6D">
        <w:rPr>
          <w:rFonts w:eastAsiaTheme="minorEastAsia"/>
          <w:sz w:val="20"/>
          <w:szCs w:val="20"/>
        </w:rPr>
        <w:t xml:space="preserve"> cells were stained to assess clonogenic survival.</w:t>
      </w:r>
      <w:r w:rsidRPr="2E81AF6D">
        <w:rPr>
          <w:rFonts w:eastAsiaTheme="minorEastAsia"/>
          <w:b/>
          <w:bCs/>
          <w:sz w:val="20"/>
          <w:szCs w:val="20"/>
        </w:rPr>
        <w:t xml:space="preserve"> (</w:t>
      </w:r>
      <w:r>
        <w:rPr>
          <w:rFonts w:eastAsiaTheme="minorEastAsia"/>
          <w:b/>
          <w:bCs/>
          <w:sz w:val="20"/>
          <w:szCs w:val="20"/>
        </w:rPr>
        <w:t>d</w:t>
      </w:r>
      <w:r w:rsidRPr="2E81AF6D">
        <w:rPr>
          <w:rFonts w:eastAsiaTheme="minorEastAsia"/>
          <w:b/>
          <w:bCs/>
          <w:sz w:val="20"/>
          <w:szCs w:val="20"/>
        </w:rPr>
        <w:t xml:space="preserve">) </w:t>
      </w:r>
      <w:r w:rsidRPr="2E81AF6D">
        <w:rPr>
          <w:rFonts w:eastAsiaTheme="minorEastAsia"/>
          <w:sz w:val="20"/>
          <w:szCs w:val="20"/>
        </w:rPr>
        <w:t xml:space="preserve">CA20948 xenograft bearing athymic mice were administered </w:t>
      </w:r>
      <w:r w:rsidRPr="2E81AF6D">
        <w:rPr>
          <w:rFonts w:eastAsiaTheme="minorEastAsia"/>
          <w:sz w:val="20"/>
          <w:szCs w:val="20"/>
          <w:vertAlign w:val="superscript"/>
        </w:rPr>
        <w:t>177</w:t>
      </w:r>
      <w:r w:rsidRPr="2E81AF6D">
        <w:rPr>
          <w:rFonts w:eastAsiaTheme="minorEastAsia"/>
          <w:sz w:val="20"/>
          <w:szCs w:val="20"/>
        </w:rPr>
        <w:t>Lu-DOTATATE (7.2±1.2 MBq). Starting 24 h later, abemaciclib (25 or 50 mg/kg) or vehicle control was administered intraperitoneally daily for 10 days. Animal weight and tumour size were recorded over time</w:t>
      </w:r>
      <w:r>
        <w:rPr>
          <w:rFonts w:eastAsiaTheme="minorEastAsia"/>
          <w:sz w:val="20"/>
          <w:szCs w:val="20"/>
        </w:rPr>
        <w:t xml:space="preserve"> where the addition of abemaciclib to </w:t>
      </w:r>
      <w:r w:rsidRPr="00FD00F2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did not affect overall mice weight compared to </w:t>
      </w:r>
      <w:r w:rsidRPr="00FD00F2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Lu-DOTATATE. </w:t>
      </w:r>
      <w:r w:rsidRPr="2E81AF6D">
        <w:rPr>
          <w:rFonts w:eastAsiaTheme="minorEastAsia"/>
          <w:b/>
          <w:bCs/>
          <w:sz w:val="20"/>
          <w:szCs w:val="20"/>
        </w:rPr>
        <w:t>(</w:t>
      </w:r>
      <w:proofErr w:type="spellStart"/>
      <w:r>
        <w:rPr>
          <w:rFonts w:eastAsiaTheme="minorEastAsia"/>
          <w:b/>
          <w:bCs/>
          <w:sz w:val="20"/>
          <w:szCs w:val="20"/>
        </w:rPr>
        <w:t>e,f</w:t>
      </w:r>
      <w:proofErr w:type="spellEnd"/>
      <w:r w:rsidRPr="2E81AF6D">
        <w:rPr>
          <w:rFonts w:eastAsiaTheme="minorEastAsia"/>
          <w:b/>
          <w:bCs/>
          <w:sz w:val="20"/>
          <w:szCs w:val="20"/>
        </w:rPr>
        <w:t>)</w:t>
      </w:r>
      <w:r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 xml:space="preserve">there was no correlation between uptake and survival between the </w:t>
      </w:r>
      <w:r w:rsidRPr="00286110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treatment groups. </w:t>
      </w:r>
      <w:r w:rsidRPr="00F545EC">
        <w:rPr>
          <w:rFonts w:eastAsiaTheme="minorEastAsia"/>
          <w:b/>
          <w:bCs/>
          <w:sz w:val="20"/>
          <w:szCs w:val="20"/>
        </w:rPr>
        <w:t>(</w:t>
      </w:r>
      <w:proofErr w:type="spellStart"/>
      <w:r>
        <w:rPr>
          <w:rFonts w:eastAsiaTheme="minorEastAsia"/>
          <w:b/>
          <w:bCs/>
          <w:sz w:val="20"/>
          <w:szCs w:val="20"/>
        </w:rPr>
        <w:t>g,h</w:t>
      </w:r>
      <w:proofErr w:type="spellEnd"/>
      <w:r w:rsidRPr="00F545EC">
        <w:rPr>
          <w:rFonts w:eastAsiaTheme="minorEastAsia"/>
          <w:b/>
          <w:bCs/>
          <w:sz w:val="20"/>
          <w:szCs w:val="20"/>
        </w:rPr>
        <w:t>)</w:t>
      </w:r>
      <w:r w:rsidRPr="007D6566">
        <w:t xml:space="preserve"> </w:t>
      </w:r>
      <w:r w:rsidRPr="007D6566">
        <w:rPr>
          <w:rFonts w:eastAsiaTheme="minorEastAsia"/>
          <w:sz w:val="20"/>
          <w:szCs w:val="20"/>
        </w:rPr>
        <w:t>C.B-17/</w:t>
      </w:r>
      <w:proofErr w:type="spellStart"/>
      <w:r w:rsidRPr="007D6566">
        <w:rPr>
          <w:rFonts w:eastAsiaTheme="minorEastAsia"/>
          <w:sz w:val="20"/>
          <w:szCs w:val="20"/>
        </w:rPr>
        <w:t>Icr</w:t>
      </w:r>
      <w:proofErr w:type="spellEnd"/>
      <w:r w:rsidRPr="007D6566">
        <w:rPr>
          <w:rFonts w:eastAsiaTheme="minorEastAsia"/>
          <w:sz w:val="20"/>
          <w:szCs w:val="20"/>
        </w:rPr>
        <w:t xml:space="preserve"> SCID male mice</w:t>
      </w:r>
      <w:r>
        <w:rPr>
          <w:rFonts w:eastAsiaTheme="minorEastAsia"/>
          <w:sz w:val="20"/>
          <w:szCs w:val="20"/>
        </w:rPr>
        <w:t xml:space="preserve"> were inoculated with </w:t>
      </w:r>
      <w:r w:rsidRPr="007D6566">
        <w:rPr>
          <w:rFonts w:eastAsiaTheme="minorEastAsia"/>
          <w:sz w:val="20"/>
          <w:szCs w:val="20"/>
        </w:rPr>
        <w:t>10</w:t>
      </w:r>
      <w:r w:rsidRPr="006659A3">
        <w:rPr>
          <w:rFonts w:eastAsiaTheme="minorEastAsia"/>
          <w:sz w:val="20"/>
          <w:szCs w:val="20"/>
          <w:vertAlign w:val="superscript"/>
        </w:rPr>
        <w:t>6</w:t>
      </w:r>
      <w:r w:rsidRPr="007D6566">
        <w:rPr>
          <w:rFonts w:eastAsiaTheme="minorEastAsia"/>
          <w:sz w:val="20"/>
          <w:szCs w:val="20"/>
        </w:rPr>
        <w:t xml:space="preserve"> 22Rv1 cells in a 1:1 Matrigel and media mix (100 µl)</w:t>
      </w:r>
      <w:r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>and randomised to receive v</w:t>
      </w:r>
      <w:r w:rsidRPr="00915458">
        <w:rPr>
          <w:rFonts w:eastAsiaTheme="minorEastAsia"/>
          <w:sz w:val="20"/>
          <w:szCs w:val="20"/>
        </w:rPr>
        <w:t xml:space="preserve">ehicle (purple), </w:t>
      </w:r>
      <w:r w:rsidRPr="0061677C">
        <w:rPr>
          <w:rFonts w:eastAsiaTheme="minorEastAsia"/>
          <w:sz w:val="20"/>
          <w:szCs w:val="20"/>
          <w:vertAlign w:val="superscript"/>
        </w:rPr>
        <w:t>177</w:t>
      </w:r>
      <w:r w:rsidRPr="00915458">
        <w:rPr>
          <w:rFonts w:eastAsiaTheme="minorEastAsia"/>
          <w:sz w:val="20"/>
          <w:szCs w:val="20"/>
        </w:rPr>
        <w:t xml:space="preserve">Lu-PSMA (40 MBq, blue), </w:t>
      </w:r>
      <w:r>
        <w:rPr>
          <w:rFonts w:eastAsiaTheme="minorEastAsia"/>
          <w:sz w:val="20"/>
          <w:szCs w:val="20"/>
        </w:rPr>
        <w:t>a</w:t>
      </w:r>
      <w:r w:rsidRPr="00915458">
        <w:rPr>
          <w:rFonts w:eastAsiaTheme="minorEastAsia"/>
          <w:sz w:val="20"/>
          <w:szCs w:val="20"/>
        </w:rPr>
        <w:t>bemaciclib (25 mg/Kg, OG, green) or the combination of the two (red),</w:t>
      </w:r>
      <w:r>
        <w:rPr>
          <w:rFonts w:eastAsiaTheme="minorEastAsia"/>
          <w:sz w:val="20"/>
          <w:szCs w:val="20"/>
        </w:rPr>
        <w:t xml:space="preserve"> survival</w:t>
      </w:r>
      <w:r w:rsidRPr="00915458">
        <w:rPr>
          <w:rFonts w:eastAsiaTheme="minorEastAsia"/>
          <w:sz w:val="20"/>
          <w:szCs w:val="20"/>
        </w:rPr>
        <w:t xml:space="preserve"> represented as the time needed to 2.5X times the original tumour size measured right before the treatment. </w:t>
      </w:r>
      <w:r w:rsidRPr="00915458">
        <w:rPr>
          <w:rFonts w:eastAsiaTheme="minorEastAsia"/>
          <w:sz w:val="20"/>
          <w:szCs w:val="20"/>
          <w:lang w:val="nb-NO"/>
        </w:rPr>
        <w:t>Tumour sizes were measured with callipers every 3 days.</w:t>
      </w:r>
      <w:r>
        <w:rPr>
          <w:rFonts w:eastAsiaTheme="minorEastAsia"/>
          <w:sz w:val="20"/>
          <w:szCs w:val="20"/>
        </w:rPr>
        <w:t xml:space="preserve"> </w:t>
      </w:r>
      <w:r w:rsidRPr="00A177A1">
        <w:rPr>
          <w:rFonts w:eastAsiaTheme="minorEastAsia"/>
          <w:b/>
          <w:bCs/>
          <w:sz w:val="20"/>
          <w:szCs w:val="20"/>
        </w:rPr>
        <w:t>(</w:t>
      </w:r>
      <w:r>
        <w:rPr>
          <w:rFonts w:eastAsiaTheme="minorEastAsia"/>
          <w:b/>
          <w:bCs/>
          <w:sz w:val="20"/>
          <w:szCs w:val="20"/>
        </w:rPr>
        <w:t>i</w:t>
      </w:r>
      <w:r w:rsidRPr="00A177A1">
        <w:rPr>
          <w:rFonts w:eastAsiaTheme="minorEastAsia"/>
          <w:b/>
          <w:bCs/>
          <w:sz w:val="20"/>
          <w:szCs w:val="20"/>
        </w:rPr>
        <w:t>)</w:t>
      </w:r>
      <w:r w:rsidRPr="00EE6E6A">
        <w:t xml:space="preserve"> </w:t>
      </w:r>
      <w:r w:rsidRPr="00EE6E6A">
        <w:rPr>
          <w:rFonts w:eastAsiaTheme="minorEastAsia"/>
          <w:sz w:val="20"/>
          <w:szCs w:val="20"/>
        </w:rPr>
        <w:t xml:space="preserve">Mice weights in each treatment group are reported as average of 10 animals ± SD. </w:t>
      </w:r>
      <w:r>
        <w:rPr>
          <w:rFonts w:eastAsiaTheme="minorEastAsia"/>
          <w:sz w:val="20"/>
          <w:szCs w:val="20"/>
        </w:rPr>
        <w:t>T</w:t>
      </w:r>
      <w:r w:rsidRPr="00EE6E6A">
        <w:rPr>
          <w:rFonts w:eastAsiaTheme="minorEastAsia"/>
          <w:sz w:val="20"/>
          <w:szCs w:val="20"/>
        </w:rPr>
        <w:t>wo-way ANOVA did not show any significant difference between the groups (</w:t>
      </w:r>
      <w:proofErr w:type="spellStart"/>
      <w:r w:rsidRPr="00EE6E6A">
        <w:rPr>
          <w:rFonts w:eastAsiaTheme="minorEastAsia"/>
          <w:sz w:val="20"/>
          <w:szCs w:val="20"/>
        </w:rPr>
        <w:t>n.s</w:t>
      </w:r>
      <w:proofErr w:type="spellEnd"/>
      <w:r w:rsidRPr="00EE6E6A">
        <w:rPr>
          <w:rFonts w:eastAsiaTheme="minorEastAsia"/>
          <w:sz w:val="20"/>
          <w:szCs w:val="20"/>
        </w:rPr>
        <w:t>.).</w:t>
      </w:r>
    </w:p>
    <w:p w14:paraId="65CFB39A" w14:textId="49AA641A" w:rsidR="00DA783B" w:rsidRDefault="00DA783B" w:rsidP="00DA783B">
      <w:pPr>
        <w:ind w:left="-1134"/>
      </w:pPr>
      <w:r>
        <w:rPr>
          <w:noProof/>
        </w:rPr>
        <w:drawing>
          <wp:inline distT="0" distB="0" distL="0" distR="0" wp14:anchorId="39A90605" wp14:editId="1C074ABF">
            <wp:extent cx="7037916" cy="5401340"/>
            <wp:effectExtent l="0" t="0" r="0" b="0"/>
            <wp:docPr id="15664294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581" cy="540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F95C5" w14:textId="77777777" w:rsidR="00DA783B" w:rsidRDefault="00DA783B" w:rsidP="00DA783B">
      <w:pPr>
        <w:ind w:left="-1134"/>
      </w:pPr>
    </w:p>
    <w:p w14:paraId="316C8914" w14:textId="77777777" w:rsidR="00DA783B" w:rsidRDefault="00DA783B" w:rsidP="00DA783B">
      <w:pPr>
        <w:ind w:left="-1134"/>
      </w:pPr>
    </w:p>
    <w:p w14:paraId="48B1FA1E" w14:textId="77777777" w:rsidR="00DA783B" w:rsidRDefault="00DA783B" w:rsidP="00DA783B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2E81AF6D">
        <w:rPr>
          <w:rFonts w:eastAsiaTheme="minorEastAsia"/>
          <w:b/>
          <w:bCs/>
          <w:sz w:val="20"/>
          <w:szCs w:val="20"/>
        </w:rPr>
        <w:lastRenderedPageBreak/>
        <w:t xml:space="preserve">Supplementary Figure 3: </w:t>
      </w:r>
      <w:r>
        <w:rPr>
          <w:rFonts w:eastAsiaTheme="minorEastAsia"/>
          <w:sz w:val="20"/>
          <w:szCs w:val="20"/>
        </w:rPr>
        <w:t xml:space="preserve"> </w:t>
      </w:r>
      <w:r w:rsidRPr="007B6158">
        <w:rPr>
          <w:rFonts w:eastAsiaTheme="minorEastAsia"/>
          <w:sz w:val="20"/>
          <w:szCs w:val="20"/>
        </w:rPr>
        <w:t>p53 mutant cell lines BON1 and QGP1</w:t>
      </w:r>
      <w:r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 xml:space="preserve">did not demonstrate any evidence of any synergy or cooperativity with </w:t>
      </w:r>
      <w:r w:rsidRPr="00F166C5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>Lu-DOTATATE and CDK4/6i in (</w:t>
      </w:r>
      <w:proofErr w:type="spellStart"/>
      <w:r>
        <w:rPr>
          <w:rFonts w:eastAsiaTheme="minorEastAsia"/>
          <w:sz w:val="20"/>
          <w:szCs w:val="20"/>
        </w:rPr>
        <w:t>a,b,c,d</w:t>
      </w:r>
      <w:proofErr w:type="spellEnd"/>
      <w:r>
        <w:rPr>
          <w:rFonts w:eastAsiaTheme="minorEastAsia"/>
          <w:sz w:val="20"/>
          <w:szCs w:val="20"/>
        </w:rPr>
        <w:t>) BON1</w:t>
      </w:r>
      <w:r w:rsidRPr="00CC3F64">
        <w:rPr>
          <w:rFonts w:eastAsiaTheme="minorEastAsia"/>
          <w:sz w:val="20"/>
          <w:szCs w:val="20"/>
          <w:vertAlign w:val="superscript"/>
        </w:rPr>
        <w:t>wt</w:t>
      </w:r>
      <w:r>
        <w:rPr>
          <w:rFonts w:eastAsiaTheme="minorEastAsia"/>
          <w:sz w:val="20"/>
          <w:szCs w:val="20"/>
        </w:rPr>
        <w:t xml:space="preserve"> cells  (e) which may affected by the limited capacity of </w:t>
      </w:r>
      <w:r w:rsidRPr="00F166C5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as a monotherapy to reduce clonogenic survival in BON1 cell line. (f) Overexpression of sstr2 in QGP1 resulted in significant increase in efficacy of  </w:t>
      </w:r>
      <w:bookmarkStart w:id="2" w:name="OLE_LINK3"/>
      <w:r w:rsidRPr="00F166C5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>Lu-DOTATATE</w:t>
      </w:r>
      <w:bookmarkEnd w:id="2"/>
      <w:r>
        <w:rPr>
          <w:rFonts w:eastAsiaTheme="minorEastAsia"/>
          <w:sz w:val="20"/>
          <w:szCs w:val="20"/>
        </w:rPr>
        <w:t xml:space="preserve">, but (g-j) did not provide any evidence of synergy  or cooperation with CDK4/6i (abemaciclib, </w:t>
      </w:r>
      <w:proofErr w:type="spellStart"/>
      <w:r>
        <w:rPr>
          <w:rFonts w:eastAsiaTheme="minorEastAsia"/>
          <w:sz w:val="20"/>
          <w:szCs w:val="20"/>
        </w:rPr>
        <w:t>ribociclib</w:t>
      </w:r>
      <w:proofErr w:type="spellEnd"/>
      <w:r>
        <w:rPr>
          <w:rFonts w:eastAsiaTheme="minorEastAsia"/>
          <w:sz w:val="20"/>
          <w:szCs w:val="20"/>
        </w:rPr>
        <w:t xml:space="preserve">). </w:t>
      </w:r>
    </w:p>
    <w:p w14:paraId="6FEC88E9" w14:textId="6770856C" w:rsidR="00DA783B" w:rsidRDefault="00DA783B" w:rsidP="00DA783B">
      <w:pPr>
        <w:ind w:left="-1134"/>
      </w:pPr>
      <w:r>
        <w:rPr>
          <w:noProof/>
        </w:rPr>
        <w:drawing>
          <wp:inline distT="0" distB="0" distL="0" distR="0" wp14:anchorId="35C0C40C" wp14:editId="17420F0B">
            <wp:extent cx="7327722" cy="4423144"/>
            <wp:effectExtent l="0" t="0" r="0" b="0"/>
            <wp:docPr id="18354334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5834" cy="44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D5F0A" w14:textId="77777777" w:rsidR="00DA783B" w:rsidRDefault="00DA783B">
      <w:r>
        <w:br w:type="page"/>
      </w:r>
    </w:p>
    <w:p w14:paraId="5753E2B1" w14:textId="77777777" w:rsidR="00DA783B" w:rsidRPr="001A0585" w:rsidRDefault="00DA783B" w:rsidP="00DA783B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E52E15">
        <w:rPr>
          <w:rFonts w:eastAsiaTheme="minorEastAsia"/>
          <w:b/>
          <w:bCs/>
          <w:sz w:val="20"/>
          <w:szCs w:val="20"/>
        </w:rPr>
        <w:lastRenderedPageBreak/>
        <w:t xml:space="preserve">Supplementary Figure 4: </w:t>
      </w:r>
      <w:r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 xml:space="preserve">Metabolic luminescence based assay, Cell Titre Glo (Promega) generated false negatives of activity with increased relative viability to varying activity concentrations of </w:t>
      </w:r>
      <w:r w:rsidRPr="0055720E">
        <w:rPr>
          <w:rFonts w:eastAsiaTheme="minorEastAsia"/>
          <w:sz w:val="20"/>
          <w:szCs w:val="20"/>
          <w:vertAlign w:val="superscript"/>
        </w:rPr>
        <w:t>177</w:t>
      </w:r>
      <w:r w:rsidRPr="0055720E">
        <w:rPr>
          <w:rFonts w:eastAsiaTheme="minorEastAsia"/>
          <w:sz w:val="20"/>
          <w:szCs w:val="20"/>
        </w:rPr>
        <w:t>L</w:t>
      </w:r>
      <w:r>
        <w:rPr>
          <w:rFonts w:eastAsiaTheme="minorEastAsia"/>
          <w:sz w:val="20"/>
          <w:szCs w:val="20"/>
        </w:rPr>
        <w:t xml:space="preserve">u-DOTATATE (0-1.5 MBq/mL) in CA20948 cells across the CDK4/6i concentration range with (a) abemaciclib, and (d) palbociclib. Cell numbers of these plates prior to viability assay using </w:t>
      </w:r>
      <w:proofErr w:type="spellStart"/>
      <w:r>
        <w:rPr>
          <w:rFonts w:eastAsiaTheme="minorEastAsia"/>
          <w:sz w:val="20"/>
          <w:szCs w:val="20"/>
        </w:rPr>
        <w:t>Celigo</w:t>
      </w:r>
      <w:proofErr w:type="spellEnd"/>
      <w:r>
        <w:rPr>
          <w:rFonts w:eastAsiaTheme="minorEastAsia"/>
          <w:sz w:val="20"/>
          <w:szCs w:val="20"/>
        </w:rPr>
        <w:t xml:space="preserve"> imaging cytometer revealed a dose-dependent decrease in cell number with CDK4/6i concentration for (b) abemaciclib, and (e) palbociclib. Correlating the average viability by </w:t>
      </w:r>
      <w:proofErr w:type="spellStart"/>
      <w:r>
        <w:rPr>
          <w:rFonts w:eastAsiaTheme="minorEastAsia"/>
          <w:sz w:val="20"/>
          <w:szCs w:val="20"/>
        </w:rPr>
        <w:t>CellTitre</w:t>
      </w:r>
      <w:proofErr w:type="spellEnd"/>
      <w:r>
        <w:rPr>
          <w:rFonts w:eastAsiaTheme="minorEastAsia"/>
          <w:sz w:val="20"/>
          <w:szCs w:val="20"/>
        </w:rPr>
        <w:t xml:space="preserve"> Glo to cell number within these wells there was an apparent increase in viability with increasing concentration of CDK4/6i for (c) abemaciclib, and (f) palbociclib. </w:t>
      </w:r>
    </w:p>
    <w:p w14:paraId="4CFD36A5" w14:textId="77777777" w:rsidR="00DA783B" w:rsidRDefault="00DA783B" w:rsidP="00DA783B">
      <w:pPr>
        <w:ind w:left="-1276"/>
      </w:pPr>
      <w:r>
        <w:rPr>
          <w:noProof/>
        </w:rPr>
        <w:drawing>
          <wp:inline distT="0" distB="0" distL="0" distR="0" wp14:anchorId="6D23DDDD" wp14:editId="001EFA16">
            <wp:extent cx="7172458" cy="3270257"/>
            <wp:effectExtent l="0" t="0" r="0" b="0"/>
            <wp:docPr id="16342306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778" cy="327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BBFCB" w14:textId="77777777" w:rsidR="00DA783B" w:rsidRDefault="00DA783B">
      <w:r>
        <w:br w:type="page"/>
      </w:r>
    </w:p>
    <w:p w14:paraId="20781E81" w14:textId="77777777" w:rsidR="00A6517A" w:rsidRDefault="00DA783B" w:rsidP="00A6517A">
      <w:pPr>
        <w:spacing w:after="240" w:line="276" w:lineRule="auto"/>
        <w:ind w:left="-1134"/>
        <w:jc w:val="both"/>
        <w:rPr>
          <w:rFonts w:eastAsiaTheme="minorEastAsia"/>
          <w:sz w:val="20"/>
          <w:szCs w:val="20"/>
        </w:rPr>
      </w:pPr>
      <w:r w:rsidRPr="00E52E15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 xml:space="preserve">5: </w:t>
      </w:r>
      <w:r>
        <w:rPr>
          <w:rFonts w:eastAsiaTheme="minorEastAsia"/>
          <w:sz w:val="20"/>
          <w:szCs w:val="20"/>
        </w:rPr>
        <w:t xml:space="preserve">Cell cycle analysis did not indicate a CDK4/6i dose-dependent cell cycle arrest for the mechanism of action in (a) 22Rv1 cell lines at days 6 and 7, and in (b) CA20948 cells at day 2 as well as (c) day 10.  Cell cycle distribution was based upon DNA content imaged using </w:t>
      </w:r>
      <w:proofErr w:type="spellStart"/>
      <w:r>
        <w:rPr>
          <w:rFonts w:eastAsiaTheme="minorEastAsia"/>
          <w:sz w:val="20"/>
          <w:szCs w:val="20"/>
        </w:rPr>
        <w:t>Celigo</w:t>
      </w:r>
      <w:proofErr w:type="spellEnd"/>
      <w:r>
        <w:rPr>
          <w:rFonts w:eastAsiaTheme="minorEastAsia"/>
          <w:sz w:val="20"/>
          <w:szCs w:val="20"/>
        </w:rPr>
        <w:t xml:space="preserve"> imaging cytometer with cells treated within 96 well plates for the same initial treatment conditions used for the clonogenic assays. Cells were fixed in ice cold methanol and stored in -20 °C and stained with </w:t>
      </w:r>
      <w:proofErr w:type="spellStart"/>
      <w:r>
        <w:rPr>
          <w:rFonts w:eastAsiaTheme="minorEastAsia"/>
          <w:sz w:val="20"/>
          <w:szCs w:val="20"/>
        </w:rPr>
        <w:t>Hoescht</w:t>
      </w:r>
      <w:proofErr w:type="spellEnd"/>
      <w:r>
        <w:rPr>
          <w:rFonts w:eastAsiaTheme="minorEastAsia"/>
          <w:sz w:val="20"/>
          <w:szCs w:val="20"/>
        </w:rPr>
        <w:t xml:space="preserve"> 33342 when activity was at background levels before imaging on </w:t>
      </w:r>
      <w:proofErr w:type="spellStart"/>
      <w:r>
        <w:rPr>
          <w:rFonts w:eastAsiaTheme="minorEastAsia"/>
          <w:sz w:val="20"/>
          <w:szCs w:val="20"/>
        </w:rPr>
        <w:t>Celigo</w:t>
      </w:r>
      <w:proofErr w:type="spellEnd"/>
      <w:r>
        <w:rPr>
          <w:rFonts w:eastAsiaTheme="minorEastAsia"/>
          <w:sz w:val="20"/>
          <w:szCs w:val="20"/>
        </w:rPr>
        <w:t xml:space="preserve"> imaging cytometer.</w:t>
      </w:r>
    </w:p>
    <w:p w14:paraId="4A900337" w14:textId="4CEC4DF9" w:rsidR="00DA783B" w:rsidRDefault="00DA783B" w:rsidP="00A6517A">
      <w:pPr>
        <w:spacing w:after="240" w:line="276" w:lineRule="auto"/>
        <w:ind w:left="-1134"/>
        <w:jc w:val="both"/>
      </w:pPr>
      <w:r>
        <w:rPr>
          <w:noProof/>
        </w:rPr>
        <w:drawing>
          <wp:inline distT="0" distB="0" distL="0" distR="0" wp14:anchorId="265119D5" wp14:editId="685CD88B">
            <wp:extent cx="7326215" cy="7357731"/>
            <wp:effectExtent l="0" t="0" r="0" b="0"/>
            <wp:docPr id="15476010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3681" cy="736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0E68B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F34018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>6</w:t>
      </w:r>
      <w:r>
        <w:rPr>
          <w:rFonts w:eastAsiaTheme="minorEastAsia"/>
          <w:sz w:val="20"/>
          <w:szCs w:val="20"/>
        </w:rPr>
        <w:t xml:space="preserve">: (a) </w:t>
      </w:r>
      <w:r w:rsidRPr="2E81AF6D">
        <w:rPr>
          <w:rFonts w:eastAsiaTheme="minorEastAsia"/>
          <w:sz w:val="20"/>
          <w:szCs w:val="20"/>
        </w:rPr>
        <w:t>22R</w:t>
      </w:r>
      <w:r>
        <w:rPr>
          <w:rFonts w:eastAsiaTheme="minorEastAsia"/>
          <w:sz w:val="20"/>
          <w:szCs w:val="20"/>
        </w:rPr>
        <w:t>v</w:t>
      </w:r>
      <w:r w:rsidRPr="2E81AF6D">
        <w:rPr>
          <w:rFonts w:eastAsiaTheme="minorEastAsia"/>
          <w:sz w:val="20"/>
          <w:szCs w:val="20"/>
        </w:rPr>
        <w:t xml:space="preserve">1 or CA20948 cells were treated with </w:t>
      </w:r>
      <w:r w:rsidRPr="2E81AF6D">
        <w:rPr>
          <w:rFonts w:eastAsiaTheme="minorEastAsia"/>
          <w:sz w:val="20"/>
          <w:szCs w:val="20"/>
          <w:vertAlign w:val="superscript"/>
        </w:rPr>
        <w:t>177</w:t>
      </w:r>
      <w:r w:rsidRPr="2E81AF6D">
        <w:rPr>
          <w:rFonts w:eastAsiaTheme="minorEastAsia"/>
          <w:sz w:val="20"/>
          <w:szCs w:val="20"/>
        </w:rPr>
        <w:t xml:space="preserve">Lu-PSMA or </w:t>
      </w:r>
      <w:r w:rsidRPr="2E81AF6D">
        <w:rPr>
          <w:rFonts w:eastAsiaTheme="minorEastAsia"/>
          <w:sz w:val="20"/>
          <w:szCs w:val="20"/>
          <w:vertAlign w:val="superscript"/>
        </w:rPr>
        <w:t>177</w:t>
      </w:r>
      <w:r w:rsidRPr="2E81AF6D">
        <w:rPr>
          <w:rFonts w:eastAsiaTheme="minorEastAsia"/>
          <w:sz w:val="20"/>
          <w:szCs w:val="20"/>
        </w:rPr>
        <w:t>Lu-DOTATATE, respectively, for a brief time, or vehicle, washed and incubated on in abemaciclib or vehicle control. After 1, 3, 7 or 10 days, cells were harvested and proteins of the replisome assessed by western blot</w:t>
      </w:r>
      <w:r>
        <w:rPr>
          <w:rFonts w:eastAsiaTheme="minorEastAsia"/>
          <w:sz w:val="20"/>
          <w:szCs w:val="20"/>
        </w:rPr>
        <w:t>.</w:t>
      </w:r>
      <w:r w:rsidRPr="00485B87">
        <w:rPr>
          <w:rFonts w:eastAsiaTheme="minorEastAsia"/>
          <w:sz w:val="20"/>
          <w:szCs w:val="20"/>
        </w:rPr>
        <w:t xml:space="preserve"> Images are representative of n=3 independent experiments</w:t>
      </w:r>
      <w:r w:rsidRPr="2E81AF6D">
        <w:rPr>
          <w:rFonts w:eastAsiaTheme="minorEastAsia"/>
          <w:sz w:val="20"/>
          <w:szCs w:val="20"/>
        </w:rPr>
        <w:t>.</w:t>
      </w:r>
      <w:r>
        <w:rPr>
          <w:rFonts w:eastAsiaTheme="minorEastAsia"/>
          <w:sz w:val="20"/>
          <w:szCs w:val="20"/>
        </w:rPr>
        <w:t xml:space="preserve"> (b) There was no evidence of any significant change in the</w:t>
      </w:r>
      <w:r w:rsidRPr="009045F9">
        <w:t xml:space="preserve"> </w:t>
      </w:r>
      <w:r>
        <w:rPr>
          <w:rFonts w:eastAsiaTheme="minorEastAsia"/>
          <w:sz w:val="20"/>
          <w:szCs w:val="20"/>
        </w:rPr>
        <w:t>d</w:t>
      </w:r>
      <w:r w:rsidRPr="009045F9">
        <w:rPr>
          <w:rFonts w:eastAsiaTheme="minorEastAsia"/>
          <w:sz w:val="20"/>
          <w:szCs w:val="20"/>
        </w:rPr>
        <w:t>ensitometric</w:t>
      </w:r>
      <w:r>
        <w:rPr>
          <w:rFonts w:eastAsiaTheme="minorEastAsia"/>
          <w:sz w:val="20"/>
          <w:szCs w:val="20"/>
        </w:rPr>
        <w:t xml:space="preserve"> ratio of </w:t>
      </w:r>
      <w:proofErr w:type="spellStart"/>
      <w:r>
        <w:rPr>
          <w:rFonts w:eastAsiaTheme="minorEastAsia"/>
          <w:sz w:val="20"/>
          <w:szCs w:val="20"/>
        </w:rPr>
        <w:t>ppRb:pRb+Rb</w:t>
      </w:r>
      <w:proofErr w:type="spellEnd"/>
      <w:r>
        <w:rPr>
          <w:rFonts w:eastAsiaTheme="minorEastAsia"/>
          <w:sz w:val="20"/>
          <w:szCs w:val="20"/>
        </w:rPr>
        <w:t xml:space="preserve"> within the same blots which would be indicative of  cell cycle arrest by abemaciclib compared to control without Abe with and without the addition of </w:t>
      </w:r>
      <w:r w:rsidRPr="00DC27D4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Lu-PSMA or </w:t>
      </w:r>
      <w:r w:rsidRPr="00DC27D4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Lu-DOTATATE. </w:t>
      </w:r>
    </w:p>
    <w:p w14:paraId="2BABD56E" w14:textId="41A95261" w:rsidR="00DA783B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27B3E892" wp14:editId="212010B4">
            <wp:extent cx="5794817" cy="7285824"/>
            <wp:effectExtent l="0" t="0" r="0" b="0"/>
            <wp:docPr id="2872851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557" cy="729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73461" w14:textId="77777777" w:rsidR="00A6517A" w:rsidRPr="002C2D38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2C2D38">
        <w:rPr>
          <w:rFonts w:eastAsiaTheme="minorEastAsia"/>
          <w:b/>
          <w:bCs/>
          <w:sz w:val="20"/>
          <w:szCs w:val="20"/>
        </w:rPr>
        <w:lastRenderedPageBreak/>
        <w:t xml:space="preserve">Supplementary Figure 7: </w:t>
      </w:r>
      <w:r w:rsidRPr="002C2D38">
        <w:rPr>
          <w:rFonts w:eastAsiaTheme="minorEastAsia"/>
          <w:sz w:val="20"/>
          <w:szCs w:val="20"/>
        </w:rPr>
        <w:t xml:space="preserve">22Rv1 cells were treated with </w:t>
      </w:r>
      <w:r w:rsidRPr="002C2D38">
        <w:rPr>
          <w:rFonts w:eastAsiaTheme="minorEastAsia"/>
          <w:sz w:val="20"/>
          <w:szCs w:val="20"/>
          <w:vertAlign w:val="superscript"/>
        </w:rPr>
        <w:t>177</w:t>
      </w:r>
      <w:r w:rsidRPr="002C2D38">
        <w:rPr>
          <w:rFonts w:eastAsiaTheme="minorEastAsia"/>
          <w:sz w:val="20"/>
          <w:szCs w:val="20"/>
        </w:rPr>
        <w:t>Lu-PSMA for 2 hours, washed and incubated for 1, 3, 7 or 10 days, after which γH2AX content was determined by western blot. Images are representative of n=3 independent experiments.  Actin was utilised for intrinsic normalization.</w:t>
      </w:r>
    </w:p>
    <w:p w14:paraId="7D3B3E5D" w14:textId="58DDC0BD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4613853A" wp14:editId="5E0C20CC">
            <wp:extent cx="5266660" cy="4514279"/>
            <wp:effectExtent l="0" t="0" r="0" b="635"/>
            <wp:docPr id="4463742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618" cy="452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ADEB4" w14:textId="77777777" w:rsidR="00A6517A" w:rsidRDefault="00A6517A" w:rsidP="00A6517A">
      <w:pPr>
        <w:ind w:left="-1134"/>
        <w:jc w:val="center"/>
      </w:pPr>
    </w:p>
    <w:p w14:paraId="70C63977" w14:textId="7F976F61" w:rsidR="00A6517A" w:rsidRDefault="00A6517A">
      <w:r>
        <w:br w:type="page"/>
      </w:r>
    </w:p>
    <w:p w14:paraId="3BB9424C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2C2D38">
        <w:rPr>
          <w:rFonts w:eastAsiaTheme="minorEastAsia"/>
          <w:b/>
          <w:bCs/>
          <w:sz w:val="20"/>
          <w:szCs w:val="20"/>
        </w:rPr>
        <w:lastRenderedPageBreak/>
        <w:t xml:space="preserve">Supplementary Figure 8: </w:t>
      </w:r>
      <w:r w:rsidRPr="002C2D38">
        <w:rPr>
          <w:rFonts w:eastAsiaTheme="minorEastAsia"/>
          <w:sz w:val="20"/>
          <w:szCs w:val="20"/>
        </w:rPr>
        <w:t>22R</w:t>
      </w:r>
      <w:r>
        <w:rPr>
          <w:rFonts w:eastAsiaTheme="minorEastAsia"/>
          <w:sz w:val="20"/>
          <w:szCs w:val="20"/>
        </w:rPr>
        <w:t>v</w:t>
      </w:r>
      <w:r w:rsidRPr="002C2D38">
        <w:rPr>
          <w:rFonts w:eastAsiaTheme="minorEastAsia"/>
          <w:sz w:val="20"/>
          <w:szCs w:val="20"/>
        </w:rPr>
        <w:t xml:space="preserve">1 cells were treated with </w:t>
      </w:r>
      <w:r w:rsidRPr="002C2D38">
        <w:rPr>
          <w:rFonts w:eastAsiaTheme="minorEastAsia"/>
          <w:sz w:val="20"/>
          <w:szCs w:val="20"/>
          <w:vertAlign w:val="superscript"/>
        </w:rPr>
        <w:t>177</w:t>
      </w:r>
      <w:r w:rsidRPr="002C2D38">
        <w:rPr>
          <w:rFonts w:eastAsiaTheme="minorEastAsia"/>
          <w:sz w:val="20"/>
          <w:szCs w:val="20"/>
        </w:rPr>
        <w:t>Lu-PSMA, for a brief time, or vehicle, washed and incubated on in abemaciclib or vehicle control. After 1 or 10 days, cells were harvested and protein</w:t>
      </w:r>
      <w:r w:rsidRPr="002C2D38">
        <w:rPr>
          <w:rFonts w:ascii="Calibri" w:eastAsia="Calibri" w:hAnsi="Calibri"/>
          <w:color w:val="000000" w:themeColor="text1"/>
          <w:spacing w:val="-2"/>
          <w:sz w:val="36"/>
          <w:szCs w:val="36"/>
        </w:rPr>
        <w:t xml:space="preserve"> </w:t>
      </w:r>
      <w:r w:rsidRPr="002C2D38">
        <w:rPr>
          <w:rFonts w:eastAsiaTheme="minorEastAsia"/>
          <w:sz w:val="20"/>
          <w:szCs w:val="20"/>
        </w:rPr>
        <w:t>markers of cell stress and cell death assessed by western blot. Images are representative of n=3 independent experiments.</w:t>
      </w:r>
    </w:p>
    <w:p w14:paraId="6F98E4D4" w14:textId="2091CBAD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0E4A21A3" wp14:editId="16330199">
            <wp:extent cx="6492277" cy="3923414"/>
            <wp:effectExtent l="0" t="0" r="0" b="0"/>
            <wp:docPr id="16906474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747" cy="392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0A6E7" w14:textId="751FA2FD" w:rsidR="00A6517A" w:rsidRDefault="00A6517A">
      <w:r>
        <w:br w:type="page"/>
      </w:r>
    </w:p>
    <w:p w14:paraId="0EE60A0D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F34018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>9</w:t>
      </w:r>
      <w:r>
        <w:rPr>
          <w:rFonts w:eastAsiaTheme="minorEastAsia"/>
          <w:sz w:val="20"/>
          <w:szCs w:val="20"/>
        </w:rPr>
        <w:t xml:space="preserve">: Greater incidence of permanent senescence was achieved in CA20948 cells treated with both </w:t>
      </w:r>
      <w:r w:rsidRPr="004470F3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(0.5 MBq/mL) and abemaciclib (600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 compared with abemaciclib (600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 alone which resulted in a transient senescence/quiescence. Plates were treated with as per normal clonogenic conditions but with a washout and replacement of media every 3 days until day 14 post wash-out.  </w:t>
      </w:r>
    </w:p>
    <w:p w14:paraId="59BCB128" w14:textId="0F58CBEA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58C86BB6" wp14:editId="3C95729A">
            <wp:extent cx="3992729" cy="6103088"/>
            <wp:effectExtent l="0" t="0" r="8255" b="0"/>
            <wp:docPr id="9275832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81" cy="61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EC9E2" w14:textId="77777777" w:rsidR="00A6517A" w:rsidRDefault="00A6517A" w:rsidP="00A6517A">
      <w:pPr>
        <w:ind w:left="-1134"/>
        <w:jc w:val="center"/>
      </w:pPr>
    </w:p>
    <w:p w14:paraId="5D5D5D5D" w14:textId="61D3A01C" w:rsidR="00A6517A" w:rsidRDefault="00A6517A">
      <w:r>
        <w:br w:type="page"/>
      </w:r>
    </w:p>
    <w:p w14:paraId="35647D39" w14:textId="77777777" w:rsidR="00A6517A" w:rsidRPr="00231AD0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F34018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 xml:space="preserve">10: </w:t>
      </w:r>
      <w:r>
        <w:rPr>
          <w:rFonts w:eastAsiaTheme="minorEastAsia"/>
          <w:sz w:val="20"/>
          <w:szCs w:val="20"/>
        </w:rPr>
        <w:t>Cell cycle expression of p21</w:t>
      </w:r>
      <w:r w:rsidRPr="000D16B9">
        <w:rPr>
          <w:rFonts w:eastAsiaTheme="minorEastAsia"/>
          <w:sz w:val="20"/>
          <w:szCs w:val="20"/>
          <w:vertAlign w:val="superscript"/>
        </w:rPr>
        <w:t>hi</w:t>
      </w:r>
      <w:r>
        <w:rPr>
          <w:rFonts w:eastAsiaTheme="minorEastAsia"/>
          <w:sz w:val="20"/>
          <w:szCs w:val="20"/>
        </w:rPr>
        <w:t xml:space="preserve"> and p21</w:t>
      </w:r>
      <w:r w:rsidRPr="000D16B9">
        <w:rPr>
          <w:rFonts w:eastAsiaTheme="minorEastAsia"/>
          <w:sz w:val="20"/>
          <w:szCs w:val="20"/>
          <w:vertAlign w:val="superscript"/>
        </w:rPr>
        <w:t>lo</w:t>
      </w:r>
      <w:r>
        <w:rPr>
          <w:rFonts w:eastAsiaTheme="minorEastAsia"/>
          <w:sz w:val="20"/>
          <w:szCs w:val="20"/>
        </w:rPr>
        <w:t xml:space="preserve"> at earlier (3d) vs late sustained expression (10d) in 22Rv1 cells following </w:t>
      </w:r>
      <w:r w:rsidRPr="006F1E9C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Lu-PSMA treatment (22 MBq/mL) and abemaciclib (50, 200, 1000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>). Early high expression of p21 is almost entirely in G2, whereas there is the emergence of p21</w:t>
      </w:r>
      <w:r w:rsidRPr="00D73EA6">
        <w:rPr>
          <w:rFonts w:eastAsiaTheme="minorEastAsia"/>
          <w:sz w:val="20"/>
          <w:szCs w:val="20"/>
          <w:vertAlign w:val="superscript"/>
        </w:rPr>
        <w:t>hi</w:t>
      </w:r>
      <w:r>
        <w:rPr>
          <w:rFonts w:eastAsiaTheme="minorEastAsia"/>
          <w:sz w:val="20"/>
          <w:szCs w:val="20"/>
        </w:rPr>
        <w:t xml:space="preserve"> cells at day 10 which is greater with </w:t>
      </w:r>
      <w:r w:rsidRPr="00BF3CB6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>Lu-PSMA. Cell cycle determined by DNA content (</w:t>
      </w:r>
      <w:proofErr w:type="spellStart"/>
      <w:r>
        <w:rPr>
          <w:rFonts w:eastAsiaTheme="minorEastAsia"/>
          <w:sz w:val="20"/>
          <w:szCs w:val="20"/>
        </w:rPr>
        <w:t>Hoescht</w:t>
      </w:r>
      <w:proofErr w:type="spellEnd"/>
      <w:r>
        <w:rPr>
          <w:rFonts w:eastAsiaTheme="minorEastAsia"/>
          <w:sz w:val="20"/>
          <w:szCs w:val="20"/>
        </w:rPr>
        <w:t xml:space="preserve"> 33342) and p21</w:t>
      </w:r>
      <w:r w:rsidRPr="002C6CA2">
        <w:rPr>
          <w:rFonts w:eastAsiaTheme="minorEastAsia"/>
          <w:sz w:val="20"/>
          <w:szCs w:val="20"/>
          <w:vertAlign w:val="superscript"/>
        </w:rPr>
        <w:t>hi</w:t>
      </w:r>
      <w:r>
        <w:rPr>
          <w:rFonts w:eastAsiaTheme="minorEastAsia"/>
          <w:sz w:val="20"/>
          <w:szCs w:val="20"/>
        </w:rPr>
        <w:t xml:space="preserve"> and p21</w:t>
      </w:r>
      <w:r w:rsidRPr="002C6CA2">
        <w:rPr>
          <w:rFonts w:eastAsiaTheme="minorEastAsia"/>
          <w:sz w:val="20"/>
          <w:szCs w:val="20"/>
          <w:vertAlign w:val="superscript"/>
        </w:rPr>
        <w:t>lo</w:t>
      </w:r>
      <w:r>
        <w:rPr>
          <w:rFonts w:eastAsiaTheme="minorEastAsia"/>
          <w:sz w:val="20"/>
          <w:szCs w:val="20"/>
        </w:rPr>
        <w:t xml:space="preserve"> levels were determined by integrated florescence intensity per cell using </w:t>
      </w:r>
      <w:proofErr w:type="spellStart"/>
      <w:r>
        <w:rPr>
          <w:rFonts w:eastAsiaTheme="minorEastAsia"/>
          <w:sz w:val="20"/>
          <w:szCs w:val="20"/>
        </w:rPr>
        <w:t>Celigo</w:t>
      </w:r>
      <w:proofErr w:type="spellEnd"/>
      <w:r>
        <w:rPr>
          <w:rFonts w:eastAsiaTheme="minorEastAsia"/>
          <w:sz w:val="20"/>
          <w:szCs w:val="20"/>
        </w:rPr>
        <w:t xml:space="preserve"> imaging cytometer. </w:t>
      </w:r>
    </w:p>
    <w:p w14:paraId="0EB23E86" w14:textId="77777777" w:rsidR="00A6517A" w:rsidRDefault="00A6517A" w:rsidP="00A6517A">
      <w:pPr>
        <w:ind w:left="-1134"/>
        <w:jc w:val="center"/>
      </w:pPr>
    </w:p>
    <w:p w14:paraId="6195EA81" w14:textId="77777777" w:rsidR="00A6517A" w:rsidRDefault="00A6517A" w:rsidP="00A6517A">
      <w:pPr>
        <w:ind w:left="-1134"/>
        <w:jc w:val="center"/>
      </w:pPr>
    </w:p>
    <w:p w14:paraId="21C6BCAC" w14:textId="4F3E8EB1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53AE9028" wp14:editId="78F91C2F">
            <wp:extent cx="3836749" cy="4433776"/>
            <wp:effectExtent l="0" t="0" r="0" b="0"/>
            <wp:docPr id="7856573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971" cy="443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CC775" w14:textId="77777777" w:rsidR="00A6517A" w:rsidRDefault="00A6517A" w:rsidP="00A6517A">
      <w:pPr>
        <w:ind w:left="-1134"/>
        <w:jc w:val="center"/>
      </w:pPr>
    </w:p>
    <w:p w14:paraId="007D827A" w14:textId="6A0338A4" w:rsidR="00A6517A" w:rsidRDefault="00A6517A">
      <w:r>
        <w:br w:type="page"/>
      </w:r>
    </w:p>
    <w:p w14:paraId="50745C81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F34018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 xml:space="preserve">11: </w:t>
      </w:r>
      <w:r w:rsidRPr="001648E1">
        <w:rPr>
          <w:rFonts w:eastAsiaTheme="minorEastAsia"/>
          <w:sz w:val="20"/>
          <w:szCs w:val="20"/>
        </w:rPr>
        <w:t xml:space="preserve">Inhibition of autophagy by HCQ is synergistic with </w:t>
      </w:r>
      <w:r w:rsidRPr="001648E1">
        <w:rPr>
          <w:rFonts w:eastAsiaTheme="minorEastAsia"/>
          <w:sz w:val="20"/>
          <w:szCs w:val="20"/>
          <w:vertAlign w:val="superscript"/>
        </w:rPr>
        <w:t>177</w:t>
      </w:r>
      <w:r w:rsidRPr="001648E1">
        <w:rPr>
          <w:rFonts w:eastAsiaTheme="minorEastAsia"/>
          <w:sz w:val="20"/>
          <w:szCs w:val="20"/>
        </w:rPr>
        <w:t xml:space="preserve">Lu-DOTATATE in CA20948 cells with diminishing effect in combination with </w:t>
      </w:r>
      <w:r w:rsidRPr="001648E1">
        <w:rPr>
          <w:rFonts w:eastAsiaTheme="minorEastAsia"/>
          <w:sz w:val="20"/>
          <w:szCs w:val="20"/>
          <w:vertAlign w:val="superscript"/>
        </w:rPr>
        <w:t>177</w:t>
      </w:r>
      <w:r w:rsidRPr="001648E1">
        <w:rPr>
          <w:rFonts w:eastAsiaTheme="minorEastAsia"/>
          <w:sz w:val="20"/>
          <w:szCs w:val="20"/>
        </w:rPr>
        <w:t>Lu+Abe</w:t>
      </w:r>
      <w:r>
        <w:rPr>
          <w:rFonts w:eastAsiaTheme="minorEastAsia"/>
          <w:sz w:val="20"/>
          <w:szCs w:val="20"/>
        </w:rPr>
        <w:t xml:space="preserve"> as determined by decreasing synergistic potency of abemaciclib on </w:t>
      </w:r>
      <w:r w:rsidRPr="00852F84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 (log alpha) in </w:t>
      </w:r>
      <w:proofErr w:type="spellStart"/>
      <w:r>
        <w:rPr>
          <w:rFonts w:eastAsiaTheme="minorEastAsia"/>
          <w:sz w:val="20"/>
          <w:szCs w:val="20"/>
        </w:rPr>
        <w:t>MuSyC</w:t>
      </w:r>
      <w:proofErr w:type="spellEnd"/>
      <w:r>
        <w:rPr>
          <w:rFonts w:eastAsiaTheme="minorEastAsia"/>
          <w:sz w:val="20"/>
          <w:szCs w:val="20"/>
        </w:rPr>
        <w:t xml:space="preserve"> (Wooten et al. 2021 Nat Commun, 12, 4607). </w:t>
      </w:r>
    </w:p>
    <w:p w14:paraId="18A0DFDF" w14:textId="18CEB4EE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7BA8988F" wp14:editId="271D99CC">
            <wp:extent cx="6774204" cy="4540103"/>
            <wp:effectExtent l="0" t="0" r="0" b="0"/>
            <wp:docPr id="177218270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324" cy="454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6ED18" w14:textId="77777777" w:rsidR="00A6517A" w:rsidRDefault="00A6517A" w:rsidP="00A6517A">
      <w:pPr>
        <w:ind w:left="-1134"/>
        <w:jc w:val="center"/>
      </w:pPr>
    </w:p>
    <w:p w14:paraId="3A170B4C" w14:textId="211929DE" w:rsidR="00A6517A" w:rsidRDefault="00A6517A">
      <w:r>
        <w:br w:type="page"/>
      </w:r>
    </w:p>
    <w:p w14:paraId="37C08F90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F34018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 xml:space="preserve">12: </w:t>
      </w:r>
      <w:r w:rsidRPr="002C1B14">
        <w:rPr>
          <w:rFonts w:eastAsiaTheme="minorEastAsia"/>
          <w:sz w:val="20"/>
          <w:szCs w:val="20"/>
        </w:rPr>
        <w:t>Inhibition of autophagy by HCQ</w:t>
      </w:r>
      <w:r>
        <w:rPr>
          <w:rFonts w:eastAsiaTheme="minorEastAsia"/>
          <w:sz w:val="20"/>
          <w:szCs w:val="20"/>
        </w:rPr>
        <w:t xml:space="preserve"> (5 µM) does not appear to be synergistic at all activity concentrations of</w:t>
      </w:r>
      <w:r w:rsidRPr="002C1B14">
        <w:rPr>
          <w:rFonts w:eastAsiaTheme="minorEastAsia"/>
          <w:sz w:val="20"/>
          <w:szCs w:val="20"/>
        </w:rPr>
        <w:t xml:space="preserve"> </w:t>
      </w:r>
      <w:r w:rsidRPr="002C1B14">
        <w:rPr>
          <w:rFonts w:eastAsiaTheme="minorEastAsia"/>
          <w:sz w:val="20"/>
          <w:szCs w:val="20"/>
          <w:vertAlign w:val="superscript"/>
        </w:rPr>
        <w:t>177</w:t>
      </w:r>
      <w:r w:rsidRPr="002C1B14">
        <w:rPr>
          <w:rFonts w:eastAsiaTheme="minorEastAsia"/>
          <w:sz w:val="20"/>
          <w:szCs w:val="20"/>
        </w:rPr>
        <w:t>Lu-PSMA in 22Rv1</w:t>
      </w:r>
      <w:r>
        <w:rPr>
          <w:rFonts w:eastAsiaTheme="minorEastAsia"/>
          <w:sz w:val="20"/>
          <w:szCs w:val="20"/>
        </w:rPr>
        <w:t xml:space="preserve"> due to decreased</w:t>
      </w:r>
      <w:r w:rsidRPr="002C1B14">
        <w:rPr>
          <w:rFonts w:eastAsiaTheme="minorEastAsia"/>
          <w:sz w:val="20"/>
          <w:szCs w:val="20"/>
        </w:rPr>
        <w:t xml:space="preserve"> induction of senescence</w:t>
      </w:r>
      <w:r>
        <w:rPr>
          <w:rFonts w:eastAsiaTheme="minorEastAsia"/>
          <w:sz w:val="20"/>
          <w:szCs w:val="20"/>
        </w:rPr>
        <w:t xml:space="preserve"> (% cells with high levels of SA-β-Gal) with the addition of increasing concentration of abemaciclib (50, 200, 1000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), while not affecting the percentage of cells undergoing apoptosis (% cells with high levels of Annexin V staining). </w:t>
      </w:r>
    </w:p>
    <w:p w14:paraId="5D67F985" w14:textId="7852390E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66A74423" wp14:editId="0D0830DB">
            <wp:extent cx="6852574" cy="6749376"/>
            <wp:effectExtent l="0" t="0" r="0" b="0"/>
            <wp:docPr id="40636303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553" cy="67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8B5A" w14:textId="7A79D262" w:rsidR="00A6517A" w:rsidRDefault="00A6517A">
      <w:r>
        <w:br w:type="page"/>
      </w:r>
    </w:p>
    <w:p w14:paraId="46C20795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F34018">
        <w:rPr>
          <w:rFonts w:eastAsiaTheme="minorEastAsia"/>
          <w:b/>
          <w:bCs/>
          <w:sz w:val="20"/>
          <w:szCs w:val="20"/>
        </w:rPr>
        <w:lastRenderedPageBreak/>
        <w:t xml:space="preserve">Supplementary Figure </w:t>
      </w:r>
      <w:r>
        <w:rPr>
          <w:rFonts w:eastAsiaTheme="minorEastAsia"/>
          <w:b/>
          <w:bCs/>
          <w:sz w:val="20"/>
          <w:szCs w:val="20"/>
        </w:rPr>
        <w:t xml:space="preserve">13: (a) </w:t>
      </w:r>
      <w:r w:rsidRPr="00CE6C6D">
        <w:rPr>
          <w:rFonts w:eastAsiaTheme="minorEastAsia"/>
          <w:sz w:val="20"/>
          <w:szCs w:val="20"/>
        </w:rPr>
        <w:t>Inhibition of autophagy by HCQ</w:t>
      </w:r>
      <w:r>
        <w:rPr>
          <w:rFonts w:eastAsiaTheme="minorEastAsia"/>
          <w:sz w:val="20"/>
          <w:szCs w:val="20"/>
        </w:rPr>
        <w:t xml:space="preserve"> (5 µM)</w:t>
      </w:r>
      <w:r w:rsidRPr="00CE6C6D">
        <w:rPr>
          <w:rFonts w:eastAsiaTheme="minorEastAsia"/>
          <w:sz w:val="20"/>
          <w:szCs w:val="20"/>
        </w:rPr>
        <w:t xml:space="preserve"> in 22Rv1 cells </w:t>
      </w:r>
      <w:r>
        <w:rPr>
          <w:rFonts w:eastAsiaTheme="minorEastAsia"/>
          <w:sz w:val="20"/>
          <w:szCs w:val="20"/>
        </w:rPr>
        <w:t>reduces senescence within p21</w:t>
      </w:r>
      <w:r w:rsidRPr="0092722A">
        <w:rPr>
          <w:rFonts w:eastAsiaTheme="minorEastAsia"/>
          <w:sz w:val="20"/>
          <w:szCs w:val="20"/>
          <w:vertAlign w:val="superscript"/>
        </w:rPr>
        <w:t>lo</w:t>
      </w:r>
      <w:r>
        <w:rPr>
          <w:rFonts w:eastAsiaTheme="minorEastAsia"/>
          <w:sz w:val="20"/>
          <w:szCs w:val="20"/>
        </w:rPr>
        <w:t xml:space="preserve"> and p21</w:t>
      </w:r>
      <w:r w:rsidRPr="0092722A">
        <w:rPr>
          <w:rFonts w:eastAsiaTheme="minorEastAsia"/>
          <w:sz w:val="20"/>
          <w:szCs w:val="20"/>
          <w:vertAlign w:val="superscript"/>
        </w:rPr>
        <w:t>hi</w:t>
      </w:r>
      <w:r>
        <w:rPr>
          <w:rFonts w:eastAsiaTheme="minorEastAsia"/>
          <w:sz w:val="20"/>
          <w:szCs w:val="20"/>
          <w:vertAlign w:val="superscript"/>
        </w:rPr>
        <w:t xml:space="preserve"> </w:t>
      </w:r>
      <w:r>
        <w:rPr>
          <w:rFonts w:eastAsiaTheme="minorEastAsia"/>
          <w:sz w:val="20"/>
          <w:szCs w:val="20"/>
        </w:rPr>
        <w:t xml:space="preserve"> senescent cell populations with the most significant reduction with p21</w:t>
      </w:r>
      <w:r w:rsidRPr="00526146">
        <w:rPr>
          <w:rFonts w:eastAsiaTheme="minorEastAsia"/>
          <w:sz w:val="20"/>
          <w:szCs w:val="20"/>
          <w:vertAlign w:val="superscript"/>
        </w:rPr>
        <w:t>lo</w:t>
      </w:r>
      <w:r>
        <w:rPr>
          <w:rFonts w:eastAsiaTheme="minorEastAsia"/>
          <w:sz w:val="20"/>
          <w:szCs w:val="20"/>
          <w:vertAlign w:val="superscript"/>
        </w:rPr>
        <w:t xml:space="preserve"> </w:t>
      </w:r>
      <w:r>
        <w:rPr>
          <w:rFonts w:eastAsiaTheme="minorEastAsia"/>
          <w:sz w:val="20"/>
          <w:szCs w:val="20"/>
        </w:rPr>
        <w:t xml:space="preserve">population with and without the addition of </w:t>
      </w:r>
      <w:r w:rsidRPr="00526146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>Lu-PSMA (0,15,22,30 MBq/mL). (</w:t>
      </w:r>
      <w:r w:rsidRPr="0061192A">
        <w:rPr>
          <w:rFonts w:eastAsiaTheme="minorEastAsia"/>
          <w:b/>
          <w:bCs/>
          <w:sz w:val="20"/>
          <w:szCs w:val="20"/>
        </w:rPr>
        <w:t>b</w:t>
      </w:r>
      <w:r>
        <w:rPr>
          <w:rFonts w:eastAsiaTheme="minorEastAsia"/>
          <w:sz w:val="20"/>
          <w:szCs w:val="20"/>
        </w:rPr>
        <w:t xml:space="preserve">) Only abemaciclib (200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)+HCQ (5 µM) resulted in a reduction in cell number relative to abemaciclib alone (200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), whereas the addition of </w:t>
      </w:r>
      <w:r w:rsidRPr="00573E2F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Lu-PSMA did not result in any reduction of cell number with the addition of HCQ to Abe. </w:t>
      </w:r>
    </w:p>
    <w:p w14:paraId="1E695DAE" w14:textId="77777777" w:rsidR="00A6517A" w:rsidRDefault="00A6517A" w:rsidP="00A6517A">
      <w:pPr>
        <w:ind w:left="-1134"/>
        <w:jc w:val="center"/>
      </w:pPr>
    </w:p>
    <w:p w14:paraId="2E88FFE0" w14:textId="2686DA17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44F8649A" wp14:editId="1B4C34BD">
            <wp:extent cx="7498180" cy="4465675"/>
            <wp:effectExtent l="0" t="0" r="0" b="0"/>
            <wp:docPr id="210701959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4010" cy="446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903C4" w14:textId="138275BC" w:rsidR="00A6517A" w:rsidRDefault="00A6517A">
      <w:r>
        <w:br w:type="page"/>
      </w:r>
    </w:p>
    <w:p w14:paraId="77D25341" w14:textId="77777777" w:rsidR="00A6517A" w:rsidRPr="001239C9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1239C9">
        <w:rPr>
          <w:rFonts w:eastAsiaTheme="minorEastAsia"/>
          <w:b/>
          <w:bCs/>
          <w:sz w:val="20"/>
          <w:szCs w:val="20"/>
        </w:rPr>
        <w:lastRenderedPageBreak/>
        <w:t xml:space="preserve">Supplementary Figure 14: </w:t>
      </w:r>
      <w:r w:rsidRPr="001239C9">
        <w:rPr>
          <w:rFonts w:eastAsiaTheme="minorEastAsia"/>
          <w:sz w:val="20"/>
          <w:szCs w:val="20"/>
        </w:rPr>
        <w:t>Inhibition of autophagy by HCQ</w:t>
      </w:r>
      <w:r>
        <w:rPr>
          <w:rFonts w:eastAsiaTheme="minorEastAsia"/>
          <w:sz w:val="20"/>
          <w:szCs w:val="20"/>
        </w:rPr>
        <w:t xml:space="preserve"> (5 µM) </w:t>
      </w:r>
      <w:r w:rsidRPr="001239C9">
        <w:rPr>
          <w:rFonts w:eastAsiaTheme="minorEastAsia"/>
          <w:sz w:val="20"/>
          <w:szCs w:val="20"/>
        </w:rPr>
        <w:t xml:space="preserve"> in 22Rv1 cells does not affect p21 levels in combination with </w:t>
      </w:r>
      <w:r w:rsidRPr="001239C9">
        <w:rPr>
          <w:rFonts w:eastAsiaTheme="minorEastAsia"/>
          <w:sz w:val="20"/>
          <w:szCs w:val="20"/>
          <w:vertAlign w:val="superscript"/>
        </w:rPr>
        <w:t>177</w:t>
      </w:r>
      <w:r w:rsidRPr="001239C9">
        <w:rPr>
          <w:rFonts w:eastAsiaTheme="minorEastAsia"/>
          <w:sz w:val="20"/>
          <w:szCs w:val="20"/>
        </w:rPr>
        <w:t>Lu</w:t>
      </w:r>
      <w:r>
        <w:rPr>
          <w:rFonts w:eastAsiaTheme="minorEastAsia"/>
          <w:sz w:val="20"/>
          <w:szCs w:val="20"/>
        </w:rPr>
        <w:t>-PSMA</w:t>
      </w:r>
      <w:r w:rsidRPr="001239C9">
        <w:rPr>
          <w:rFonts w:eastAsiaTheme="minorEastAsia"/>
          <w:sz w:val="20"/>
          <w:szCs w:val="20"/>
        </w:rPr>
        <w:t>, but it does reduce the incidence of senescence that is associated with high levels of p21</w:t>
      </w:r>
      <w:r>
        <w:rPr>
          <w:rFonts w:eastAsiaTheme="minorEastAsia"/>
          <w:sz w:val="20"/>
          <w:szCs w:val="20"/>
        </w:rPr>
        <w:t>. Representative immunofluorescence images of cells processed in SI Fig 13 (</w:t>
      </w:r>
      <w:proofErr w:type="spellStart"/>
      <w:r>
        <w:rPr>
          <w:rFonts w:eastAsiaTheme="minorEastAsia"/>
          <w:sz w:val="20"/>
          <w:szCs w:val="20"/>
        </w:rPr>
        <w:t>Celigo</w:t>
      </w:r>
      <w:proofErr w:type="spellEnd"/>
      <w:r>
        <w:rPr>
          <w:rFonts w:eastAsiaTheme="minorEastAsia"/>
          <w:sz w:val="20"/>
          <w:szCs w:val="20"/>
        </w:rPr>
        <w:t xml:space="preserve"> Imaging Cytometer, scale bar = 100 µm)</w:t>
      </w:r>
      <w:r w:rsidRPr="001239C9">
        <w:rPr>
          <w:rFonts w:eastAsiaTheme="minorEastAsia"/>
          <w:sz w:val="20"/>
          <w:szCs w:val="20"/>
        </w:rPr>
        <w:t xml:space="preserve">. </w:t>
      </w:r>
    </w:p>
    <w:p w14:paraId="0EEB66C5" w14:textId="38446121" w:rsidR="00A6517A" w:rsidRDefault="00A6517A" w:rsidP="00A6517A">
      <w:pPr>
        <w:ind w:left="-1134"/>
      </w:pPr>
      <w:r>
        <w:rPr>
          <w:noProof/>
        </w:rPr>
        <w:drawing>
          <wp:inline distT="0" distB="0" distL="0" distR="0" wp14:anchorId="34EB5105" wp14:editId="5E642888">
            <wp:extent cx="5335488" cy="7974419"/>
            <wp:effectExtent l="0" t="0" r="0" b="7620"/>
            <wp:docPr id="52654608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902" cy="797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50275" w14:textId="77777777" w:rsidR="00A6517A" w:rsidRPr="008C478C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1239C9">
        <w:rPr>
          <w:rFonts w:eastAsiaTheme="minorEastAsia"/>
          <w:b/>
          <w:bCs/>
          <w:sz w:val="20"/>
          <w:szCs w:val="20"/>
        </w:rPr>
        <w:lastRenderedPageBreak/>
        <w:t>Supplementary Figure 1</w:t>
      </w:r>
      <w:r>
        <w:rPr>
          <w:rFonts w:eastAsiaTheme="minorEastAsia"/>
          <w:b/>
          <w:bCs/>
          <w:sz w:val="20"/>
          <w:szCs w:val="20"/>
        </w:rPr>
        <w:t>5</w:t>
      </w:r>
      <w:r w:rsidRPr="001239C9">
        <w:rPr>
          <w:rFonts w:eastAsiaTheme="minorEastAsia"/>
          <w:b/>
          <w:bCs/>
          <w:sz w:val="20"/>
          <w:szCs w:val="20"/>
        </w:rPr>
        <w:t>:</w:t>
      </w:r>
      <w:r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 xml:space="preserve">Cytoplasmic chromatin fragments detected in the cytoplasm of senescent CA20948 cells using </w:t>
      </w:r>
      <w:proofErr w:type="spellStart"/>
      <w:r>
        <w:rPr>
          <w:rFonts w:eastAsiaTheme="minorEastAsia"/>
          <w:sz w:val="20"/>
          <w:szCs w:val="20"/>
        </w:rPr>
        <w:t>Hoescht</w:t>
      </w:r>
      <w:proofErr w:type="spellEnd"/>
      <w:r>
        <w:rPr>
          <w:rFonts w:eastAsiaTheme="minorEastAsia"/>
          <w:sz w:val="20"/>
          <w:szCs w:val="20"/>
        </w:rPr>
        <w:t xml:space="preserve"> 33342 in cells treated with higher concentrations of abemaciclib alone at day 7 (400, 800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), and at all concentrations of abemaciclib (189,400, 800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 when in combination with </w:t>
      </w:r>
      <w:r w:rsidRPr="006606AB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Lu-PSMA (1.5 MBq/mL) with no CCF detected in cells treated with </w:t>
      </w:r>
      <w:r w:rsidRPr="000907B0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alone. </w:t>
      </w:r>
    </w:p>
    <w:p w14:paraId="14A40183" w14:textId="558BE478" w:rsidR="00A6517A" w:rsidRDefault="00A6517A" w:rsidP="00A6517A">
      <w:pPr>
        <w:ind w:left="-1134"/>
        <w:jc w:val="center"/>
      </w:pPr>
      <w:r>
        <w:rPr>
          <w:noProof/>
        </w:rPr>
        <w:drawing>
          <wp:inline distT="0" distB="0" distL="0" distR="0" wp14:anchorId="5631AFBA" wp14:editId="4F021CCC">
            <wp:extent cx="4570208" cy="7851228"/>
            <wp:effectExtent l="0" t="0" r="1905" b="0"/>
            <wp:docPr id="67552901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36" cy="78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7FC97" w14:textId="77777777" w:rsidR="00A6517A" w:rsidRDefault="00A6517A" w:rsidP="00A6517A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075277">
        <w:rPr>
          <w:rFonts w:eastAsiaTheme="minorEastAsia"/>
          <w:b/>
          <w:bCs/>
          <w:sz w:val="20"/>
          <w:szCs w:val="20"/>
        </w:rPr>
        <w:lastRenderedPageBreak/>
        <w:t>Supplementary Figure 1</w:t>
      </w:r>
      <w:r>
        <w:rPr>
          <w:rFonts w:eastAsiaTheme="minorEastAsia"/>
          <w:b/>
          <w:bCs/>
          <w:sz w:val="20"/>
          <w:szCs w:val="20"/>
        </w:rPr>
        <w:t>6</w:t>
      </w:r>
      <w:r w:rsidRPr="00075277">
        <w:rPr>
          <w:rFonts w:eastAsiaTheme="minorEastAsia"/>
          <w:b/>
          <w:bCs/>
          <w:sz w:val="20"/>
          <w:szCs w:val="20"/>
        </w:rPr>
        <w:t>:</w:t>
      </w:r>
      <w:r>
        <w:rPr>
          <w:rFonts w:eastAsiaTheme="minorEastAsia"/>
          <w:sz w:val="20"/>
          <w:szCs w:val="20"/>
        </w:rPr>
        <w:t xml:space="preserve"> CA20948 cells treated with </w:t>
      </w:r>
      <w:r w:rsidRPr="00E074A3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(1.5 MBq/mL) and abemaciclib (400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 with stressed nucleoli had atypical expression of Annexin V, with focal expression of annexin V on the surface of the cell, as well as cytoplasmic staining of Annexin V (observable from day 3, but day 10 is shown, scale bar: 20 </w:t>
      </w:r>
      <w:proofErr w:type="spellStart"/>
      <w:r>
        <w:rPr>
          <w:rFonts w:eastAsiaTheme="minorEastAsia"/>
          <w:sz w:val="20"/>
          <w:szCs w:val="20"/>
        </w:rPr>
        <w:t>μm</w:t>
      </w:r>
      <w:proofErr w:type="spellEnd"/>
      <w:r>
        <w:rPr>
          <w:rFonts w:eastAsiaTheme="minorEastAsia"/>
          <w:sz w:val="20"/>
          <w:szCs w:val="20"/>
        </w:rPr>
        <w:t xml:space="preserve">). </w:t>
      </w:r>
    </w:p>
    <w:p w14:paraId="51F16214" w14:textId="77777777" w:rsidR="00A6517A" w:rsidRDefault="00A6517A" w:rsidP="00A6517A">
      <w:pPr>
        <w:ind w:left="-1134"/>
        <w:jc w:val="center"/>
      </w:pPr>
    </w:p>
    <w:p w14:paraId="20EF1E14" w14:textId="77777777" w:rsidR="00A6517A" w:rsidRDefault="00A6517A" w:rsidP="00A6517A">
      <w:pPr>
        <w:ind w:left="-1134"/>
        <w:jc w:val="center"/>
      </w:pPr>
    </w:p>
    <w:p w14:paraId="0FAB4EF8" w14:textId="32C682C9" w:rsidR="00A6517A" w:rsidRDefault="00374663" w:rsidP="00A6517A">
      <w:pPr>
        <w:ind w:left="-1134"/>
        <w:jc w:val="center"/>
      </w:pPr>
      <w:r>
        <w:rPr>
          <w:noProof/>
        </w:rPr>
        <w:drawing>
          <wp:inline distT="0" distB="0" distL="0" distR="0" wp14:anchorId="2105FF66" wp14:editId="07E9944B">
            <wp:extent cx="6749856" cy="4538575"/>
            <wp:effectExtent l="0" t="0" r="0" b="0"/>
            <wp:docPr id="201449753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216" cy="455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7D810" w14:textId="0908A8E5" w:rsidR="00374663" w:rsidRDefault="00374663">
      <w:r>
        <w:br w:type="page"/>
      </w:r>
    </w:p>
    <w:p w14:paraId="7BBE91EA" w14:textId="77777777" w:rsidR="00374663" w:rsidRDefault="00374663" w:rsidP="00374663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075277">
        <w:rPr>
          <w:rFonts w:eastAsiaTheme="minorEastAsia"/>
          <w:b/>
          <w:bCs/>
          <w:sz w:val="20"/>
          <w:szCs w:val="20"/>
        </w:rPr>
        <w:lastRenderedPageBreak/>
        <w:t>Supplementary Figure 1</w:t>
      </w:r>
      <w:r>
        <w:rPr>
          <w:rFonts w:eastAsiaTheme="minorEastAsia"/>
          <w:b/>
          <w:bCs/>
          <w:sz w:val="20"/>
          <w:szCs w:val="20"/>
        </w:rPr>
        <w:t>7</w:t>
      </w:r>
      <w:r w:rsidRPr="00075277">
        <w:rPr>
          <w:rFonts w:eastAsiaTheme="minorEastAsia"/>
          <w:b/>
          <w:bCs/>
          <w:sz w:val="20"/>
          <w:szCs w:val="20"/>
        </w:rPr>
        <w:t>:</w:t>
      </w:r>
      <w:r>
        <w:rPr>
          <w:rFonts w:eastAsiaTheme="minorEastAsia"/>
          <w:sz w:val="20"/>
          <w:szCs w:val="20"/>
        </w:rPr>
        <w:t xml:space="preserve"> p21 and p53 coincide within the release of </w:t>
      </w:r>
      <w:r w:rsidRPr="2E81AF6D">
        <w:rPr>
          <w:rFonts w:eastAsiaTheme="minorEastAsia"/>
          <w:sz w:val="20"/>
          <w:szCs w:val="20"/>
        </w:rPr>
        <w:t xml:space="preserve">CCF into the cytoplasm </w:t>
      </w:r>
      <w:r>
        <w:rPr>
          <w:rFonts w:eastAsiaTheme="minorEastAsia"/>
          <w:sz w:val="20"/>
          <w:szCs w:val="20"/>
        </w:rPr>
        <w:t xml:space="preserve">in CA20948 cells treated with </w:t>
      </w:r>
      <w:r w:rsidRPr="00E074A3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 (0.32 MBq/mL) and abemaciclib (800 </w:t>
      </w:r>
      <w:proofErr w:type="spellStart"/>
      <w:r>
        <w:rPr>
          <w:rFonts w:eastAsiaTheme="minorEastAsia"/>
          <w:sz w:val="20"/>
          <w:szCs w:val="20"/>
        </w:rPr>
        <w:t>nM</w:t>
      </w:r>
      <w:proofErr w:type="spellEnd"/>
      <w:r>
        <w:rPr>
          <w:rFonts w:eastAsiaTheme="minorEastAsia"/>
          <w:sz w:val="20"/>
          <w:szCs w:val="20"/>
        </w:rPr>
        <w:t xml:space="preserve">) (day 5, scale bar: 10 </w:t>
      </w:r>
      <w:proofErr w:type="spellStart"/>
      <w:r>
        <w:rPr>
          <w:rFonts w:eastAsiaTheme="minorEastAsia"/>
          <w:sz w:val="20"/>
          <w:szCs w:val="20"/>
        </w:rPr>
        <w:t>μm</w:t>
      </w:r>
      <w:proofErr w:type="spellEnd"/>
      <w:r>
        <w:rPr>
          <w:rFonts w:eastAsiaTheme="minorEastAsia"/>
          <w:sz w:val="20"/>
          <w:szCs w:val="20"/>
        </w:rPr>
        <w:t xml:space="preserve">) and indicates a potentially disrupted </w:t>
      </w:r>
      <w:proofErr w:type="spellStart"/>
      <w:r>
        <w:rPr>
          <w:rFonts w:eastAsiaTheme="minorEastAsia"/>
          <w:sz w:val="20"/>
          <w:szCs w:val="20"/>
        </w:rPr>
        <w:t>nucleophagic</w:t>
      </w:r>
      <w:proofErr w:type="spellEnd"/>
      <w:r>
        <w:rPr>
          <w:rFonts w:eastAsiaTheme="minorEastAsia"/>
          <w:sz w:val="20"/>
          <w:szCs w:val="20"/>
        </w:rPr>
        <w:t xml:space="preserve"> clearance mechanism by the combination of Abemaciclib and </w:t>
      </w:r>
      <w:r w:rsidRPr="00E074A3">
        <w:rPr>
          <w:rFonts w:eastAsiaTheme="minorEastAsia"/>
          <w:sz w:val="20"/>
          <w:szCs w:val="20"/>
          <w:vertAlign w:val="superscript"/>
        </w:rPr>
        <w:t>177</w:t>
      </w:r>
      <w:r>
        <w:rPr>
          <w:rFonts w:eastAsiaTheme="minorEastAsia"/>
          <w:sz w:val="20"/>
          <w:szCs w:val="20"/>
        </w:rPr>
        <w:t xml:space="preserve">Lu-DOTATATE. </w:t>
      </w:r>
    </w:p>
    <w:p w14:paraId="2C440CD2" w14:textId="4E23A7A9" w:rsidR="00374663" w:rsidRDefault="00374663" w:rsidP="00A6517A">
      <w:pPr>
        <w:ind w:left="-1134"/>
        <w:jc w:val="center"/>
      </w:pPr>
      <w:r>
        <w:rPr>
          <w:noProof/>
        </w:rPr>
        <w:drawing>
          <wp:inline distT="0" distB="0" distL="0" distR="0" wp14:anchorId="61B77AD0" wp14:editId="74683545">
            <wp:extent cx="6985723" cy="4099035"/>
            <wp:effectExtent l="0" t="0" r="5715" b="0"/>
            <wp:docPr id="45214688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305" cy="410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4C85E" w14:textId="77777777" w:rsidR="00374663" w:rsidRDefault="00374663" w:rsidP="00A6517A">
      <w:pPr>
        <w:ind w:left="-1134"/>
        <w:jc w:val="center"/>
      </w:pPr>
    </w:p>
    <w:p w14:paraId="177EA0FD" w14:textId="698F33C9" w:rsidR="00374663" w:rsidRDefault="00374663">
      <w:r>
        <w:br w:type="page"/>
      </w:r>
    </w:p>
    <w:p w14:paraId="050B65EE" w14:textId="77777777" w:rsidR="00374663" w:rsidRPr="0020451A" w:rsidRDefault="00374663" w:rsidP="00374663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075277">
        <w:rPr>
          <w:rFonts w:eastAsiaTheme="minorEastAsia"/>
          <w:b/>
          <w:bCs/>
          <w:sz w:val="20"/>
          <w:szCs w:val="20"/>
        </w:rPr>
        <w:lastRenderedPageBreak/>
        <w:t>Supplementary Figure 1</w:t>
      </w:r>
      <w:r>
        <w:rPr>
          <w:rFonts w:eastAsiaTheme="minorEastAsia"/>
          <w:b/>
          <w:bCs/>
          <w:sz w:val="20"/>
          <w:szCs w:val="20"/>
        </w:rPr>
        <w:t>8</w:t>
      </w:r>
      <w:r w:rsidRPr="00075277">
        <w:rPr>
          <w:rFonts w:eastAsiaTheme="minorEastAsia"/>
          <w:b/>
          <w:bCs/>
          <w:sz w:val="20"/>
          <w:szCs w:val="20"/>
        </w:rPr>
        <w:t>:</w:t>
      </w:r>
      <w:r w:rsidRPr="0049715D"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b/>
          <w:bCs/>
          <w:sz w:val="20"/>
          <w:szCs w:val="20"/>
        </w:rPr>
        <w:t>(A)</w:t>
      </w:r>
      <w:r w:rsidRPr="0020451A">
        <w:rPr>
          <w:rFonts w:eastAsiaTheme="minorEastAsia"/>
          <w:b/>
          <w:bCs/>
          <w:sz w:val="20"/>
          <w:szCs w:val="20"/>
        </w:rPr>
        <w:t xml:space="preserve"> </w:t>
      </w:r>
      <w:r w:rsidRPr="0020451A">
        <w:rPr>
          <w:rFonts w:eastAsiaTheme="minorEastAsia"/>
          <w:sz w:val="20"/>
          <w:szCs w:val="20"/>
        </w:rPr>
        <w:t xml:space="preserve">Evaluation of SASP in </w:t>
      </w:r>
      <w:r>
        <w:rPr>
          <w:rFonts w:eastAsiaTheme="minorEastAsia"/>
          <w:sz w:val="20"/>
          <w:szCs w:val="20"/>
        </w:rPr>
        <w:t xml:space="preserve">(A) </w:t>
      </w:r>
      <w:r w:rsidRPr="0020451A">
        <w:rPr>
          <w:rFonts w:eastAsiaTheme="minorEastAsia"/>
          <w:sz w:val="20"/>
          <w:szCs w:val="20"/>
        </w:rPr>
        <w:t>Supernatant</w:t>
      </w:r>
      <w:r>
        <w:rPr>
          <w:rFonts w:eastAsiaTheme="minorEastAsia"/>
          <w:sz w:val="20"/>
          <w:szCs w:val="20"/>
        </w:rPr>
        <w:t xml:space="preserve">s, and (B) cell lysates </w:t>
      </w:r>
      <w:r w:rsidRPr="0020451A">
        <w:rPr>
          <w:rFonts w:eastAsiaTheme="minorEastAsia"/>
          <w:sz w:val="20"/>
          <w:szCs w:val="20"/>
        </w:rPr>
        <w:t xml:space="preserve">collected from 22Rv1 cell lines treated with either Abemaciclib alone (200, 1000 </w:t>
      </w:r>
      <w:proofErr w:type="spellStart"/>
      <w:r w:rsidRPr="0020451A">
        <w:rPr>
          <w:rFonts w:eastAsiaTheme="minorEastAsia"/>
          <w:sz w:val="20"/>
          <w:szCs w:val="20"/>
        </w:rPr>
        <w:t>nM</w:t>
      </w:r>
      <w:proofErr w:type="spellEnd"/>
      <w:r w:rsidRPr="0020451A">
        <w:rPr>
          <w:rFonts w:eastAsiaTheme="minorEastAsia"/>
          <w:sz w:val="20"/>
          <w:szCs w:val="20"/>
        </w:rPr>
        <w:t xml:space="preserve">) or in combination with </w:t>
      </w:r>
      <w:r w:rsidRPr="0020451A">
        <w:rPr>
          <w:rFonts w:eastAsiaTheme="minorEastAsia"/>
          <w:sz w:val="20"/>
          <w:szCs w:val="20"/>
          <w:vertAlign w:val="superscript"/>
        </w:rPr>
        <w:t>177</w:t>
      </w:r>
      <w:r w:rsidRPr="0020451A">
        <w:rPr>
          <w:rFonts w:eastAsiaTheme="minorEastAsia"/>
          <w:sz w:val="20"/>
          <w:szCs w:val="20"/>
        </w:rPr>
        <w:t>Lu-PSMA (22 MBq</w:t>
      </w:r>
      <w:r>
        <w:rPr>
          <w:rFonts w:eastAsiaTheme="minorEastAsia"/>
          <w:sz w:val="20"/>
          <w:szCs w:val="20"/>
        </w:rPr>
        <w:t>/mL</w:t>
      </w:r>
      <w:r w:rsidRPr="0020451A">
        <w:rPr>
          <w:rFonts w:eastAsiaTheme="minorEastAsia"/>
          <w:sz w:val="20"/>
          <w:szCs w:val="20"/>
        </w:rPr>
        <w:t>). Samples were harvested at 7 days from the treatment</w:t>
      </w:r>
      <w:r>
        <w:rPr>
          <w:rFonts w:eastAsiaTheme="minorEastAsia"/>
          <w:sz w:val="20"/>
          <w:szCs w:val="20"/>
        </w:rPr>
        <w:t>. O</w:t>
      </w:r>
      <w:r w:rsidRPr="0020451A">
        <w:rPr>
          <w:rFonts w:eastAsiaTheme="minorEastAsia"/>
          <w:sz w:val="20"/>
          <w:szCs w:val="20"/>
        </w:rPr>
        <w:t xml:space="preserve">nly one factor results impacted by the treatments, MIF (red open box).  </w:t>
      </w:r>
      <w:r>
        <w:rPr>
          <w:rFonts w:eastAsiaTheme="minorEastAsia"/>
          <w:sz w:val="20"/>
          <w:szCs w:val="20"/>
        </w:rPr>
        <w:t>(</w:t>
      </w:r>
      <w:r w:rsidRPr="0020451A">
        <w:rPr>
          <w:rFonts w:eastAsiaTheme="minorEastAsia"/>
          <w:sz w:val="20"/>
          <w:szCs w:val="20"/>
        </w:rPr>
        <w:t xml:space="preserve">C) Quantitative analysis </w:t>
      </w:r>
      <w:r>
        <w:rPr>
          <w:rFonts w:eastAsiaTheme="minorEastAsia"/>
          <w:sz w:val="20"/>
          <w:szCs w:val="20"/>
        </w:rPr>
        <w:t>(</w:t>
      </w:r>
      <w:r w:rsidRPr="0020451A">
        <w:rPr>
          <w:rFonts w:eastAsiaTheme="minorEastAsia"/>
          <w:sz w:val="20"/>
          <w:szCs w:val="20"/>
        </w:rPr>
        <w:t>integrated intensity) of MIF as reported in A and B is shown for the supernatants (black bars) and for the cell lysates (white bars).</w:t>
      </w:r>
    </w:p>
    <w:p w14:paraId="35C29643" w14:textId="77777777" w:rsidR="00374663" w:rsidRDefault="00374663" w:rsidP="00A6517A">
      <w:pPr>
        <w:ind w:left="-1134"/>
        <w:jc w:val="center"/>
      </w:pPr>
    </w:p>
    <w:p w14:paraId="4B4A08B4" w14:textId="77777777" w:rsidR="00374663" w:rsidRDefault="00374663" w:rsidP="00A6517A">
      <w:pPr>
        <w:ind w:left="-1134"/>
        <w:jc w:val="center"/>
      </w:pPr>
    </w:p>
    <w:p w14:paraId="1DA88677" w14:textId="461D5D76" w:rsidR="00374663" w:rsidRDefault="00374663" w:rsidP="00A6517A">
      <w:pPr>
        <w:ind w:left="-1134"/>
        <w:jc w:val="center"/>
      </w:pPr>
      <w:r>
        <w:rPr>
          <w:noProof/>
        </w:rPr>
        <w:drawing>
          <wp:inline distT="0" distB="0" distL="0" distR="0" wp14:anchorId="5E7BCCA3" wp14:editId="4A019527">
            <wp:extent cx="7226919" cy="4619296"/>
            <wp:effectExtent l="0" t="0" r="0" b="0"/>
            <wp:docPr id="206961818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871" cy="462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4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D2"/>
    <w:rsid w:val="0010146D"/>
    <w:rsid w:val="0034394C"/>
    <w:rsid w:val="00374663"/>
    <w:rsid w:val="00572739"/>
    <w:rsid w:val="006819B4"/>
    <w:rsid w:val="007904F7"/>
    <w:rsid w:val="00A6517A"/>
    <w:rsid w:val="00DA783B"/>
    <w:rsid w:val="00DC51D2"/>
    <w:rsid w:val="00E8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3ED8A"/>
  <w15:chartTrackingRefBased/>
  <w15:docId w15:val="{2545EE10-CF09-45A0-894E-997839F9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1D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C5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51D2"/>
    <w:rPr>
      <w:sz w:val="20"/>
      <w:szCs w:val="20"/>
    </w:rPr>
  </w:style>
  <w:style w:type="paragraph" w:styleId="Revision">
    <w:name w:val="Revision"/>
    <w:hidden/>
    <w:uiPriority w:val="99"/>
    <w:semiHidden/>
    <w:rsid w:val="00101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1461</Words>
  <Characters>8451</Characters>
  <Application>Microsoft Office Word</Application>
  <DocSecurity>0</DocSecurity>
  <Lines>119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O'Neill</dc:creator>
  <cp:keywords/>
  <dc:description/>
  <cp:lastModifiedBy>Ed O'Neill</cp:lastModifiedBy>
  <cp:revision>2</cp:revision>
  <dcterms:created xsi:type="dcterms:W3CDTF">2026-09-02T12:56:00Z</dcterms:created>
  <dcterms:modified xsi:type="dcterms:W3CDTF">2026-09-02T12:56:00Z</dcterms:modified>
</cp:coreProperties>
</file>