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E037C" w14:textId="77777777" w:rsidR="00506BE2" w:rsidRPr="0044337C" w:rsidRDefault="00506BE2" w:rsidP="00506BE2">
      <w:pPr>
        <w:pStyle w:val="Heading1"/>
      </w:pPr>
      <w:r>
        <w:t>Additional</w:t>
      </w:r>
      <w:r w:rsidRPr="0044337C">
        <w:t xml:space="preserve"> information</w:t>
      </w:r>
    </w:p>
    <w:p w14:paraId="6D889DB6" w14:textId="77777777" w:rsidR="00506BE2" w:rsidRDefault="00506BE2" w:rsidP="00506BE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Pr="0044337C">
        <w:rPr>
          <w:rFonts w:asciiTheme="minorHAnsi" w:hAnsiTheme="minorHAnsi" w:cstheme="minorHAnsi"/>
        </w:rPr>
        <w:t>upplementary material</w:t>
      </w:r>
      <w:r>
        <w:rPr>
          <w:rFonts w:asciiTheme="minorHAnsi" w:hAnsiTheme="minorHAnsi" w:cstheme="minorHAnsi"/>
        </w:rPr>
        <w:t xml:space="preserve"> has been </w:t>
      </w:r>
      <w:r w:rsidRPr="0044337C">
        <w:rPr>
          <w:rFonts w:asciiTheme="minorHAnsi" w:hAnsiTheme="minorHAnsi" w:cstheme="minorHAnsi"/>
        </w:rPr>
        <w:t>submitted as a</w:t>
      </w:r>
      <w:r>
        <w:rPr>
          <w:rFonts w:asciiTheme="minorHAnsi" w:hAnsiTheme="minorHAnsi" w:cstheme="minorHAnsi"/>
        </w:rPr>
        <w:t xml:space="preserve">n </w:t>
      </w:r>
      <w:r w:rsidRPr="000E7629">
        <w:rPr>
          <w:rFonts w:asciiTheme="minorHAnsi" w:hAnsiTheme="minorHAnsi" w:cstheme="minorHAnsi"/>
          <w:b/>
          <w:bCs/>
        </w:rPr>
        <w:t>Additional File</w:t>
      </w:r>
      <w:r>
        <w:rPr>
          <w:rFonts w:asciiTheme="minorHAnsi" w:hAnsiTheme="minorHAnsi" w:cstheme="minorHAnsi"/>
        </w:rPr>
        <w:t xml:space="preserve"> (PDF format), which contains </w:t>
      </w:r>
    </w:p>
    <w:p w14:paraId="2D173E03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S0</w:t>
      </w:r>
      <w:r w:rsidRPr="000E7629">
        <w:rPr>
          <w:rFonts w:asciiTheme="minorHAnsi" w:hAnsiTheme="minorHAnsi" w:cstheme="minorHAnsi"/>
          <w:sz w:val="22"/>
          <w:szCs w:val="22"/>
        </w:rPr>
        <w:t>. Maternal readmission conditions included in modelling</w:t>
      </w:r>
      <w:r w:rsidRPr="000E7629">
        <w:rPr>
          <w:rFonts w:asciiTheme="minorHAnsi" w:hAnsiTheme="minorHAnsi" w:cstheme="minorHAnsi"/>
          <w:sz w:val="22"/>
          <w:szCs w:val="22"/>
        </w:rPr>
        <w:tab/>
      </w:r>
    </w:p>
    <w:p w14:paraId="6FB2CC55" w14:textId="77777777" w:rsidR="00506BE2" w:rsidRPr="000E7629" w:rsidRDefault="00506BE2" w:rsidP="00506BE2">
      <w:pPr>
        <w:pStyle w:val="ListParagraph"/>
        <w:numPr>
          <w:ilvl w:val="1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S0</w:t>
      </w:r>
      <w:r w:rsidRPr="000E7629">
        <w:rPr>
          <w:rFonts w:asciiTheme="minorHAnsi" w:hAnsiTheme="minorHAnsi" w:cstheme="minorHAnsi"/>
          <w:sz w:val="22"/>
          <w:szCs w:val="22"/>
        </w:rPr>
        <w:t>. Maternal outcome classification, using matrix reported by Chou et al. 2016</w:t>
      </w:r>
    </w:p>
    <w:p w14:paraId="3955D184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S1</w:t>
      </w:r>
      <w:r w:rsidRPr="000E7629">
        <w:rPr>
          <w:rFonts w:asciiTheme="minorHAnsi" w:hAnsiTheme="minorHAnsi" w:cstheme="minorHAnsi"/>
          <w:sz w:val="22"/>
          <w:szCs w:val="22"/>
        </w:rPr>
        <w:t>. Candidate variables used in modelling</w:t>
      </w:r>
    </w:p>
    <w:p w14:paraId="2C537984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S2</w:t>
      </w:r>
      <w:r w:rsidRPr="000E7629">
        <w:rPr>
          <w:rFonts w:asciiTheme="minorHAnsi" w:hAnsiTheme="minorHAnsi" w:cstheme="minorHAnsi"/>
          <w:sz w:val="22"/>
          <w:szCs w:val="22"/>
        </w:rPr>
        <w:t>. Performance metrics across 10 folds of cross-validation in the intermediate model for readmission due to obstetric infections in postpartum women.</w:t>
      </w:r>
    </w:p>
    <w:p w14:paraId="19697826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S3</w:t>
      </w:r>
      <w:r w:rsidRPr="000E7629">
        <w:rPr>
          <w:rFonts w:asciiTheme="minorHAnsi" w:hAnsiTheme="minorHAnsi" w:cstheme="minorHAnsi"/>
          <w:sz w:val="22"/>
          <w:szCs w:val="22"/>
        </w:rPr>
        <w:t>. Average rank of variable importance and the number of times selected in the top eight variables across 10 folds of cross-validation for the intermediate model for readmission due to obstetric infections in postpartum women.</w:t>
      </w:r>
    </w:p>
    <w:p w14:paraId="7E33104F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S4</w:t>
      </w:r>
      <w:r w:rsidRPr="000E7629">
        <w:rPr>
          <w:rFonts w:asciiTheme="minorHAnsi" w:hAnsiTheme="minorHAnsi" w:cstheme="minorHAnsi"/>
          <w:sz w:val="22"/>
          <w:szCs w:val="22"/>
        </w:rPr>
        <w:t>. Coefficients of the final maternal model for readmission due to obstetric infections.</w:t>
      </w:r>
    </w:p>
    <w:p w14:paraId="0805A3FC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S5</w:t>
      </w:r>
      <w:r w:rsidRPr="000E7629">
        <w:rPr>
          <w:rFonts w:asciiTheme="minorHAnsi" w:hAnsiTheme="minorHAnsi" w:cstheme="minorHAnsi"/>
          <w:sz w:val="22"/>
          <w:szCs w:val="22"/>
        </w:rPr>
        <w:t>. Performance metrics across 10 folds of cross-validation in the final maternal model for readmission due to obstetric infections in postpartum women.</w:t>
      </w:r>
    </w:p>
    <w:p w14:paraId="5B70A2A2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S6</w:t>
      </w:r>
      <w:r w:rsidRPr="000E7629">
        <w:rPr>
          <w:rFonts w:asciiTheme="minorHAnsi" w:hAnsiTheme="minorHAnsi" w:cstheme="minorHAnsi"/>
          <w:sz w:val="22"/>
          <w:szCs w:val="22"/>
        </w:rPr>
        <w:t>. Performance metrics across all 100 bootstraps for the intermediate and final multinomial models for newborn readmission and mortality.</w:t>
      </w:r>
    </w:p>
    <w:p w14:paraId="0B1C0183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S7</w:t>
      </w:r>
      <w:r w:rsidRPr="000E7629">
        <w:rPr>
          <w:rFonts w:asciiTheme="minorHAnsi" w:hAnsiTheme="minorHAnsi" w:cstheme="minorHAnsi"/>
          <w:sz w:val="22"/>
          <w:szCs w:val="22"/>
        </w:rPr>
        <w:t>. Average rank of variable importance and number of times selected in the top 8 variables across 100 bootstraps from the intermediate model for newborn readmission or mortality.</w:t>
      </w:r>
    </w:p>
    <w:p w14:paraId="4C72BE34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Table S8</w:t>
      </w:r>
      <w:r w:rsidRPr="000E7629">
        <w:rPr>
          <w:rFonts w:asciiTheme="minorHAnsi" w:hAnsiTheme="minorHAnsi" w:cstheme="minorHAnsi"/>
          <w:sz w:val="22"/>
          <w:szCs w:val="22"/>
        </w:rPr>
        <w:t>. Coefficients of the final newborn multinomial model for readmission or mortality.</w:t>
      </w:r>
    </w:p>
    <w:p w14:paraId="68F7B2E5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Figure S1</w:t>
      </w:r>
      <w:r w:rsidRPr="000E7629">
        <w:rPr>
          <w:rFonts w:asciiTheme="minorHAnsi" w:hAnsiTheme="minorHAnsi" w:cstheme="minorHAnsi"/>
          <w:sz w:val="22"/>
          <w:szCs w:val="22"/>
        </w:rPr>
        <w:t>. Days until post-discharge readmission and care-seeking in postpartum women.</w:t>
      </w:r>
    </w:p>
    <w:p w14:paraId="0196EB83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Figure S2</w:t>
      </w:r>
      <w:r w:rsidRPr="000E7629">
        <w:rPr>
          <w:rFonts w:asciiTheme="minorHAnsi" w:hAnsiTheme="minorHAnsi" w:cstheme="minorHAnsi"/>
          <w:sz w:val="22"/>
          <w:szCs w:val="22"/>
        </w:rPr>
        <w:t>. Days until post-discharge readmission or mortality in newborns.</w:t>
      </w:r>
    </w:p>
    <w:p w14:paraId="15D5BEC9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Figure S3</w:t>
      </w:r>
      <w:r w:rsidRPr="000E7629">
        <w:rPr>
          <w:rFonts w:asciiTheme="minorHAnsi" w:hAnsiTheme="minorHAnsi" w:cstheme="minorHAnsi"/>
          <w:sz w:val="22"/>
          <w:szCs w:val="22"/>
        </w:rPr>
        <w:t>. Performance metrics of the final maternal model for readmission due to obstetric infections in postpartum women on the full dataset.</w:t>
      </w:r>
    </w:p>
    <w:p w14:paraId="4404CF5B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Figure S4</w:t>
      </w:r>
      <w:r w:rsidRPr="000E7629">
        <w:rPr>
          <w:rFonts w:asciiTheme="minorHAnsi" w:hAnsiTheme="minorHAnsi" w:cstheme="minorHAnsi"/>
          <w:sz w:val="22"/>
          <w:szCs w:val="22"/>
        </w:rPr>
        <w:t>. Performance metrics of the final newborn multinomial model for the readmission outcome in newborns on the full dataset.</w:t>
      </w:r>
    </w:p>
    <w:p w14:paraId="0793AD17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t>Figure S5</w:t>
      </w:r>
      <w:r w:rsidRPr="000E7629">
        <w:rPr>
          <w:rFonts w:asciiTheme="minorHAnsi" w:hAnsiTheme="minorHAnsi" w:cstheme="minorHAnsi"/>
          <w:sz w:val="22"/>
          <w:szCs w:val="22"/>
        </w:rPr>
        <w:t>. Performance metrics of the final newborn multinomial model for the death outcome in newborns on the full dataset.</w:t>
      </w:r>
    </w:p>
    <w:p w14:paraId="4764110A" w14:textId="77777777" w:rsidR="00506BE2" w:rsidRPr="000E7629" w:rsidRDefault="00506BE2" w:rsidP="00506BE2">
      <w:pPr>
        <w:pStyle w:val="ListParagraph"/>
        <w:numPr>
          <w:ilvl w:val="0"/>
          <w:numId w:val="1"/>
        </w:numPr>
        <w:spacing w:line="300" w:lineRule="auto"/>
        <w:ind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0E7629">
        <w:rPr>
          <w:rFonts w:asciiTheme="minorHAnsi" w:hAnsiTheme="minorHAnsi" w:cstheme="minorHAnsi"/>
          <w:b/>
          <w:bCs/>
          <w:sz w:val="22"/>
          <w:szCs w:val="22"/>
        </w:rPr>
        <w:lastRenderedPageBreak/>
        <w:t>Figure S6</w:t>
      </w:r>
      <w:r w:rsidRPr="000E7629">
        <w:rPr>
          <w:rFonts w:asciiTheme="minorHAnsi" w:hAnsiTheme="minorHAnsi" w:cstheme="minorHAnsi"/>
          <w:sz w:val="22"/>
          <w:szCs w:val="22"/>
        </w:rPr>
        <w:t>. Distribution of predictor variables selected in the final maternal model for readmission outcome.</w:t>
      </w:r>
    </w:p>
    <w:p w14:paraId="64EE839F" w14:textId="77777777" w:rsidR="00506BE2" w:rsidRPr="0044337C" w:rsidRDefault="00506BE2" w:rsidP="00506BE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44337C">
        <w:rPr>
          <w:rFonts w:asciiTheme="minorHAnsi" w:hAnsiTheme="minorHAnsi" w:cstheme="minorHAnsi"/>
        </w:rPr>
        <w:t xml:space="preserve">ll </w:t>
      </w:r>
      <w:r>
        <w:rPr>
          <w:rFonts w:asciiTheme="minorHAnsi" w:hAnsiTheme="minorHAnsi" w:cstheme="minorHAnsi"/>
        </w:rPr>
        <w:t xml:space="preserve">these </w:t>
      </w:r>
      <w:r w:rsidRPr="0044337C">
        <w:rPr>
          <w:rFonts w:asciiTheme="minorHAnsi" w:hAnsiTheme="minorHAnsi" w:cstheme="minorHAnsi"/>
        </w:rPr>
        <w:t>supplementary materials are cited in the main text</w:t>
      </w:r>
      <w:r>
        <w:rPr>
          <w:rFonts w:asciiTheme="minorHAnsi" w:hAnsiTheme="minorHAnsi" w:cstheme="minorHAnsi"/>
        </w:rPr>
        <w:t xml:space="preserve">, as </w:t>
      </w:r>
      <w:r w:rsidRPr="000E7629">
        <w:rPr>
          <w:rFonts w:asciiTheme="minorHAnsi" w:hAnsiTheme="minorHAnsi" w:cstheme="minorHAnsi"/>
          <w:i/>
          <w:iCs/>
        </w:rPr>
        <w:t>Additional File</w:t>
      </w:r>
      <w:r>
        <w:rPr>
          <w:rFonts w:asciiTheme="minorHAnsi" w:hAnsiTheme="minorHAnsi" w:cstheme="minorHAnsi"/>
        </w:rPr>
        <w:t xml:space="preserve"> (</w:t>
      </w:r>
      <w:r w:rsidRPr="000E7629">
        <w:rPr>
          <w:rFonts w:asciiTheme="minorHAnsi" w:hAnsiTheme="minorHAnsi" w:cstheme="minorHAnsi"/>
          <w:b/>
          <w:bCs/>
        </w:rPr>
        <w:t>Figure S1</w:t>
      </w:r>
      <w:r>
        <w:rPr>
          <w:rFonts w:asciiTheme="minorHAnsi" w:hAnsiTheme="minorHAnsi" w:cstheme="minorHAnsi"/>
        </w:rPr>
        <w:t>), etc.</w:t>
      </w:r>
    </w:p>
    <w:p w14:paraId="78DD876C" w14:textId="77777777" w:rsidR="00DE6AE2" w:rsidRDefault="00DE6AE2"/>
    <w:sectPr w:rsidR="00DE6AE2" w:rsidSect="00506BE2">
      <w:foot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C668B" w14:textId="77777777" w:rsidR="00506BE2" w:rsidRPr="00F56D36" w:rsidRDefault="00506BE2" w:rsidP="00103F85">
    <w:pPr>
      <w:pStyle w:val="Footer"/>
      <w:jc w:val="center"/>
      <w:rPr>
        <w:rFonts w:asciiTheme="minorHAnsi" w:hAnsiTheme="minorHAnsi" w:cstheme="minorHAnsi"/>
        <w:sz w:val="22"/>
        <w:szCs w:val="22"/>
      </w:rPr>
    </w:pPr>
    <w:r w:rsidRPr="00F56D36">
      <w:rPr>
        <w:rFonts w:asciiTheme="minorHAnsi" w:hAnsiTheme="minorHAnsi" w:cstheme="minorHAnsi"/>
        <w:sz w:val="22"/>
        <w:szCs w:val="22"/>
      </w:rPr>
      <w:t xml:space="preserve">Page </w:t>
    </w:r>
    <w:r w:rsidRPr="00F56D36">
      <w:rPr>
        <w:rFonts w:asciiTheme="minorHAnsi" w:hAnsiTheme="minorHAnsi" w:cstheme="minorHAnsi"/>
        <w:sz w:val="22"/>
        <w:szCs w:val="22"/>
      </w:rPr>
      <w:fldChar w:fldCharType="begin"/>
    </w:r>
    <w:r w:rsidRPr="00F56D36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F56D36">
      <w:rPr>
        <w:rFonts w:asciiTheme="minorHAnsi" w:hAnsiTheme="minorHAnsi" w:cstheme="minorHAnsi"/>
        <w:sz w:val="22"/>
        <w:szCs w:val="22"/>
      </w:rPr>
      <w:fldChar w:fldCharType="separate"/>
    </w:r>
    <w:r w:rsidRPr="00F56D36">
      <w:rPr>
        <w:rFonts w:asciiTheme="minorHAnsi" w:hAnsiTheme="minorHAnsi" w:cstheme="minorHAnsi"/>
        <w:noProof/>
        <w:sz w:val="22"/>
        <w:szCs w:val="22"/>
      </w:rPr>
      <w:t>1</w:t>
    </w:r>
    <w:r w:rsidRPr="00F56D36">
      <w:rPr>
        <w:rFonts w:asciiTheme="minorHAnsi" w:hAnsiTheme="minorHAnsi" w:cstheme="minorHAnsi"/>
        <w:sz w:val="22"/>
        <w:szCs w:val="22"/>
      </w:rPr>
      <w:fldChar w:fldCharType="end"/>
    </w:r>
    <w:r w:rsidRPr="00F56D36">
      <w:rPr>
        <w:rFonts w:asciiTheme="minorHAnsi" w:hAnsiTheme="minorHAnsi" w:cstheme="minorHAnsi"/>
        <w:sz w:val="22"/>
        <w:szCs w:val="22"/>
      </w:rPr>
      <w:t xml:space="preserve"> of </w:t>
    </w:r>
    <w:r w:rsidRPr="00F56D36">
      <w:rPr>
        <w:rFonts w:asciiTheme="minorHAnsi" w:hAnsiTheme="minorHAnsi" w:cstheme="minorHAnsi"/>
        <w:sz w:val="22"/>
        <w:szCs w:val="22"/>
      </w:rPr>
      <w:fldChar w:fldCharType="begin"/>
    </w:r>
    <w:r w:rsidRPr="00F56D36">
      <w:rPr>
        <w:rFonts w:asciiTheme="minorHAnsi" w:hAnsiTheme="minorHAnsi" w:cstheme="minorHAnsi"/>
        <w:sz w:val="22"/>
        <w:szCs w:val="22"/>
      </w:rPr>
      <w:instrText xml:space="preserve"> NUMPAGES   \* MERGEFORMAT </w:instrText>
    </w:r>
    <w:r w:rsidRPr="00F56D36">
      <w:rPr>
        <w:rFonts w:asciiTheme="minorHAnsi" w:hAnsiTheme="minorHAnsi" w:cstheme="minorHAnsi"/>
        <w:sz w:val="22"/>
        <w:szCs w:val="22"/>
      </w:rPr>
      <w:fldChar w:fldCharType="separate"/>
    </w:r>
    <w:r w:rsidRPr="00F56D36">
      <w:rPr>
        <w:rFonts w:asciiTheme="minorHAnsi" w:hAnsiTheme="minorHAnsi" w:cstheme="minorHAnsi"/>
        <w:noProof/>
        <w:sz w:val="22"/>
        <w:szCs w:val="22"/>
      </w:rPr>
      <w:t>17</w:t>
    </w:r>
    <w:r w:rsidRPr="00F56D36">
      <w:rPr>
        <w:rFonts w:asciiTheme="minorHAnsi" w:hAnsiTheme="minorHAnsi" w:cstheme="minorHAnsi"/>
        <w:noProof/>
        <w:sz w:val="22"/>
        <w:szCs w:val="22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85347"/>
    <w:multiLevelType w:val="hybridMultilevel"/>
    <w:tmpl w:val="3762160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5493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E2"/>
    <w:rsid w:val="00195413"/>
    <w:rsid w:val="003A03A7"/>
    <w:rsid w:val="003D0186"/>
    <w:rsid w:val="004B3E90"/>
    <w:rsid w:val="00506BE2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659D4"/>
  <w15:chartTrackingRefBased/>
  <w15:docId w15:val="{A24A0826-C7D1-42FD-B8EF-6CC50A4A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BE2"/>
    <w:pPr>
      <w:spacing w:after="120" w:line="480" w:lineRule="auto"/>
    </w:pPr>
    <w:rPr>
      <w:rFonts w:ascii="Times New Roman" w:hAnsi="Times New Roman" w:cs="Times New Roman"/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B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B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B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B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B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B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B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B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B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B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BE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06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BE2"/>
    <w:rPr>
      <w:rFonts w:ascii="Times New Roman" w:hAnsi="Times New Roman" w:cs="Times New Roman"/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>Springer Nature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2026-10-07T06:57:00Z</dcterms:created>
  <dcterms:modified xsi:type="dcterms:W3CDTF">2026-10-07T06:57:00Z</dcterms:modified>
</cp:coreProperties>
</file>