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8B7F1">
      <w:pPr>
        <w:jc w:val="center"/>
        <w:rPr>
          <w:rFonts w:hint="eastAsia" w:eastAsia="宋体"/>
          <w:lang w:eastAsia="zh-CN"/>
        </w:rPr>
      </w:pPr>
      <w:r>
        <w:rPr>
          <w:rFonts w:ascii="Times New Roman" w:hAnsi="Times New Roman" w:eastAsia="Times New Roman"/>
          <w:b/>
          <w:i w:val="0"/>
          <w:sz w:val="30"/>
        </w:rPr>
        <w:t>Additional file</w:t>
      </w:r>
      <w:r>
        <w:rPr>
          <w:rFonts w:hint="eastAsia" w:eastAsia="宋体"/>
          <w:b/>
          <w:i w:val="0"/>
          <w:sz w:val="30"/>
          <w:lang w:val="en-US" w:eastAsia="zh-CN"/>
        </w:rPr>
        <w:t>s</w:t>
      </w:r>
      <w:bookmarkStart w:id="0" w:name="_GoBack"/>
      <w:bookmarkEnd w:id="0"/>
    </w:p>
    <w:p w14:paraId="4A889E62">
      <w:pPr>
        <w:jc w:val="center"/>
      </w:pPr>
      <w:r>
        <w:rPr>
          <w:rFonts w:ascii="Times New Roman" w:hAnsi="Times New Roman" w:eastAsia="Times New Roman"/>
          <w:b w:val="0"/>
          <w:i/>
          <w:sz w:val="20"/>
        </w:rPr>
        <w:t>Supplementary Tables S1-S5 for: Evolving burden of falls and fall-related fractures in China, 1990-2023, with projections to 2035: GBD 2023 estimates and the individual-level cascade to disability in CHARLS</w:t>
      </w:r>
    </w:p>
    <w:p w14:paraId="4F430EC6">
      <w:pPr>
        <w:spacing w:after="200"/>
      </w:pPr>
      <w:r>
        <w:rPr>
          <w:rFonts w:ascii="Times New Roman" w:hAnsi="Times New Roman" w:eastAsia="Times New Roman"/>
          <w:b w:val="0"/>
          <w:i w:val="0"/>
          <w:sz w:val="20"/>
        </w:rPr>
        <w:t>This file contains the five supplementary tables (S1-S5) cited in the main manuscript. Table S1 reports extended-adjustment and endpoint-wave sensitivity analyses; Table S2 the ARIMA specification, weighting, inverse-probability and attrition checks; Table S3 the walking sub-sample comparison; Table S4 the GBD nature-of-injury code mapping; and Table S5 the three-domain Das-Gupta decomposition. All figures are produced by the same analysis code and source tables as the main manuscript.</w:t>
      </w:r>
    </w:p>
    <w:p w14:paraId="19E0D8A3">
      <w:pPr>
        <w:keepNext/>
        <w:spacing w:before="8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sz w:val="20"/>
        </w:rPr>
        <w:t xml:space="preserve">Table S1. </w:t>
      </w:r>
      <w:r>
        <w:rPr>
          <w:rFonts w:ascii="Times New Roman" w:hAnsi="Times New Roman" w:eastAsia="Times New Roman"/>
          <w:b w:val="0"/>
          <w:i w:val="0"/>
          <w:sz w:val="20"/>
        </w:rPr>
        <w:t>Sensitivity analyses for the CHARLS longitudinal associations. Panel A compares the primary adjustment (age, sex, urban residence, BMI) with an extended adjustment that adds linked education, smoking and alcohol use. Panel B estimates each association with the endpoint restricted to the 2018 or the 2020 wave separately.</w:t>
      </w:r>
    </w:p>
    <w:p w14:paraId="1C03DF3A">
      <w:pPr>
        <w:keepNext/>
        <w:spacing w:after="40" w:line="360" w:lineRule="auto"/>
      </w:pPr>
      <w:r>
        <w:rPr>
          <w:rFonts w:ascii="Times New Roman" w:hAnsi="Times New Roman" w:eastAsia="Times New Roman"/>
          <w:b/>
          <w:i w:val="0"/>
          <w:sz w:val="19"/>
        </w:rPr>
        <w:t>Panel A. Primary versus extended adjustment for the three consensus performance cut-points.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872"/>
        <w:gridCol w:w="1872"/>
        <w:gridCol w:w="1872"/>
        <w:gridCol w:w="1872"/>
      </w:tblGrid>
      <w:tr w14:paraId="7DD3B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872" w:type="dxa"/>
            <w:shd w:val="clear" w:color="auto" w:fill="1F4E79"/>
          </w:tcPr>
          <w:p w14:paraId="40DB1C92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Outcome</w:t>
            </w:r>
          </w:p>
        </w:tc>
        <w:tc>
          <w:tcPr>
            <w:tcW w:w="1872" w:type="dxa"/>
            <w:shd w:val="clear" w:color="auto" w:fill="1F4E79"/>
          </w:tcPr>
          <w:p w14:paraId="1AB400F9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Exposure</w:t>
            </w:r>
          </w:p>
        </w:tc>
        <w:tc>
          <w:tcPr>
            <w:tcW w:w="1872" w:type="dxa"/>
            <w:shd w:val="clear" w:color="auto" w:fill="1F4E79"/>
          </w:tcPr>
          <w:p w14:paraId="24161C5F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Primary adjusted OR (95%CI)</w:t>
            </w:r>
          </w:p>
        </w:tc>
        <w:tc>
          <w:tcPr>
            <w:tcW w:w="1872" w:type="dxa"/>
            <w:shd w:val="clear" w:color="auto" w:fill="1F4E79"/>
          </w:tcPr>
          <w:p w14:paraId="5C07676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Extended adjusted OR (95%CI)</w:t>
            </w:r>
          </w:p>
        </w:tc>
        <w:tc>
          <w:tcPr>
            <w:tcW w:w="1872" w:type="dxa"/>
            <w:shd w:val="clear" w:color="auto" w:fill="1F4E79"/>
          </w:tcPr>
          <w:p w14:paraId="1A1A83ED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N</w:t>
            </w:r>
          </w:p>
        </w:tc>
      </w:tr>
      <w:tr w14:paraId="65E57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</w:tcPr>
          <w:p w14:paraId="7A9CC06C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fall</w:t>
            </w:r>
          </w:p>
        </w:tc>
        <w:tc>
          <w:tcPr>
            <w:tcW w:w="1872" w:type="dxa"/>
          </w:tcPr>
          <w:p w14:paraId="29E429E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Low grip</w:t>
            </w:r>
          </w:p>
        </w:tc>
        <w:tc>
          <w:tcPr>
            <w:tcW w:w="1872" w:type="dxa"/>
          </w:tcPr>
          <w:p w14:paraId="0CCC253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1.22 (0.97-1.55)</w:t>
            </w:r>
          </w:p>
        </w:tc>
        <w:tc>
          <w:tcPr>
            <w:tcW w:w="1872" w:type="dxa"/>
          </w:tcPr>
          <w:p w14:paraId="637CFC33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1.23 (0.99-1.53)</w:t>
            </w:r>
          </w:p>
        </w:tc>
        <w:tc>
          <w:tcPr>
            <w:tcW w:w="1872" w:type="dxa"/>
          </w:tcPr>
          <w:p w14:paraId="55AD665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11,355</w:t>
            </w:r>
          </w:p>
        </w:tc>
      </w:tr>
      <w:tr w14:paraId="71C72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  <w:shd w:val="clear" w:color="auto" w:fill="EEF3F8"/>
          </w:tcPr>
          <w:p w14:paraId="7C68A8AD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fall</w:t>
            </w:r>
          </w:p>
        </w:tc>
        <w:tc>
          <w:tcPr>
            <w:tcW w:w="1872" w:type="dxa"/>
            <w:shd w:val="clear" w:color="auto" w:fill="EEF3F8"/>
          </w:tcPr>
          <w:p w14:paraId="19A504D9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Slow gait</w:t>
            </w:r>
          </w:p>
        </w:tc>
        <w:tc>
          <w:tcPr>
            <w:tcW w:w="1872" w:type="dxa"/>
            <w:shd w:val="clear" w:color="auto" w:fill="EEF3F8"/>
          </w:tcPr>
          <w:p w14:paraId="46FBD2A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1.02 (0.78-1.33)</w:t>
            </w:r>
          </w:p>
        </w:tc>
        <w:tc>
          <w:tcPr>
            <w:tcW w:w="1872" w:type="dxa"/>
            <w:shd w:val="clear" w:color="auto" w:fill="EEF3F8"/>
          </w:tcPr>
          <w:p w14:paraId="2BA4959E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1.00 (0.77-1.29)</w:t>
            </w:r>
          </w:p>
        </w:tc>
        <w:tc>
          <w:tcPr>
            <w:tcW w:w="1872" w:type="dxa"/>
            <w:shd w:val="clear" w:color="auto" w:fill="EEF3F8"/>
          </w:tcPr>
          <w:p w14:paraId="673D54D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5,540</w:t>
            </w:r>
          </w:p>
        </w:tc>
      </w:tr>
      <w:tr w14:paraId="7A855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</w:tcPr>
          <w:p w14:paraId="2B84CDDF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fall</w:t>
            </w:r>
          </w:p>
        </w:tc>
        <w:tc>
          <w:tcPr>
            <w:tcW w:w="1872" w:type="dxa"/>
          </w:tcPr>
          <w:p w14:paraId="1B77906C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Slow chair-stand</w:t>
            </w:r>
          </w:p>
        </w:tc>
        <w:tc>
          <w:tcPr>
            <w:tcW w:w="1872" w:type="dxa"/>
          </w:tcPr>
          <w:p w14:paraId="001C3A7A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1.15 (0.98-1.36)</w:t>
            </w:r>
          </w:p>
        </w:tc>
        <w:tc>
          <w:tcPr>
            <w:tcW w:w="1872" w:type="dxa"/>
          </w:tcPr>
          <w:p w14:paraId="3712F3BE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1.16 (0.99-1.35)</w:t>
            </w:r>
          </w:p>
        </w:tc>
        <w:tc>
          <w:tcPr>
            <w:tcW w:w="1872" w:type="dxa"/>
          </w:tcPr>
          <w:p w14:paraId="7D3CAF1C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11,051</w:t>
            </w:r>
          </w:p>
        </w:tc>
      </w:tr>
      <w:tr w14:paraId="05BBB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  <w:shd w:val="clear" w:color="auto" w:fill="EEF3F8"/>
          </w:tcPr>
          <w:p w14:paraId="519CB5B5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hip fracture</w:t>
            </w:r>
          </w:p>
        </w:tc>
        <w:tc>
          <w:tcPr>
            <w:tcW w:w="1872" w:type="dxa"/>
            <w:shd w:val="clear" w:color="auto" w:fill="EEF3F8"/>
          </w:tcPr>
          <w:p w14:paraId="55160771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Low grip</w:t>
            </w:r>
          </w:p>
        </w:tc>
        <w:tc>
          <w:tcPr>
            <w:tcW w:w="1872" w:type="dxa"/>
            <w:shd w:val="clear" w:color="auto" w:fill="EEF3F8"/>
          </w:tcPr>
          <w:p w14:paraId="29F628E2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1.28 (0.72-2.29)</w:t>
            </w:r>
          </w:p>
        </w:tc>
        <w:tc>
          <w:tcPr>
            <w:tcW w:w="1872" w:type="dxa"/>
            <w:shd w:val="clear" w:color="auto" w:fill="EEF3F8"/>
          </w:tcPr>
          <w:p w14:paraId="597B397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1.33 (0.81-2.19)</w:t>
            </w:r>
          </w:p>
        </w:tc>
        <w:tc>
          <w:tcPr>
            <w:tcW w:w="1872" w:type="dxa"/>
            <w:shd w:val="clear" w:color="auto" w:fill="EEF3F8"/>
          </w:tcPr>
          <w:p w14:paraId="1749B6F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11,355</w:t>
            </w:r>
          </w:p>
        </w:tc>
      </w:tr>
      <w:tr w14:paraId="16C3C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</w:tcPr>
          <w:p w14:paraId="511CD81F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hip fracture</w:t>
            </w:r>
          </w:p>
        </w:tc>
        <w:tc>
          <w:tcPr>
            <w:tcW w:w="1872" w:type="dxa"/>
          </w:tcPr>
          <w:p w14:paraId="6FFE0462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Slow gait</w:t>
            </w:r>
          </w:p>
        </w:tc>
        <w:tc>
          <w:tcPr>
            <w:tcW w:w="1872" w:type="dxa"/>
          </w:tcPr>
          <w:p w14:paraId="2B0DF5BC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0.83 (0.37-1.82)</w:t>
            </w:r>
          </w:p>
        </w:tc>
        <w:tc>
          <w:tcPr>
            <w:tcW w:w="1872" w:type="dxa"/>
          </w:tcPr>
          <w:p w14:paraId="6032545A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0.88 (0.46-1.68)</w:t>
            </w:r>
          </w:p>
        </w:tc>
        <w:tc>
          <w:tcPr>
            <w:tcW w:w="1872" w:type="dxa"/>
          </w:tcPr>
          <w:p w14:paraId="19C7F874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5,540</w:t>
            </w:r>
          </w:p>
        </w:tc>
      </w:tr>
      <w:tr w14:paraId="3C79D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  <w:shd w:val="clear" w:color="auto" w:fill="EEF3F8"/>
          </w:tcPr>
          <w:p w14:paraId="4E0127B7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hip fracture</w:t>
            </w:r>
          </w:p>
        </w:tc>
        <w:tc>
          <w:tcPr>
            <w:tcW w:w="1872" w:type="dxa"/>
            <w:shd w:val="clear" w:color="auto" w:fill="EEF3F8"/>
          </w:tcPr>
          <w:p w14:paraId="29A053C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Slow chair-stand</w:t>
            </w:r>
          </w:p>
        </w:tc>
        <w:tc>
          <w:tcPr>
            <w:tcW w:w="1872" w:type="dxa"/>
            <w:shd w:val="clear" w:color="auto" w:fill="EEF3F8"/>
          </w:tcPr>
          <w:p w14:paraId="1472A1C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0.94 (0.52-1.73)</w:t>
            </w:r>
          </w:p>
        </w:tc>
        <w:tc>
          <w:tcPr>
            <w:tcW w:w="1872" w:type="dxa"/>
            <w:shd w:val="clear" w:color="auto" w:fill="EEF3F8"/>
          </w:tcPr>
          <w:p w14:paraId="62D41E8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0.98 (0.58-1.65)</w:t>
            </w:r>
          </w:p>
        </w:tc>
        <w:tc>
          <w:tcPr>
            <w:tcW w:w="1872" w:type="dxa"/>
            <w:shd w:val="clear" w:color="auto" w:fill="EEF3F8"/>
          </w:tcPr>
          <w:p w14:paraId="6D295550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11,051</w:t>
            </w:r>
          </w:p>
        </w:tc>
      </w:tr>
      <w:tr w14:paraId="5D563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</w:tcPr>
          <w:p w14:paraId="27F150FB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BADL disability</w:t>
            </w:r>
          </w:p>
        </w:tc>
        <w:tc>
          <w:tcPr>
            <w:tcW w:w="1872" w:type="dxa"/>
          </w:tcPr>
          <w:p w14:paraId="10D10B8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Low grip</w:t>
            </w:r>
          </w:p>
        </w:tc>
        <w:tc>
          <w:tcPr>
            <w:tcW w:w="1872" w:type="dxa"/>
          </w:tcPr>
          <w:p w14:paraId="04FD09B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1.53 (1.07-2.17)</w:t>
            </w:r>
          </w:p>
        </w:tc>
        <w:tc>
          <w:tcPr>
            <w:tcW w:w="1872" w:type="dxa"/>
          </w:tcPr>
          <w:p w14:paraId="1675CC24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1.52 (1.09-2.11)</w:t>
            </w:r>
          </w:p>
        </w:tc>
        <w:tc>
          <w:tcPr>
            <w:tcW w:w="1872" w:type="dxa"/>
          </w:tcPr>
          <w:p w14:paraId="15B9951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9,598</w:t>
            </w:r>
          </w:p>
        </w:tc>
      </w:tr>
      <w:tr w14:paraId="41562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  <w:shd w:val="clear" w:color="auto" w:fill="EEF3F8"/>
          </w:tcPr>
          <w:p w14:paraId="291AA65A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BADL disability</w:t>
            </w:r>
          </w:p>
        </w:tc>
        <w:tc>
          <w:tcPr>
            <w:tcW w:w="1872" w:type="dxa"/>
            <w:shd w:val="clear" w:color="auto" w:fill="EEF3F8"/>
          </w:tcPr>
          <w:p w14:paraId="448BD0F0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Slow gait</w:t>
            </w:r>
          </w:p>
        </w:tc>
        <w:tc>
          <w:tcPr>
            <w:tcW w:w="1872" w:type="dxa"/>
            <w:shd w:val="clear" w:color="auto" w:fill="EEF3F8"/>
          </w:tcPr>
          <w:p w14:paraId="4949E87E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1.16 (0.93-1.45)</w:t>
            </w:r>
          </w:p>
        </w:tc>
        <w:tc>
          <w:tcPr>
            <w:tcW w:w="1872" w:type="dxa"/>
            <w:shd w:val="clear" w:color="auto" w:fill="EEF3F8"/>
          </w:tcPr>
          <w:p w14:paraId="497B51CD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1.14 (0.92-1.42)</w:t>
            </w:r>
          </w:p>
        </w:tc>
        <w:tc>
          <w:tcPr>
            <w:tcW w:w="1872" w:type="dxa"/>
            <w:shd w:val="clear" w:color="auto" w:fill="EEF3F8"/>
          </w:tcPr>
          <w:p w14:paraId="2E2F2C13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4,420</w:t>
            </w:r>
          </w:p>
        </w:tc>
      </w:tr>
      <w:tr w14:paraId="2863B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</w:tcPr>
          <w:p w14:paraId="041D9A13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BADL disability</w:t>
            </w:r>
          </w:p>
        </w:tc>
        <w:tc>
          <w:tcPr>
            <w:tcW w:w="1872" w:type="dxa"/>
          </w:tcPr>
          <w:p w14:paraId="77E1680A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Slow chair-stand</w:t>
            </w:r>
          </w:p>
        </w:tc>
        <w:tc>
          <w:tcPr>
            <w:tcW w:w="1872" w:type="dxa"/>
          </w:tcPr>
          <w:p w14:paraId="73D41F6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1.78 (1.41-2.23)</w:t>
            </w:r>
          </w:p>
        </w:tc>
        <w:tc>
          <w:tcPr>
            <w:tcW w:w="1872" w:type="dxa"/>
          </w:tcPr>
          <w:p w14:paraId="015A86FA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1.76 (1.41-2.20)</w:t>
            </w:r>
          </w:p>
        </w:tc>
        <w:tc>
          <w:tcPr>
            <w:tcW w:w="1872" w:type="dxa"/>
          </w:tcPr>
          <w:p w14:paraId="3672E89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9,466</w:t>
            </w:r>
          </w:p>
        </w:tc>
      </w:tr>
    </w:tbl>
    <w:p w14:paraId="5075F4BC">
      <w:pPr>
        <w:spacing w:after="120" w:line="360" w:lineRule="auto"/>
      </w:pPr>
      <w:r>
        <w:rPr>
          <w:rFonts w:ascii="Times New Roman" w:hAnsi="Times New Roman" w:eastAsia="Times New Roman"/>
          <w:b w:val="0"/>
          <w:i/>
          <w:sz w:val="17"/>
        </w:rPr>
        <w:t>The primary model adjusts for age, sex, urban residence and BMI; the extended model additionally adjusts for linked educational attainment (three levels plus an unlinked category; education could be linked to the 2013 wave for 71% of the cohort), current smoking and current alcohol use. Effective N is identical across the two specifications.</w:t>
      </w:r>
    </w:p>
    <w:p w14:paraId="3F09959C">
      <w:pPr>
        <w:keepNext/>
        <w:spacing w:after="40" w:line="360" w:lineRule="auto"/>
      </w:pPr>
      <w:r>
        <w:rPr>
          <w:rFonts w:ascii="Times New Roman" w:hAnsi="Times New Roman" w:eastAsia="Times New Roman"/>
          <w:b/>
          <w:i w:val="0"/>
          <w:sz w:val="19"/>
        </w:rPr>
        <w:t>Panel B. Endpoint-wave sensitivity: associations at the 2018 (three-year) and 2020 (five-year) follow-up, estimated separately.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872"/>
        <w:gridCol w:w="1872"/>
        <w:gridCol w:w="1872"/>
        <w:gridCol w:w="1872"/>
      </w:tblGrid>
      <w:tr w14:paraId="161E4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blHeader/>
          <w:jc w:val="center"/>
        </w:trPr>
        <w:tc>
          <w:tcPr>
            <w:tcW w:w="1872" w:type="dxa"/>
            <w:shd w:val="clear" w:color="auto" w:fill="1F4E79"/>
          </w:tcPr>
          <w:p w14:paraId="23DF6B4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Endpoint (horizon)</w:t>
            </w:r>
          </w:p>
        </w:tc>
        <w:tc>
          <w:tcPr>
            <w:tcW w:w="1872" w:type="dxa"/>
            <w:shd w:val="clear" w:color="auto" w:fill="1F4E79"/>
          </w:tcPr>
          <w:p w14:paraId="280A366E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Exposure</w:t>
            </w:r>
          </w:p>
        </w:tc>
        <w:tc>
          <w:tcPr>
            <w:tcW w:w="1872" w:type="dxa"/>
            <w:shd w:val="clear" w:color="auto" w:fill="1F4E79"/>
          </w:tcPr>
          <w:p w14:paraId="58070715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Adjusted OR (95%CI)</w:t>
            </w:r>
          </w:p>
        </w:tc>
        <w:tc>
          <w:tcPr>
            <w:tcW w:w="1872" w:type="dxa"/>
            <w:shd w:val="clear" w:color="auto" w:fill="1F4E79"/>
          </w:tcPr>
          <w:p w14:paraId="02A4288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P</w:t>
            </w:r>
          </w:p>
        </w:tc>
        <w:tc>
          <w:tcPr>
            <w:tcW w:w="1872" w:type="dxa"/>
            <w:shd w:val="clear" w:color="auto" w:fill="1F4E79"/>
          </w:tcPr>
          <w:p w14:paraId="641E6CDC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N</w:t>
            </w:r>
          </w:p>
        </w:tc>
      </w:tr>
      <w:tr w14:paraId="053A2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</w:tcPr>
          <w:p w14:paraId="1ABA199E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Fall by 2018 (3y)</w:t>
            </w:r>
          </w:p>
        </w:tc>
        <w:tc>
          <w:tcPr>
            <w:tcW w:w="1872" w:type="dxa"/>
          </w:tcPr>
          <w:p w14:paraId="14264E2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Low grip</w:t>
            </w:r>
          </w:p>
        </w:tc>
        <w:tc>
          <w:tcPr>
            <w:tcW w:w="1872" w:type="dxa"/>
          </w:tcPr>
          <w:p w14:paraId="2E8BC07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1.29 (1.05-1.59)</w:t>
            </w:r>
          </w:p>
        </w:tc>
        <w:tc>
          <w:tcPr>
            <w:tcW w:w="1872" w:type="dxa"/>
          </w:tcPr>
          <w:p w14:paraId="3C9E6A94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0.016</w:t>
            </w:r>
          </w:p>
        </w:tc>
        <w:tc>
          <w:tcPr>
            <w:tcW w:w="1872" w:type="dxa"/>
          </w:tcPr>
          <w:p w14:paraId="299F4363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10,781</w:t>
            </w:r>
          </w:p>
        </w:tc>
      </w:tr>
      <w:tr w14:paraId="42A00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  <w:shd w:val="clear" w:color="auto" w:fill="EEF3F8"/>
          </w:tcPr>
          <w:p w14:paraId="108CFFE6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Fall by 2020 (5y)</w:t>
            </w:r>
          </w:p>
        </w:tc>
        <w:tc>
          <w:tcPr>
            <w:tcW w:w="1872" w:type="dxa"/>
            <w:shd w:val="clear" w:color="auto" w:fill="EEF3F8"/>
          </w:tcPr>
          <w:p w14:paraId="454C0795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Low grip</w:t>
            </w:r>
          </w:p>
        </w:tc>
        <w:tc>
          <w:tcPr>
            <w:tcW w:w="1872" w:type="dxa"/>
            <w:shd w:val="clear" w:color="auto" w:fill="EEF3F8"/>
          </w:tcPr>
          <w:p w14:paraId="6AF91882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1.22 (0.90-1.65)</w:t>
            </w:r>
          </w:p>
        </w:tc>
        <w:tc>
          <w:tcPr>
            <w:tcW w:w="1872" w:type="dxa"/>
            <w:shd w:val="clear" w:color="auto" w:fill="EEF3F8"/>
          </w:tcPr>
          <w:p w14:paraId="7232936A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0.203</w:t>
            </w:r>
          </w:p>
        </w:tc>
        <w:tc>
          <w:tcPr>
            <w:tcW w:w="1872" w:type="dxa"/>
            <w:shd w:val="clear" w:color="auto" w:fill="EEF3F8"/>
          </w:tcPr>
          <w:p w14:paraId="399B5292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10,500</w:t>
            </w:r>
          </w:p>
        </w:tc>
      </w:tr>
      <w:tr w14:paraId="495AE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</w:tcPr>
          <w:p w14:paraId="65019757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Fall by 2018 (3y)</w:t>
            </w:r>
          </w:p>
        </w:tc>
        <w:tc>
          <w:tcPr>
            <w:tcW w:w="1872" w:type="dxa"/>
          </w:tcPr>
          <w:p w14:paraId="5B2009D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Slow chair-stand</w:t>
            </w:r>
          </w:p>
        </w:tc>
        <w:tc>
          <w:tcPr>
            <w:tcW w:w="1872" w:type="dxa"/>
          </w:tcPr>
          <w:p w14:paraId="3DDC9BC2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1.33 (1.13-1.56)</w:t>
            </w:r>
          </w:p>
        </w:tc>
        <w:tc>
          <w:tcPr>
            <w:tcW w:w="1872" w:type="dxa"/>
          </w:tcPr>
          <w:p w14:paraId="79FDB44E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&lt;0.001</w:t>
            </w:r>
          </w:p>
        </w:tc>
        <w:tc>
          <w:tcPr>
            <w:tcW w:w="1872" w:type="dxa"/>
          </w:tcPr>
          <w:p w14:paraId="67852C23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10,495</w:t>
            </w:r>
          </w:p>
        </w:tc>
      </w:tr>
      <w:tr w14:paraId="1AE29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  <w:shd w:val="clear" w:color="auto" w:fill="EEF3F8"/>
          </w:tcPr>
          <w:p w14:paraId="50B130FF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Fall by 2020 (5y)</w:t>
            </w:r>
          </w:p>
        </w:tc>
        <w:tc>
          <w:tcPr>
            <w:tcW w:w="1872" w:type="dxa"/>
            <w:shd w:val="clear" w:color="auto" w:fill="EEF3F8"/>
          </w:tcPr>
          <w:p w14:paraId="5FFF0D7C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Slow chair-stand</w:t>
            </w:r>
          </w:p>
        </w:tc>
        <w:tc>
          <w:tcPr>
            <w:tcW w:w="1872" w:type="dxa"/>
            <w:shd w:val="clear" w:color="auto" w:fill="EEF3F8"/>
          </w:tcPr>
          <w:p w14:paraId="24AA3720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1.05 (0.83-1.34)</w:t>
            </w:r>
          </w:p>
        </w:tc>
        <w:tc>
          <w:tcPr>
            <w:tcW w:w="1872" w:type="dxa"/>
            <w:shd w:val="clear" w:color="auto" w:fill="EEF3F8"/>
          </w:tcPr>
          <w:p w14:paraId="4F616051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0.662</w:t>
            </w:r>
          </w:p>
        </w:tc>
        <w:tc>
          <w:tcPr>
            <w:tcW w:w="1872" w:type="dxa"/>
            <w:shd w:val="clear" w:color="auto" w:fill="EEF3F8"/>
          </w:tcPr>
          <w:p w14:paraId="3E60060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10,254</w:t>
            </w:r>
          </w:p>
        </w:tc>
      </w:tr>
      <w:tr w14:paraId="11DD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</w:tcPr>
          <w:p w14:paraId="2517B537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BADL by 2018 (3y)</w:t>
            </w:r>
          </w:p>
        </w:tc>
        <w:tc>
          <w:tcPr>
            <w:tcW w:w="1872" w:type="dxa"/>
          </w:tcPr>
          <w:p w14:paraId="4FF5562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Low grip</w:t>
            </w:r>
          </w:p>
        </w:tc>
        <w:tc>
          <w:tcPr>
            <w:tcW w:w="1872" w:type="dxa"/>
          </w:tcPr>
          <w:p w14:paraId="5B4EA27C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1.46 (1.08-1.97)</w:t>
            </w:r>
          </w:p>
        </w:tc>
        <w:tc>
          <w:tcPr>
            <w:tcW w:w="1872" w:type="dxa"/>
          </w:tcPr>
          <w:p w14:paraId="2189FF1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0.014</w:t>
            </w:r>
          </w:p>
        </w:tc>
        <w:tc>
          <w:tcPr>
            <w:tcW w:w="1872" w:type="dxa"/>
          </w:tcPr>
          <w:p w14:paraId="12C334B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9,105</w:t>
            </w:r>
          </w:p>
        </w:tc>
      </w:tr>
      <w:tr w14:paraId="5D494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  <w:shd w:val="clear" w:color="auto" w:fill="EEF3F8"/>
          </w:tcPr>
          <w:p w14:paraId="322DB28A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BADL by 2020 (5y)</w:t>
            </w:r>
          </w:p>
        </w:tc>
        <w:tc>
          <w:tcPr>
            <w:tcW w:w="1872" w:type="dxa"/>
            <w:shd w:val="clear" w:color="auto" w:fill="EEF3F8"/>
          </w:tcPr>
          <w:p w14:paraId="6915A613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Low grip</w:t>
            </w:r>
          </w:p>
        </w:tc>
        <w:tc>
          <w:tcPr>
            <w:tcW w:w="1872" w:type="dxa"/>
            <w:shd w:val="clear" w:color="auto" w:fill="EEF3F8"/>
          </w:tcPr>
          <w:p w14:paraId="4A12D7A5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1.33 (0.90-1.98)</w:t>
            </w:r>
          </w:p>
        </w:tc>
        <w:tc>
          <w:tcPr>
            <w:tcW w:w="1872" w:type="dxa"/>
            <w:shd w:val="clear" w:color="auto" w:fill="EEF3F8"/>
          </w:tcPr>
          <w:p w14:paraId="7AC4E04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0.154</w:t>
            </w:r>
          </w:p>
        </w:tc>
        <w:tc>
          <w:tcPr>
            <w:tcW w:w="1872" w:type="dxa"/>
            <w:shd w:val="clear" w:color="auto" w:fill="EEF3F8"/>
          </w:tcPr>
          <w:p w14:paraId="330BA4A0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8,921</w:t>
            </w:r>
          </w:p>
        </w:tc>
      </w:tr>
      <w:tr w14:paraId="753BA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</w:tcPr>
          <w:p w14:paraId="357B2797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BADL by 2018 (3y)</w:t>
            </w:r>
          </w:p>
        </w:tc>
        <w:tc>
          <w:tcPr>
            <w:tcW w:w="1872" w:type="dxa"/>
          </w:tcPr>
          <w:p w14:paraId="044201E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Slow gait</w:t>
            </w:r>
          </w:p>
        </w:tc>
        <w:tc>
          <w:tcPr>
            <w:tcW w:w="1872" w:type="dxa"/>
          </w:tcPr>
          <w:p w14:paraId="48552CFA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1.23 (0.89-1.70)</w:t>
            </w:r>
          </w:p>
        </w:tc>
        <w:tc>
          <w:tcPr>
            <w:tcW w:w="1872" w:type="dxa"/>
          </w:tcPr>
          <w:p w14:paraId="206F67C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0.205</w:t>
            </w:r>
          </w:p>
        </w:tc>
        <w:tc>
          <w:tcPr>
            <w:tcW w:w="1872" w:type="dxa"/>
          </w:tcPr>
          <w:p w14:paraId="13E0CFD4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4,210</w:t>
            </w:r>
          </w:p>
        </w:tc>
      </w:tr>
      <w:tr w14:paraId="5E16A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  <w:shd w:val="clear" w:color="auto" w:fill="EEF3F8"/>
          </w:tcPr>
          <w:p w14:paraId="01192D6D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BADL by 2020 (5y)</w:t>
            </w:r>
          </w:p>
        </w:tc>
        <w:tc>
          <w:tcPr>
            <w:tcW w:w="1872" w:type="dxa"/>
            <w:shd w:val="clear" w:color="auto" w:fill="EEF3F8"/>
          </w:tcPr>
          <w:p w14:paraId="07A965A0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Slow gait</w:t>
            </w:r>
          </w:p>
        </w:tc>
        <w:tc>
          <w:tcPr>
            <w:tcW w:w="1872" w:type="dxa"/>
            <w:shd w:val="clear" w:color="auto" w:fill="EEF3F8"/>
          </w:tcPr>
          <w:p w14:paraId="7829A864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1.13 (0.90-1.42)</w:t>
            </w:r>
          </w:p>
        </w:tc>
        <w:tc>
          <w:tcPr>
            <w:tcW w:w="1872" w:type="dxa"/>
            <w:shd w:val="clear" w:color="auto" w:fill="EEF3F8"/>
          </w:tcPr>
          <w:p w14:paraId="33F05ABD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0.299</w:t>
            </w:r>
          </w:p>
        </w:tc>
        <w:tc>
          <w:tcPr>
            <w:tcW w:w="1872" w:type="dxa"/>
            <w:shd w:val="clear" w:color="auto" w:fill="EEF3F8"/>
          </w:tcPr>
          <w:p w14:paraId="3A8A138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4,066</w:t>
            </w:r>
          </w:p>
        </w:tc>
      </w:tr>
      <w:tr w14:paraId="60782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</w:tcPr>
          <w:p w14:paraId="766E4617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BADL by 2018 (3y)</w:t>
            </w:r>
          </w:p>
        </w:tc>
        <w:tc>
          <w:tcPr>
            <w:tcW w:w="1872" w:type="dxa"/>
          </w:tcPr>
          <w:p w14:paraId="210F99C3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Slow chair-stand</w:t>
            </w:r>
          </w:p>
        </w:tc>
        <w:tc>
          <w:tcPr>
            <w:tcW w:w="1872" w:type="dxa"/>
          </w:tcPr>
          <w:p w14:paraId="325DF98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2.00 (1.53-2.63)</w:t>
            </w:r>
          </w:p>
        </w:tc>
        <w:tc>
          <w:tcPr>
            <w:tcW w:w="1872" w:type="dxa"/>
          </w:tcPr>
          <w:p w14:paraId="61F6BF5F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&lt;0.001</w:t>
            </w:r>
          </w:p>
        </w:tc>
        <w:tc>
          <w:tcPr>
            <w:tcW w:w="1872" w:type="dxa"/>
          </w:tcPr>
          <w:p w14:paraId="33333CC9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8,983</w:t>
            </w:r>
          </w:p>
        </w:tc>
      </w:tr>
      <w:tr w14:paraId="39E96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  <w:shd w:val="clear" w:color="auto" w:fill="EEF3F8"/>
          </w:tcPr>
          <w:p w14:paraId="38202023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BADL by 2020 (5y)</w:t>
            </w:r>
          </w:p>
        </w:tc>
        <w:tc>
          <w:tcPr>
            <w:tcW w:w="1872" w:type="dxa"/>
            <w:shd w:val="clear" w:color="auto" w:fill="EEF3F8"/>
          </w:tcPr>
          <w:p w14:paraId="60F94451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Slow chair-stand</w:t>
            </w:r>
          </w:p>
        </w:tc>
        <w:tc>
          <w:tcPr>
            <w:tcW w:w="1872" w:type="dxa"/>
            <w:shd w:val="clear" w:color="auto" w:fill="EEF3F8"/>
          </w:tcPr>
          <w:p w14:paraId="73119E0F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1.61 (1.24-2.10)</w:t>
            </w:r>
          </w:p>
        </w:tc>
        <w:tc>
          <w:tcPr>
            <w:tcW w:w="1872" w:type="dxa"/>
            <w:shd w:val="clear" w:color="auto" w:fill="EEF3F8"/>
          </w:tcPr>
          <w:p w14:paraId="53C06C0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&lt;0.001</w:t>
            </w:r>
          </w:p>
        </w:tc>
        <w:tc>
          <w:tcPr>
            <w:tcW w:w="1872" w:type="dxa"/>
            <w:shd w:val="clear" w:color="auto" w:fill="EEF3F8"/>
          </w:tcPr>
          <w:p w14:paraId="22E62D1F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8,810</w:t>
            </w:r>
          </w:p>
        </w:tc>
      </w:tr>
    </w:tbl>
    <w:p w14:paraId="0EDB61D8">
      <w:pPr>
        <w:spacing w:after="160" w:line="360" w:lineRule="auto"/>
      </w:pPr>
      <w:r>
        <w:rPr>
          <w:rFonts w:ascii="Times New Roman" w:hAnsi="Times New Roman" w:eastAsia="Times New Roman"/>
          <w:b w:val="0"/>
          <w:i/>
          <w:sz w:val="17"/>
        </w:rPr>
        <w:t>Survey-weighted binomial models with community-cluster-robust standard errors, adjusted for age, sex, urban residence and BMI; BADL models additionally exclude participants with baseline BADL disability. The five-year window spans the COVID-disrupted 2020 wave.</w:t>
      </w:r>
    </w:p>
    <w:p w14:paraId="65ACD166">
      <w:pPr>
        <w:spacing w:after="120"/>
      </w:pPr>
    </w:p>
    <w:p w14:paraId="26CCB68D">
      <w:pPr>
        <w:keepNext/>
        <w:spacing w:before="8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sz w:val="20"/>
        </w:rPr>
        <w:t xml:space="preserve">Table S2. </w:t>
      </w:r>
      <w:r>
        <w:rPr>
          <w:rFonts w:ascii="Times New Roman" w:hAnsi="Times New Roman" w:eastAsia="Times New Roman"/>
          <w:b w:val="0"/>
          <w:i w:val="0"/>
          <w:sz w:val="20"/>
        </w:rPr>
        <w:t>Robustness of the projections and of the CHARLS inference. Panel A compares the preferred ARIMA specification (chosen by AIC) with a forced first-difference specification for the two non-fatal count series. Panel B compares frequency, analytic (variance) and no survey weights for the primary cut-point models. Panel C compares complete-case estimates with stabilised inverse-probability-of-retention-weighted (IPW) estimates. Panel D compares baseline characteristics of adults retained in the analytic cohort with those lost to both follow-ups.</w:t>
      </w:r>
    </w:p>
    <w:p w14:paraId="0414649A">
      <w:pPr>
        <w:keepNext/>
        <w:spacing w:after="40" w:line="360" w:lineRule="auto"/>
      </w:pPr>
      <w:r>
        <w:rPr>
          <w:rFonts w:ascii="Times New Roman" w:hAnsi="Times New Roman" w:eastAsia="Times New Roman"/>
          <w:b/>
          <w:i w:val="0"/>
          <w:sz w:val="19"/>
        </w:rPr>
        <w:t>Panel A. ARIMA specification check for the two non-fatal count series: preferred (AIC-selected) versus forced first-difference (d=1).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 w14:paraId="13898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337" w:type="dxa"/>
            <w:shd w:val="clear" w:color="auto" w:fill="1F4E79"/>
          </w:tcPr>
          <w:p w14:paraId="2C698F0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Series</w:t>
            </w:r>
          </w:p>
        </w:tc>
        <w:tc>
          <w:tcPr>
            <w:tcW w:w="1337" w:type="dxa"/>
            <w:shd w:val="clear" w:color="auto" w:fill="1F4E79"/>
          </w:tcPr>
          <w:p w14:paraId="0714A134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Preferred order</w:t>
            </w:r>
          </w:p>
        </w:tc>
        <w:tc>
          <w:tcPr>
            <w:tcW w:w="1337" w:type="dxa"/>
            <w:shd w:val="clear" w:color="auto" w:fill="1F4E79"/>
          </w:tcPr>
          <w:p w14:paraId="1C1E147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AIC</w:t>
            </w:r>
          </w:p>
        </w:tc>
        <w:tc>
          <w:tcPr>
            <w:tcW w:w="1337" w:type="dxa"/>
            <w:shd w:val="clear" w:color="auto" w:fill="1F4E79"/>
          </w:tcPr>
          <w:p w14:paraId="761EDF3A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2035 %chg</w:t>
            </w:r>
          </w:p>
        </w:tc>
        <w:tc>
          <w:tcPr>
            <w:tcW w:w="1337" w:type="dxa"/>
            <w:shd w:val="clear" w:color="auto" w:fill="1F4E79"/>
          </w:tcPr>
          <w:p w14:paraId="60AF43A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Forced d=1 order</w:t>
            </w:r>
          </w:p>
        </w:tc>
        <w:tc>
          <w:tcPr>
            <w:tcW w:w="1337" w:type="dxa"/>
            <w:shd w:val="clear" w:color="auto" w:fill="1F4E79"/>
          </w:tcPr>
          <w:p w14:paraId="079452D9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AIC</w:t>
            </w:r>
          </w:p>
        </w:tc>
        <w:tc>
          <w:tcPr>
            <w:tcW w:w="1337" w:type="dxa"/>
            <w:shd w:val="clear" w:color="auto" w:fill="1F4E79"/>
          </w:tcPr>
          <w:p w14:paraId="658520A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d=1 2035 path</w:t>
            </w:r>
          </w:p>
        </w:tc>
      </w:tr>
      <w:tr w14:paraId="16DC0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7" w:type="dxa"/>
          </w:tcPr>
          <w:p w14:paraId="54A49E67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Incident falls, count</w:t>
            </w:r>
          </w:p>
        </w:tc>
        <w:tc>
          <w:tcPr>
            <w:tcW w:w="1337" w:type="dxa"/>
          </w:tcPr>
          <w:p w14:paraId="5EF46805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(3,0,2)</w:t>
            </w:r>
          </w:p>
        </w:tc>
        <w:tc>
          <w:tcPr>
            <w:tcW w:w="1337" w:type="dxa"/>
          </w:tcPr>
          <w:p w14:paraId="4F1338B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1087.7</w:t>
            </w:r>
          </w:p>
        </w:tc>
        <w:tc>
          <w:tcPr>
            <w:tcW w:w="1337" w:type="dxa"/>
          </w:tcPr>
          <w:p w14:paraId="07543A7C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-5.4</w:t>
            </w:r>
          </w:p>
        </w:tc>
        <w:tc>
          <w:tcPr>
            <w:tcW w:w="1337" w:type="dxa"/>
          </w:tcPr>
          <w:p w14:paraId="77DB966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(0,1,0)</w:t>
            </w:r>
          </w:p>
        </w:tc>
        <w:tc>
          <w:tcPr>
            <w:tcW w:w="1337" w:type="dxa"/>
          </w:tcPr>
          <w:p w14:paraId="538A34E3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1132.5</w:t>
            </w:r>
          </w:p>
        </w:tc>
        <w:tc>
          <w:tcPr>
            <w:tcW w:w="1337" w:type="dxa"/>
          </w:tcPr>
          <w:p w14:paraId="441B1E7D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+0.0 (99.6-188.6M)</w:t>
            </w:r>
          </w:p>
        </w:tc>
      </w:tr>
      <w:tr w14:paraId="6CB1C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37" w:type="dxa"/>
            <w:shd w:val="clear" w:color="auto" w:fill="EEF3F8"/>
          </w:tcPr>
          <w:p w14:paraId="6D085535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Fall DALYs, count</w:t>
            </w:r>
          </w:p>
        </w:tc>
        <w:tc>
          <w:tcPr>
            <w:tcW w:w="1337" w:type="dxa"/>
            <w:shd w:val="clear" w:color="auto" w:fill="EEF3F8"/>
          </w:tcPr>
          <w:p w14:paraId="2FC4A040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(3,0,1)</w:t>
            </w:r>
          </w:p>
        </w:tc>
        <w:tc>
          <w:tcPr>
            <w:tcW w:w="1337" w:type="dxa"/>
            <w:shd w:val="clear" w:color="auto" w:fill="EEF3F8"/>
          </w:tcPr>
          <w:p w14:paraId="3F81CDF1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960.9</w:t>
            </w:r>
          </w:p>
        </w:tc>
        <w:tc>
          <w:tcPr>
            <w:tcW w:w="1337" w:type="dxa"/>
            <w:shd w:val="clear" w:color="auto" w:fill="EEF3F8"/>
          </w:tcPr>
          <w:p w14:paraId="0CD3A4BC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-9.9</w:t>
            </w:r>
          </w:p>
        </w:tc>
        <w:tc>
          <w:tcPr>
            <w:tcW w:w="1337" w:type="dxa"/>
            <w:shd w:val="clear" w:color="auto" w:fill="EEF3F8"/>
          </w:tcPr>
          <w:p w14:paraId="42213CB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(0,1,0)</w:t>
            </w:r>
          </w:p>
        </w:tc>
        <w:tc>
          <w:tcPr>
            <w:tcW w:w="1337" w:type="dxa"/>
            <w:shd w:val="clear" w:color="auto" w:fill="EEF3F8"/>
          </w:tcPr>
          <w:p w14:paraId="48153A4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995.6</w:t>
            </w:r>
          </w:p>
        </w:tc>
        <w:tc>
          <w:tcPr>
            <w:tcW w:w="1337" w:type="dxa"/>
            <w:shd w:val="clear" w:color="auto" w:fill="EEF3F8"/>
          </w:tcPr>
          <w:p w14:paraId="17E2DE0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+0.0 (16.1-27.3M)</w:t>
            </w:r>
          </w:p>
        </w:tc>
      </w:tr>
    </w:tbl>
    <w:p w14:paraId="47355FFA">
      <w:pPr>
        <w:spacing w:after="120" w:line="360" w:lineRule="auto"/>
      </w:pPr>
      <w:r>
        <w:rPr>
          <w:rFonts w:ascii="Times New Roman" w:hAnsi="Times New Roman" w:eastAsia="Times New Roman"/>
          <w:b w:val="0"/>
          <w:i/>
          <w:sz w:val="17"/>
        </w:rPr>
        <w:t>The best differenced models are random walks with higher (worse) AIC than the preferred levels models and flatten (not reverse) the 2035 path; the robust projection is a non-fatal plateau.</w:t>
      </w:r>
    </w:p>
    <w:p w14:paraId="7CC13770">
      <w:pPr>
        <w:keepNext/>
        <w:spacing w:after="40" w:line="360" w:lineRule="auto"/>
      </w:pPr>
      <w:r>
        <w:rPr>
          <w:rFonts w:ascii="Times New Roman" w:hAnsi="Times New Roman" w:eastAsia="Times New Roman"/>
          <w:b/>
          <w:i w:val="0"/>
          <w:sz w:val="19"/>
        </w:rPr>
        <w:t>Panel B. Weight specification: adjusted OR (95%CI) under frequency weights, analytic (variance) weights and no weights.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2340"/>
        <w:gridCol w:w="2340"/>
        <w:gridCol w:w="2340"/>
      </w:tblGrid>
      <w:tr w14:paraId="64B64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340" w:type="dxa"/>
            <w:shd w:val="clear" w:color="auto" w:fill="1F4E79"/>
          </w:tcPr>
          <w:p w14:paraId="5528B7EE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Outcome - exposure</w:t>
            </w:r>
          </w:p>
        </w:tc>
        <w:tc>
          <w:tcPr>
            <w:tcW w:w="2340" w:type="dxa"/>
            <w:shd w:val="clear" w:color="auto" w:fill="1F4E79"/>
          </w:tcPr>
          <w:p w14:paraId="621130DE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Frequency weight</w:t>
            </w:r>
          </w:p>
        </w:tc>
        <w:tc>
          <w:tcPr>
            <w:tcW w:w="2340" w:type="dxa"/>
            <w:shd w:val="clear" w:color="auto" w:fill="1F4E79"/>
          </w:tcPr>
          <w:p w14:paraId="36DAB26A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Analytic weight</w:t>
            </w:r>
          </w:p>
        </w:tc>
        <w:tc>
          <w:tcPr>
            <w:tcW w:w="2340" w:type="dxa"/>
            <w:shd w:val="clear" w:color="auto" w:fill="1F4E79"/>
          </w:tcPr>
          <w:p w14:paraId="3CA35B2E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Unweighted</w:t>
            </w:r>
          </w:p>
        </w:tc>
      </w:tr>
      <w:tr w14:paraId="4FDE9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0" w:type="dxa"/>
          </w:tcPr>
          <w:p w14:paraId="7FE7A043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Incident fall - Low grip</w:t>
            </w:r>
          </w:p>
        </w:tc>
        <w:tc>
          <w:tcPr>
            <w:tcW w:w="2340" w:type="dxa"/>
          </w:tcPr>
          <w:p w14:paraId="4AE9EBF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1.22 (0.97-1.55)</w:t>
            </w:r>
          </w:p>
        </w:tc>
        <w:tc>
          <w:tcPr>
            <w:tcW w:w="2340" w:type="dxa"/>
          </w:tcPr>
          <w:p w14:paraId="6203BAD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1.22 (0.97-1.55)</w:t>
            </w:r>
          </w:p>
        </w:tc>
        <w:tc>
          <w:tcPr>
            <w:tcW w:w="2340" w:type="dxa"/>
          </w:tcPr>
          <w:p w14:paraId="4F03D97C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1.32 (1.15-1.51)</w:t>
            </w:r>
          </w:p>
        </w:tc>
      </w:tr>
      <w:tr w14:paraId="11FC3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0" w:type="dxa"/>
            <w:shd w:val="clear" w:color="auto" w:fill="EEF3F8"/>
          </w:tcPr>
          <w:p w14:paraId="42DA5F36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Incident BADL disability - Low grip</w:t>
            </w:r>
          </w:p>
        </w:tc>
        <w:tc>
          <w:tcPr>
            <w:tcW w:w="2340" w:type="dxa"/>
            <w:shd w:val="clear" w:color="auto" w:fill="EEF3F8"/>
          </w:tcPr>
          <w:p w14:paraId="04FAA07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1.53 (1.07-2.17)</w:t>
            </w:r>
          </w:p>
        </w:tc>
        <w:tc>
          <w:tcPr>
            <w:tcW w:w="2340" w:type="dxa"/>
            <w:shd w:val="clear" w:color="auto" w:fill="EEF3F8"/>
          </w:tcPr>
          <w:p w14:paraId="0E642DED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1.53 (1.07-2.17)</w:t>
            </w:r>
          </w:p>
        </w:tc>
        <w:tc>
          <w:tcPr>
            <w:tcW w:w="2340" w:type="dxa"/>
            <w:shd w:val="clear" w:color="auto" w:fill="EEF3F8"/>
          </w:tcPr>
          <w:p w14:paraId="4DE744D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1.82 (1.54-2.14)</w:t>
            </w:r>
          </w:p>
        </w:tc>
      </w:tr>
      <w:tr w14:paraId="13E1B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40" w:type="dxa"/>
          </w:tcPr>
          <w:p w14:paraId="78353D9B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Incident BADL disability - Slow chair-stand</w:t>
            </w:r>
          </w:p>
        </w:tc>
        <w:tc>
          <w:tcPr>
            <w:tcW w:w="2340" w:type="dxa"/>
          </w:tcPr>
          <w:p w14:paraId="0CAB6A35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1.78 (1.41-2.23)</w:t>
            </w:r>
          </w:p>
        </w:tc>
        <w:tc>
          <w:tcPr>
            <w:tcW w:w="2340" w:type="dxa"/>
          </w:tcPr>
          <w:p w14:paraId="46F1E709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1.78 (1.41-2.23)</w:t>
            </w:r>
          </w:p>
        </w:tc>
        <w:tc>
          <w:tcPr>
            <w:tcW w:w="2340" w:type="dxa"/>
          </w:tcPr>
          <w:p w14:paraId="6D497D30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1.77 (1.53-2.05)</w:t>
            </w:r>
          </w:p>
        </w:tc>
      </w:tr>
    </w:tbl>
    <w:p w14:paraId="68F75296">
      <w:pPr>
        <w:spacing w:after="120" w:line="360" w:lineRule="auto"/>
      </w:pPr>
      <w:r>
        <w:rPr>
          <w:rFonts w:ascii="Times New Roman" w:hAnsi="Times New Roman" w:eastAsia="Times New Roman"/>
          <w:b w:val="0"/>
          <w:i/>
          <w:sz w:val="17"/>
        </w:rPr>
        <w:t>Frequency and analytic weights return identical point estimates and identical community-cluster-robust intervals; the unweighted estimates keep the same direction and significance decisions.</w:t>
      </w:r>
    </w:p>
    <w:p w14:paraId="03FA70A5">
      <w:pPr>
        <w:keepNext/>
        <w:spacing w:after="40" w:line="360" w:lineRule="auto"/>
      </w:pPr>
      <w:r>
        <w:rPr>
          <w:rFonts w:ascii="Times New Roman" w:hAnsi="Times New Roman" w:eastAsia="Times New Roman"/>
          <w:b/>
          <w:i w:val="0"/>
          <w:sz w:val="19"/>
        </w:rPr>
        <w:t>Panel C. Informative attrition: complete-case versus stabilised inverse-probability-of-retention-weighted (IPW) adjusted OR (95%CI).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0"/>
        <w:gridCol w:w="3120"/>
        <w:gridCol w:w="3120"/>
      </w:tblGrid>
      <w:tr w14:paraId="3F422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120" w:type="dxa"/>
            <w:shd w:val="clear" w:color="auto" w:fill="1F4E79"/>
          </w:tcPr>
          <w:p w14:paraId="15F3FF09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Outcome - exposure</w:t>
            </w:r>
          </w:p>
        </w:tc>
        <w:tc>
          <w:tcPr>
            <w:tcW w:w="3120" w:type="dxa"/>
            <w:shd w:val="clear" w:color="auto" w:fill="1F4E79"/>
          </w:tcPr>
          <w:p w14:paraId="697AC8F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Complete-case OR</w:t>
            </w:r>
          </w:p>
        </w:tc>
        <w:tc>
          <w:tcPr>
            <w:tcW w:w="3120" w:type="dxa"/>
            <w:shd w:val="clear" w:color="auto" w:fill="1F4E79"/>
          </w:tcPr>
          <w:p w14:paraId="4AC9FBB3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IPW OR</w:t>
            </w:r>
          </w:p>
        </w:tc>
      </w:tr>
      <w:tr w14:paraId="15101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3426134A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Incident fall - Low grip</w:t>
            </w:r>
          </w:p>
        </w:tc>
        <w:tc>
          <w:tcPr>
            <w:tcW w:w="3120" w:type="dxa"/>
          </w:tcPr>
          <w:p w14:paraId="50E20B6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1.20 (0.94-1.52)</w:t>
            </w:r>
          </w:p>
        </w:tc>
        <w:tc>
          <w:tcPr>
            <w:tcW w:w="3120" w:type="dxa"/>
          </w:tcPr>
          <w:p w14:paraId="4E450F14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1.18 (0.94-1.50)</w:t>
            </w:r>
          </w:p>
        </w:tc>
      </w:tr>
      <w:tr w14:paraId="06335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010CA424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Incident fall - Slow chair-stand</w:t>
            </w:r>
          </w:p>
        </w:tc>
        <w:tc>
          <w:tcPr>
            <w:tcW w:w="3120" w:type="dxa"/>
            <w:shd w:val="clear" w:color="auto" w:fill="EEF3F8"/>
          </w:tcPr>
          <w:p w14:paraId="1B53062E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1.14 (0.97-1.35)</w:t>
            </w:r>
          </w:p>
        </w:tc>
        <w:tc>
          <w:tcPr>
            <w:tcW w:w="3120" w:type="dxa"/>
            <w:shd w:val="clear" w:color="auto" w:fill="EEF3F8"/>
          </w:tcPr>
          <w:p w14:paraId="57F5EAEE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1.14 (0.97-1.36)</w:t>
            </w:r>
          </w:p>
        </w:tc>
      </w:tr>
      <w:tr w14:paraId="70EB4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300AC6FB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Incident BADL disability - Low grip</w:t>
            </w:r>
          </w:p>
        </w:tc>
        <w:tc>
          <w:tcPr>
            <w:tcW w:w="3120" w:type="dxa"/>
          </w:tcPr>
          <w:p w14:paraId="69458D12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1.52 (1.06-2.17)</w:t>
            </w:r>
          </w:p>
        </w:tc>
        <w:tc>
          <w:tcPr>
            <w:tcW w:w="3120" w:type="dxa"/>
          </w:tcPr>
          <w:p w14:paraId="7E4A4142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1.50 (1.05-2.13)</w:t>
            </w:r>
          </w:p>
        </w:tc>
      </w:tr>
      <w:tr w14:paraId="13789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5A570EA7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Incident BADL disability - Slow chair-stand</w:t>
            </w:r>
          </w:p>
        </w:tc>
        <w:tc>
          <w:tcPr>
            <w:tcW w:w="3120" w:type="dxa"/>
            <w:shd w:val="clear" w:color="auto" w:fill="EEF3F8"/>
          </w:tcPr>
          <w:p w14:paraId="54088E4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1.73 (1.37-2.17)</w:t>
            </w:r>
          </w:p>
        </w:tc>
        <w:tc>
          <w:tcPr>
            <w:tcW w:w="3120" w:type="dxa"/>
            <w:shd w:val="clear" w:color="auto" w:fill="EEF3F8"/>
          </w:tcPr>
          <w:p w14:paraId="79A50F3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1.74 (1.38-2.19)</w:t>
            </w:r>
          </w:p>
        </w:tc>
      </w:tr>
    </w:tbl>
    <w:p w14:paraId="6370D929">
      <w:pPr>
        <w:spacing w:after="120" w:line="360" w:lineRule="auto"/>
      </w:pPr>
      <w:r>
        <w:rPr>
          <w:rFonts w:ascii="Times New Roman" w:hAnsi="Times New Roman" w:eastAsia="Times New Roman"/>
          <w:b w:val="0"/>
          <w:i/>
          <w:sz w:val="17"/>
        </w:rPr>
        <w:t>Both columns are estimated on the reconstructed pre-attrition eligible set so that retained and lost adults share one denominator. These complete-case odds ratios therefore differ slightly from Table 6, whose models use the post-attrition analytic cohort. Retention probabilities were modelled from baseline age, sex, urban residence and grip (mean 0.94, range 0.59-0.98); IPW moved every odds ratio by less than 0.03.</w:t>
      </w:r>
    </w:p>
    <w:p w14:paraId="2F36CC23">
      <w:pPr>
        <w:keepNext/>
        <w:spacing w:after="40" w:line="360" w:lineRule="auto"/>
      </w:pPr>
      <w:r>
        <w:rPr>
          <w:rFonts w:ascii="Times New Roman" w:hAnsi="Times New Roman" w:eastAsia="Times New Roman"/>
          <w:b/>
          <w:i w:val="0"/>
          <w:sz w:val="19"/>
        </w:rPr>
        <w:t>Panel D. Baseline (2015) characteristics, survey-weighted: retained cohort versus adults lost to both follow-ups.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0"/>
        <w:gridCol w:w="3120"/>
        <w:gridCol w:w="3120"/>
      </w:tblGrid>
      <w:tr w14:paraId="67B3F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120" w:type="dxa"/>
            <w:shd w:val="clear" w:color="auto" w:fill="1F4E79"/>
          </w:tcPr>
          <w:p w14:paraId="625A90FA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Characteristic</w:t>
            </w:r>
          </w:p>
        </w:tc>
        <w:tc>
          <w:tcPr>
            <w:tcW w:w="3120" w:type="dxa"/>
            <w:shd w:val="clear" w:color="auto" w:fill="1F4E79"/>
          </w:tcPr>
          <w:p w14:paraId="4D40C84D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Retained</w:t>
            </w:r>
          </w:p>
        </w:tc>
        <w:tc>
          <w:tcPr>
            <w:tcW w:w="3120" w:type="dxa"/>
            <w:shd w:val="clear" w:color="auto" w:fill="1F4E79"/>
          </w:tcPr>
          <w:p w14:paraId="5DF5E1D1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Lost to both follow-ups</w:t>
            </w:r>
          </w:p>
        </w:tc>
      </w:tr>
      <w:tr w14:paraId="6DF6A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6A25A900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N</w:t>
            </w:r>
          </w:p>
        </w:tc>
        <w:tc>
          <w:tcPr>
            <w:tcW w:w="3120" w:type="dxa"/>
          </w:tcPr>
          <w:p w14:paraId="007E28B3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11,449</w:t>
            </w:r>
          </w:p>
        </w:tc>
        <w:tc>
          <w:tcPr>
            <w:tcW w:w="3120" w:type="dxa"/>
          </w:tcPr>
          <w:p w14:paraId="3FAB71D3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830</w:t>
            </w:r>
          </w:p>
        </w:tc>
      </w:tr>
      <w:tr w14:paraId="26ED1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76509E1B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Age, years</w:t>
            </w:r>
          </w:p>
        </w:tc>
        <w:tc>
          <w:tcPr>
            <w:tcW w:w="3120" w:type="dxa"/>
            <w:shd w:val="clear" w:color="auto" w:fill="EEF3F8"/>
          </w:tcPr>
          <w:p w14:paraId="07BAC7DF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59.6</w:t>
            </w:r>
          </w:p>
        </w:tc>
        <w:tc>
          <w:tcPr>
            <w:tcW w:w="3120" w:type="dxa"/>
            <w:shd w:val="clear" w:color="auto" w:fill="EEF3F8"/>
          </w:tcPr>
          <w:p w14:paraId="05531EC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63.5</w:t>
            </w:r>
          </w:p>
        </w:tc>
      </w:tr>
      <w:tr w14:paraId="6BF67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5A360819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Female, %</w:t>
            </w:r>
          </w:p>
        </w:tc>
        <w:tc>
          <w:tcPr>
            <w:tcW w:w="3120" w:type="dxa"/>
          </w:tcPr>
          <w:p w14:paraId="16D85C5F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49.1</w:t>
            </w:r>
          </w:p>
        </w:tc>
        <w:tc>
          <w:tcPr>
            <w:tcW w:w="3120" w:type="dxa"/>
          </w:tcPr>
          <w:p w14:paraId="472C03C1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45.9</w:t>
            </w:r>
          </w:p>
        </w:tc>
      </w:tr>
      <w:tr w14:paraId="05E7D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1179FD60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Urban, %</w:t>
            </w:r>
          </w:p>
        </w:tc>
        <w:tc>
          <w:tcPr>
            <w:tcW w:w="3120" w:type="dxa"/>
            <w:shd w:val="clear" w:color="auto" w:fill="EEF3F8"/>
          </w:tcPr>
          <w:p w14:paraId="2C70EA7F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19.5</w:t>
            </w:r>
          </w:p>
        </w:tc>
        <w:tc>
          <w:tcPr>
            <w:tcW w:w="3120" w:type="dxa"/>
            <w:shd w:val="clear" w:color="auto" w:fill="EEF3F8"/>
          </w:tcPr>
          <w:p w14:paraId="71312A6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25.0</w:t>
            </w:r>
          </w:p>
        </w:tc>
      </w:tr>
      <w:tr w14:paraId="19991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417C0705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Grip strength, kg</w:t>
            </w:r>
          </w:p>
        </w:tc>
        <w:tc>
          <w:tcPr>
            <w:tcW w:w="3120" w:type="dxa"/>
          </w:tcPr>
          <w:p w14:paraId="6E0D7170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32.5</w:t>
            </w:r>
          </w:p>
        </w:tc>
        <w:tc>
          <w:tcPr>
            <w:tcW w:w="3120" w:type="dxa"/>
          </w:tcPr>
          <w:p w14:paraId="4D0DAEF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30.3</w:t>
            </w:r>
          </w:p>
        </w:tc>
      </w:tr>
      <w:tr w14:paraId="22A7A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5963FE61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Gait speed, m/s (walking sub-sample)</w:t>
            </w:r>
          </w:p>
        </w:tc>
        <w:tc>
          <w:tcPr>
            <w:tcW w:w="3120" w:type="dxa"/>
            <w:shd w:val="clear" w:color="auto" w:fill="EEF3F8"/>
          </w:tcPr>
          <w:p w14:paraId="052AE3BC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0.84</w:t>
            </w:r>
          </w:p>
        </w:tc>
        <w:tc>
          <w:tcPr>
            <w:tcW w:w="3120" w:type="dxa"/>
            <w:shd w:val="clear" w:color="auto" w:fill="EEF3F8"/>
          </w:tcPr>
          <w:p w14:paraId="7751A3EF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0.76</w:t>
            </w:r>
          </w:p>
        </w:tc>
      </w:tr>
      <w:tr w14:paraId="35979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6E283E3C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Chair-stand, s</w:t>
            </w:r>
          </w:p>
        </w:tc>
        <w:tc>
          <w:tcPr>
            <w:tcW w:w="3120" w:type="dxa"/>
          </w:tcPr>
          <w:p w14:paraId="62716F1D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9.08</w:t>
            </w:r>
          </w:p>
        </w:tc>
        <w:tc>
          <w:tcPr>
            <w:tcW w:w="3120" w:type="dxa"/>
          </w:tcPr>
          <w:p w14:paraId="2FC0D5EA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9.75</w:t>
            </w:r>
          </w:p>
        </w:tc>
      </w:tr>
      <w:tr w14:paraId="0152B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58629B33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BMI, kg/m²</w:t>
            </w:r>
          </w:p>
        </w:tc>
        <w:tc>
          <w:tcPr>
            <w:tcW w:w="3120" w:type="dxa"/>
            <w:shd w:val="clear" w:color="auto" w:fill="EEF3F8"/>
          </w:tcPr>
          <w:p w14:paraId="5EB5266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24.11</w:t>
            </w:r>
          </w:p>
        </w:tc>
        <w:tc>
          <w:tcPr>
            <w:tcW w:w="3120" w:type="dxa"/>
            <w:shd w:val="clear" w:color="auto" w:fill="EEF3F8"/>
          </w:tcPr>
          <w:p w14:paraId="191C1519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23.27</w:t>
            </w:r>
          </w:p>
        </w:tc>
      </w:tr>
      <w:tr w14:paraId="0D925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09647FE4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Baseline BADL disability, %</w:t>
            </w:r>
          </w:p>
        </w:tc>
        <w:tc>
          <w:tcPr>
            <w:tcW w:w="3120" w:type="dxa"/>
          </w:tcPr>
          <w:p w14:paraId="38E6F4F1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13.9</w:t>
            </w:r>
          </w:p>
        </w:tc>
        <w:tc>
          <w:tcPr>
            <w:tcW w:w="3120" w:type="dxa"/>
          </w:tcPr>
          <w:p w14:paraId="3A9D99C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22.3</w:t>
            </w:r>
          </w:p>
        </w:tc>
      </w:tr>
    </w:tbl>
    <w:p w14:paraId="03CA8643">
      <w:pPr>
        <w:spacing w:after="160" w:line="360" w:lineRule="auto"/>
      </w:pPr>
      <w:r>
        <w:rPr>
          <w:rFonts w:ascii="Times New Roman" w:hAnsi="Times New Roman" w:eastAsia="Times New Roman"/>
          <w:b w:val="0"/>
          <w:i/>
          <w:sz w:val="17"/>
        </w:rPr>
        <w:t>Adults lost to follow-up were older and weaker at baseline, motivating the IPW analysis in Panel C. Gait speed is shown only for those administered and completing the 2.5-m walk; it is not measured in the full cohort (see Table S3).</w:t>
      </w:r>
    </w:p>
    <w:p w14:paraId="3935F765">
      <w:pPr>
        <w:spacing w:after="120"/>
      </w:pPr>
    </w:p>
    <w:p w14:paraId="2A22F213">
      <w:pPr>
        <w:keepNext/>
        <w:spacing w:before="8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sz w:val="20"/>
        </w:rPr>
        <w:t xml:space="preserve">Table S3. </w:t>
      </w:r>
      <w:r>
        <w:rPr>
          <w:rFonts w:ascii="Times New Roman" w:hAnsi="Times New Roman" w:eastAsia="Times New Roman"/>
          <w:b w:val="0"/>
          <w:i w:val="0"/>
          <w:sz w:val="20"/>
        </w:rPr>
        <w:t>Survey-weighted baseline (2015) characteristics of the full analytic cohort and of the walking (gait) sub-sample that completed the timed 2.5-m walk.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0"/>
        <w:gridCol w:w="3120"/>
        <w:gridCol w:w="3120"/>
      </w:tblGrid>
      <w:tr w14:paraId="19363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120" w:type="dxa"/>
            <w:shd w:val="clear" w:color="auto" w:fill="1F4E79"/>
          </w:tcPr>
          <w:p w14:paraId="13C0441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Characteristic</w:t>
            </w:r>
          </w:p>
        </w:tc>
        <w:tc>
          <w:tcPr>
            <w:tcW w:w="3120" w:type="dxa"/>
            <w:shd w:val="clear" w:color="auto" w:fill="1F4E79"/>
          </w:tcPr>
          <w:p w14:paraId="442F431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Full analytic cohort</w:t>
            </w:r>
          </w:p>
        </w:tc>
        <w:tc>
          <w:tcPr>
            <w:tcW w:w="3120" w:type="dxa"/>
            <w:shd w:val="clear" w:color="auto" w:fill="1F4E79"/>
          </w:tcPr>
          <w:p w14:paraId="53F5E28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Walking (gait) sub-sample</w:t>
            </w:r>
          </w:p>
        </w:tc>
      </w:tr>
      <w:tr w14:paraId="3F32E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033685D7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N (unweighted)</w:t>
            </w:r>
          </w:p>
        </w:tc>
        <w:tc>
          <w:tcPr>
            <w:tcW w:w="3120" w:type="dxa"/>
          </w:tcPr>
          <w:p w14:paraId="7B6E2110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11,449</w:t>
            </w:r>
          </w:p>
        </w:tc>
        <w:tc>
          <w:tcPr>
            <w:tcW w:w="3120" w:type="dxa"/>
          </w:tcPr>
          <w:p w14:paraId="1F8B3A73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5,574</w:t>
            </w:r>
          </w:p>
        </w:tc>
      </w:tr>
      <w:tr w14:paraId="6E676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09FC65F9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Age, years</w:t>
            </w:r>
          </w:p>
        </w:tc>
        <w:tc>
          <w:tcPr>
            <w:tcW w:w="3120" w:type="dxa"/>
            <w:shd w:val="clear" w:color="auto" w:fill="EEF3F8"/>
          </w:tcPr>
          <w:p w14:paraId="0AC96B0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59.6</w:t>
            </w:r>
          </w:p>
        </w:tc>
        <w:tc>
          <w:tcPr>
            <w:tcW w:w="3120" w:type="dxa"/>
            <w:shd w:val="clear" w:color="auto" w:fill="EEF3F8"/>
          </w:tcPr>
          <w:p w14:paraId="5AFF6A11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67.78</w:t>
            </w:r>
          </w:p>
        </w:tc>
      </w:tr>
      <w:tr w14:paraId="4B89D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0F0F6445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Female, %</w:t>
            </w:r>
          </w:p>
        </w:tc>
        <w:tc>
          <w:tcPr>
            <w:tcW w:w="3120" w:type="dxa"/>
          </w:tcPr>
          <w:p w14:paraId="172AFBF1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49.1</w:t>
            </w:r>
          </w:p>
        </w:tc>
        <w:tc>
          <w:tcPr>
            <w:tcW w:w="3120" w:type="dxa"/>
          </w:tcPr>
          <w:p w14:paraId="0B5ABD0E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47.8</w:t>
            </w:r>
          </w:p>
        </w:tc>
      </w:tr>
      <w:tr w14:paraId="7B680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718D2B62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Urban residence, %</w:t>
            </w:r>
          </w:p>
        </w:tc>
        <w:tc>
          <w:tcPr>
            <w:tcW w:w="3120" w:type="dxa"/>
            <w:shd w:val="clear" w:color="auto" w:fill="EEF3F8"/>
          </w:tcPr>
          <w:p w14:paraId="0F4B49A5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19.5</w:t>
            </w:r>
          </w:p>
        </w:tc>
        <w:tc>
          <w:tcPr>
            <w:tcW w:w="3120" w:type="dxa"/>
            <w:shd w:val="clear" w:color="auto" w:fill="EEF3F8"/>
          </w:tcPr>
          <w:p w14:paraId="0FB9069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22.0</w:t>
            </w:r>
          </w:p>
        </w:tc>
      </w:tr>
      <w:tr w14:paraId="47159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66951A89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Grip strength, kg</w:t>
            </w:r>
          </w:p>
        </w:tc>
        <w:tc>
          <w:tcPr>
            <w:tcW w:w="3120" w:type="dxa"/>
          </w:tcPr>
          <w:p w14:paraId="688D6790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32.52</w:t>
            </w:r>
          </w:p>
        </w:tc>
        <w:tc>
          <w:tcPr>
            <w:tcW w:w="3120" w:type="dxa"/>
          </w:tcPr>
          <w:p w14:paraId="773889D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29.72</w:t>
            </w:r>
          </w:p>
        </w:tc>
      </w:tr>
      <w:tr w14:paraId="5C27F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5AE70B00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Usual gait speed, m/s</w:t>
            </w:r>
          </w:p>
        </w:tc>
        <w:tc>
          <w:tcPr>
            <w:tcW w:w="3120" w:type="dxa"/>
            <w:shd w:val="clear" w:color="auto" w:fill="EEF3F8"/>
          </w:tcPr>
          <w:p w14:paraId="1733B53F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n/a</w:t>
            </w:r>
          </w:p>
        </w:tc>
        <w:tc>
          <w:tcPr>
            <w:tcW w:w="3120" w:type="dxa"/>
            <w:shd w:val="clear" w:color="auto" w:fill="EEF3F8"/>
          </w:tcPr>
          <w:p w14:paraId="721F56A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0.84</w:t>
            </w:r>
          </w:p>
        </w:tc>
      </w:tr>
      <w:tr w14:paraId="57AEB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65692182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Five-time chair-stand, s</w:t>
            </w:r>
          </w:p>
        </w:tc>
        <w:tc>
          <w:tcPr>
            <w:tcW w:w="3120" w:type="dxa"/>
          </w:tcPr>
          <w:p w14:paraId="69ED5045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9.08</w:t>
            </w:r>
          </w:p>
        </w:tc>
        <w:tc>
          <w:tcPr>
            <w:tcW w:w="3120" w:type="dxa"/>
          </w:tcPr>
          <w:p w14:paraId="6A668AE3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10.03</w:t>
            </w:r>
          </w:p>
        </w:tc>
      </w:tr>
      <w:tr w14:paraId="78BEA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10F7302A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BMI, kg/m2</w:t>
            </w:r>
          </w:p>
        </w:tc>
        <w:tc>
          <w:tcPr>
            <w:tcW w:w="3120" w:type="dxa"/>
            <w:shd w:val="clear" w:color="auto" w:fill="EEF3F8"/>
          </w:tcPr>
          <w:p w14:paraId="026FCE5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24.11</w:t>
            </w:r>
          </w:p>
        </w:tc>
        <w:tc>
          <w:tcPr>
            <w:tcW w:w="3120" w:type="dxa"/>
            <w:shd w:val="clear" w:color="auto" w:fill="EEF3F8"/>
          </w:tcPr>
          <w:p w14:paraId="0688670F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23.69</w:t>
            </w:r>
          </w:p>
        </w:tc>
      </w:tr>
      <w:tr w14:paraId="72B23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52255C98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Baseline BADL disability, %</w:t>
            </w:r>
          </w:p>
        </w:tc>
        <w:tc>
          <w:tcPr>
            <w:tcW w:w="3120" w:type="dxa"/>
          </w:tcPr>
          <w:p w14:paraId="452AA515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13.9</w:t>
            </w:r>
          </w:p>
        </w:tc>
        <w:tc>
          <w:tcPr>
            <w:tcW w:w="3120" w:type="dxa"/>
          </w:tcPr>
          <w:p w14:paraId="1D174B4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18.6</w:t>
            </w:r>
          </w:p>
        </w:tc>
      </w:tr>
      <w:tr w14:paraId="55246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53DE8986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Incident fall over follow-up, %</w:t>
            </w:r>
          </w:p>
        </w:tc>
        <w:tc>
          <w:tcPr>
            <w:tcW w:w="3120" w:type="dxa"/>
            <w:shd w:val="clear" w:color="auto" w:fill="EEF3F8"/>
          </w:tcPr>
          <w:p w14:paraId="7E0C50F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24.2</w:t>
            </w:r>
          </w:p>
        </w:tc>
        <w:tc>
          <w:tcPr>
            <w:tcW w:w="3120" w:type="dxa"/>
            <w:shd w:val="clear" w:color="auto" w:fill="EEF3F8"/>
          </w:tcPr>
          <w:p w14:paraId="3039E9BE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27.7</w:t>
            </w:r>
          </w:p>
        </w:tc>
      </w:tr>
      <w:tr w14:paraId="5406D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42E0B441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Incident BADL disability, %</w:t>
            </w:r>
          </w:p>
        </w:tc>
        <w:tc>
          <w:tcPr>
            <w:tcW w:w="3120" w:type="dxa"/>
          </w:tcPr>
          <w:p w14:paraId="300AEAC3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18.5</w:t>
            </w:r>
          </w:p>
        </w:tc>
        <w:tc>
          <w:tcPr>
            <w:tcW w:w="3120" w:type="dxa"/>
          </w:tcPr>
          <w:p w14:paraId="5216E07C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25.6</w:t>
            </w:r>
          </w:p>
        </w:tc>
      </w:tr>
    </w:tbl>
    <w:p w14:paraId="44346149">
      <w:pPr>
        <w:spacing w:after="160" w:line="360" w:lineRule="auto"/>
      </w:pPr>
      <w:r>
        <w:rPr>
          <w:rFonts w:ascii="Times New Roman" w:hAnsi="Times New Roman" w:eastAsia="Times New Roman"/>
          <w:b w:val="0"/>
          <w:i/>
          <w:sz w:val="17"/>
        </w:rPr>
        <w:t>Survey-weighted means and percentages except the unweighted N. Usual gait speed was administered only within the walking sub-sample, so it is not defined for the full cohort (n/a); the 0.84 m/s value is the sub-sample mean. The incident BADL disability row is computed on participants free of BADL disability at baseline (9,649 at risk in the full cohort, the corresponding at-risk subset in the walking sub-sample), whereas every other row uses the full 11,449-person cohort. Adults offered the walk were on average older and weaker, and completion further excluded the non-ambulatory, highest-risk tail who could not attempt the test; this two-stage selection (plus the 2.5-m distance and the 0.1 m/s floor) underlies the null gait associations, not a healthier sub-sample.</w:t>
      </w:r>
    </w:p>
    <w:p w14:paraId="49DA5681">
      <w:pPr>
        <w:spacing w:after="120"/>
      </w:pPr>
    </w:p>
    <w:p w14:paraId="0CD45BFC">
      <w:pPr>
        <w:keepNext/>
        <w:spacing w:before="8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sz w:val="20"/>
        </w:rPr>
        <w:t xml:space="preserve">Table S4. </w:t>
      </w:r>
      <w:r>
        <w:rPr>
          <w:rFonts w:ascii="Times New Roman" w:hAnsi="Times New Roman" w:eastAsia="Times New Roman"/>
          <w:b w:val="0"/>
          <w:i w:val="0"/>
          <w:sz w:val="20"/>
        </w:rPr>
        <w:t>Mapping of the GBD 2023 nature-of-injury categories (cause_id, N-codes) nested under the external cause "falls" (cause_id 697) to the twelve fracture-site groups used in this paper, with the parent category and the excluded residual category shown for completeness.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0"/>
        <w:gridCol w:w="3120"/>
        <w:gridCol w:w="3120"/>
      </w:tblGrid>
      <w:tr w14:paraId="1359B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blHeader/>
          <w:jc w:val="center"/>
        </w:trPr>
        <w:tc>
          <w:tcPr>
            <w:tcW w:w="3120" w:type="dxa"/>
            <w:shd w:val="clear" w:color="auto" w:fill="1F4E79"/>
          </w:tcPr>
          <w:p w14:paraId="37BC053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GBD nature-of-injury cause_id (N-code)</w:t>
            </w:r>
          </w:p>
        </w:tc>
        <w:tc>
          <w:tcPr>
            <w:tcW w:w="3120" w:type="dxa"/>
            <w:shd w:val="clear" w:color="auto" w:fill="1F4E79"/>
          </w:tcPr>
          <w:p w14:paraId="445E89D1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Exact GBD category label</w:t>
            </w:r>
          </w:p>
        </w:tc>
        <w:tc>
          <w:tcPr>
            <w:tcW w:w="3120" w:type="dxa"/>
            <w:shd w:val="clear" w:color="auto" w:fill="1F4E79"/>
          </w:tcPr>
          <w:p w14:paraId="692623DE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Group used in this paper</w:t>
            </w:r>
          </w:p>
        </w:tc>
      </w:tr>
      <w:tr w14:paraId="60EB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638DAF42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260</w:t>
            </w:r>
          </w:p>
        </w:tc>
        <w:tc>
          <w:tcPr>
            <w:tcW w:w="3120" w:type="dxa"/>
          </w:tcPr>
          <w:p w14:paraId="503A8BFE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Fracture of hip</w:t>
            </w:r>
          </w:p>
        </w:tc>
        <w:tc>
          <w:tcPr>
            <w:tcW w:w="3120" w:type="dxa"/>
          </w:tcPr>
          <w:p w14:paraId="7D922994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Hip</w:t>
            </w:r>
          </w:p>
        </w:tc>
      </w:tr>
      <w:tr w14:paraId="59B64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265D459C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264</w:t>
            </w:r>
          </w:p>
        </w:tc>
        <w:tc>
          <w:tcPr>
            <w:tcW w:w="3120" w:type="dxa"/>
            <w:shd w:val="clear" w:color="auto" w:fill="EEF3F8"/>
          </w:tcPr>
          <w:p w14:paraId="38701610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Fracture of radius and/or ulna</w:t>
            </w:r>
          </w:p>
        </w:tc>
        <w:tc>
          <w:tcPr>
            <w:tcW w:w="3120" w:type="dxa"/>
            <w:shd w:val="clear" w:color="auto" w:fill="EEF3F8"/>
          </w:tcPr>
          <w:p w14:paraId="2F2D2132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Radius/ulna</w:t>
            </w:r>
          </w:p>
        </w:tc>
      </w:tr>
      <w:tr w14:paraId="0DC2A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446D7467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262</w:t>
            </w:r>
          </w:p>
        </w:tc>
        <w:tc>
          <w:tcPr>
            <w:tcW w:w="3120" w:type="dxa"/>
          </w:tcPr>
          <w:p w14:paraId="5063178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Fracture of patella, tibia or fibula, or ankle</w:t>
            </w:r>
          </w:p>
        </w:tc>
        <w:tc>
          <w:tcPr>
            <w:tcW w:w="3120" w:type="dxa"/>
          </w:tcPr>
          <w:p w14:paraId="72585CAF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Patella/tibia/fibula/ankle</w:t>
            </w:r>
          </w:p>
        </w:tc>
      </w:tr>
      <w:tr w14:paraId="70D7C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6CAB218E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256</w:t>
            </w:r>
          </w:p>
        </w:tc>
        <w:tc>
          <w:tcPr>
            <w:tcW w:w="3120" w:type="dxa"/>
            <w:shd w:val="clear" w:color="auto" w:fill="EEF3F8"/>
          </w:tcPr>
          <w:p w14:paraId="18A0AFF4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Fracture of clavicle, scapula, or humerus</w:t>
            </w:r>
          </w:p>
        </w:tc>
        <w:tc>
          <w:tcPr>
            <w:tcW w:w="3120" w:type="dxa"/>
            <w:shd w:val="clear" w:color="auto" w:fill="EEF3F8"/>
          </w:tcPr>
          <w:p w14:paraId="16EEB43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Clavicle/scapula/humerus</w:t>
            </w:r>
          </w:p>
        </w:tc>
      </w:tr>
      <w:tr w14:paraId="651F7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59AFFF90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259</w:t>
            </w:r>
          </w:p>
        </w:tc>
        <w:tc>
          <w:tcPr>
            <w:tcW w:w="3120" w:type="dxa"/>
          </w:tcPr>
          <w:p w14:paraId="12F05CFA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Fracture of hand (wrist and other distal part of hand)</w:t>
            </w:r>
          </w:p>
        </w:tc>
        <w:tc>
          <w:tcPr>
            <w:tcW w:w="3120" w:type="dxa"/>
          </w:tcPr>
          <w:p w14:paraId="0E6ABE9D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Hand/wrist</w:t>
            </w:r>
          </w:p>
        </w:tc>
      </w:tr>
      <w:tr w14:paraId="76380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2858BC34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258</w:t>
            </w:r>
          </w:p>
        </w:tc>
        <w:tc>
          <w:tcPr>
            <w:tcW w:w="3120" w:type="dxa"/>
            <w:shd w:val="clear" w:color="auto" w:fill="EEF3F8"/>
          </w:tcPr>
          <w:p w14:paraId="28DBFC44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Fracture of foot bones except ankle</w:t>
            </w:r>
          </w:p>
        </w:tc>
        <w:tc>
          <w:tcPr>
            <w:tcW w:w="3120" w:type="dxa"/>
            <w:shd w:val="clear" w:color="auto" w:fill="EEF3F8"/>
          </w:tcPr>
          <w:p w14:paraId="13F53084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Foot</w:t>
            </w:r>
          </w:p>
        </w:tc>
      </w:tr>
      <w:tr w14:paraId="58E6A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1F5C38CF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268</w:t>
            </w:r>
          </w:p>
        </w:tc>
        <w:tc>
          <w:tcPr>
            <w:tcW w:w="3120" w:type="dxa"/>
          </w:tcPr>
          <w:p w14:paraId="77E5FC44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Fracture of femur, other than femoral neck</w:t>
            </w:r>
          </w:p>
        </w:tc>
        <w:tc>
          <w:tcPr>
            <w:tcW w:w="3120" w:type="dxa"/>
          </w:tcPr>
          <w:p w14:paraId="3A87F4B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Femur other than neck</w:t>
            </w:r>
          </w:p>
        </w:tc>
      </w:tr>
      <w:tr w14:paraId="6C180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48555CA7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257</w:t>
            </w:r>
          </w:p>
        </w:tc>
        <w:tc>
          <w:tcPr>
            <w:tcW w:w="3120" w:type="dxa"/>
            <w:shd w:val="clear" w:color="auto" w:fill="EEF3F8"/>
          </w:tcPr>
          <w:p w14:paraId="49F54B3A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Fracture of face bones</w:t>
            </w:r>
          </w:p>
        </w:tc>
        <w:tc>
          <w:tcPr>
            <w:tcW w:w="3120" w:type="dxa"/>
            <w:shd w:val="clear" w:color="auto" w:fill="EEF3F8"/>
          </w:tcPr>
          <w:p w14:paraId="40F1D4FD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Face bones</w:t>
            </w:r>
          </w:p>
        </w:tc>
      </w:tr>
      <w:tr w14:paraId="04E5A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454164EE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267</w:t>
            </w:r>
          </w:p>
        </w:tc>
        <w:tc>
          <w:tcPr>
            <w:tcW w:w="3120" w:type="dxa"/>
          </w:tcPr>
          <w:p w14:paraId="59F284D3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Fracture of vertebral column</w:t>
            </w:r>
          </w:p>
        </w:tc>
        <w:tc>
          <w:tcPr>
            <w:tcW w:w="3120" w:type="dxa"/>
          </w:tcPr>
          <w:p w14:paraId="2CF223AD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Vertebral column</w:t>
            </w:r>
          </w:p>
        </w:tc>
      </w:tr>
      <w:tr w14:paraId="60233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15DCE7C2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265</w:t>
            </w:r>
          </w:p>
        </w:tc>
        <w:tc>
          <w:tcPr>
            <w:tcW w:w="3120" w:type="dxa"/>
            <w:shd w:val="clear" w:color="auto" w:fill="EEF3F8"/>
          </w:tcPr>
          <w:p w14:paraId="5A761F9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Fracture of skull</w:t>
            </w:r>
          </w:p>
        </w:tc>
        <w:tc>
          <w:tcPr>
            <w:tcW w:w="3120" w:type="dxa"/>
            <w:shd w:val="clear" w:color="auto" w:fill="EEF3F8"/>
          </w:tcPr>
          <w:p w14:paraId="3CBA663D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Skull</w:t>
            </w:r>
          </w:p>
        </w:tc>
      </w:tr>
      <w:tr w14:paraId="76194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6B703726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263</w:t>
            </w:r>
          </w:p>
        </w:tc>
        <w:tc>
          <w:tcPr>
            <w:tcW w:w="3120" w:type="dxa"/>
          </w:tcPr>
          <w:p w14:paraId="35C6BC99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Fracture of pelvis</w:t>
            </w:r>
          </w:p>
        </w:tc>
        <w:tc>
          <w:tcPr>
            <w:tcW w:w="3120" w:type="dxa"/>
          </w:tcPr>
          <w:p w14:paraId="4657480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Pelvis</w:t>
            </w:r>
          </w:p>
        </w:tc>
      </w:tr>
      <w:tr w14:paraId="59E4A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1F9ACAF8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266</w:t>
            </w:r>
          </w:p>
        </w:tc>
        <w:tc>
          <w:tcPr>
            <w:tcW w:w="3120" w:type="dxa"/>
            <w:shd w:val="clear" w:color="auto" w:fill="EEF3F8"/>
          </w:tcPr>
          <w:p w14:paraId="4EE48DF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Fracture of sternum and/or fracture of one or more ribs</w:t>
            </w:r>
          </w:p>
        </w:tc>
        <w:tc>
          <w:tcPr>
            <w:tcW w:w="3120" w:type="dxa"/>
            <w:shd w:val="clear" w:color="auto" w:fill="EEF3F8"/>
          </w:tcPr>
          <w:p w14:paraId="30425DEC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Sternum/ribs</w:t>
            </w:r>
          </w:p>
        </w:tc>
      </w:tr>
      <w:tr w14:paraId="76CEB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</w:tcPr>
          <w:p w14:paraId="1E655042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300</w:t>
            </w:r>
          </w:p>
        </w:tc>
        <w:tc>
          <w:tcPr>
            <w:tcW w:w="3120" w:type="dxa"/>
          </w:tcPr>
          <w:p w14:paraId="4CB1B3A2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Fractures</w:t>
            </w:r>
          </w:p>
        </w:tc>
        <w:tc>
          <w:tcPr>
            <w:tcW w:w="3120" w:type="dxa"/>
          </w:tcPr>
          <w:p w14:paraId="6F9CA3C9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Parent category (all fractures)</w:t>
            </w:r>
          </w:p>
        </w:tc>
      </w:tr>
      <w:tr w14:paraId="18CB6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120" w:type="dxa"/>
            <w:shd w:val="clear" w:color="auto" w:fill="EEF3F8"/>
          </w:tcPr>
          <w:p w14:paraId="5A333D04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292</w:t>
            </w:r>
          </w:p>
        </w:tc>
        <w:tc>
          <w:tcPr>
            <w:tcW w:w="3120" w:type="dxa"/>
            <w:shd w:val="clear" w:color="auto" w:fill="EEF3F8"/>
          </w:tcPr>
          <w:p w14:paraId="05D5D74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Multiple fractures, dislocations, crashes, wounds, pains, and strains</w:t>
            </w:r>
          </w:p>
        </w:tc>
        <w:tc>
          <w:tcPr>
            <w:tcW w:w="3120" w:type="dxa"/>
            <w:shd w:val="clear" w:color="auto" w:fill="EEF3F8"/>
          </w:tcPr>
          <w:p w14:paraId="5F34F949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Excluded (not a single-site fracture)</w:t>
            </w:r>
          </w:p>
        </w:tc>
      </w:tr>
    </w:tbl>
    <w:p w14:paraId="359ED362">
      <w:pPr>
        <w:spacing w:after="160" w:line="360" w:lineRule="auto"/>
      </w:pPr>
      <w:r>
        <w:rPr>
          <w:rFonts w:ascii="Times New Roman" w:hAnsi="Times New Roman" w:eastAsia="Times New Roman"/>
          <w:b w:val="0"/>
          <w:i/>
          <w:sz w:val="17"/>
        </w:rPr>
        <w:t>Fracture sites are GBD nature-of-injury categories nested under the external cause "falls" (cause_id 697). The twelve single-site groups are those analysed; the parent "Fractures" is reported for the sum check and the residual multiple-injury category is excluded from the twelve-site breakdown.</w:t>
      </w:r>
    </w:p>
    <w:p w14:paraId="37DCE4D1">
      <w:pPr>
        <w:spacing w:after="120"/>
      </w:pPr>
    </w:p>
    <w:p w14:paraId="0C5CC28B">
      <w:pPr>
        <w:keepNext/>
        <w:spacing w:before="8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sz w:val="20"/>
        </w:rPr>
        <w:t xml:space="preserve">Table S5. </w:t>
      </w:r>
      <w:r>
        <w:rPr>
          <w:rFonts w:ascii="Times New Roman" w:hAnsi="Times New Roman" w:eastAsia="Times New Roman"/>
          <w:b w:val="0"/>
          <w:i w:val="0"/>
          <w:sz w:val="20"/>
        </w:rPr>
        <w:t>Additive Das-Gupta three-factor decomposition of the 1990-2023 change in fall burden for China across three age domains (15+, 45+, 60+), showing the contributions of population growth, population ageing and age-specific rate change.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1872"/>
        <w:gridCol w:w="1872"/>
        <w:gridCol w:w="1872"/>
        <w:gridCol w:w="1872"/>
      </w:tblGrid>
      <w:tr w14:paraId="44869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blHeader/>
          <w:jc w:val="center"/>
        </w:trPr>
        <w:tc>
          <w:tcPr>
            <w:tcW w:w="1872" w:type="dxa"/>
            <w:shd w:val="clear" w:color="auto" w:fill="1F4E79"/>
          </w:tcPr>
          <w:p w14:paraId="45F6F574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Age domain</w:t>
            </w:r>
          </w:p>
        </w:tc>
        <w:tc>
          <w:tcPr>
            <w:tcW w:w="1872" w:type="dxa"/>
            <w:shd w:val="clear" w:color="auto" w:fill="1F4E79"/>
          </w:tcPr>
          <w:p w14:paraId="22E5B225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Outcome</w:t>
            </w:r>
          </w:p>
        </w:tc>
        <w:tc>
          <w:tcPr>
            <w:tcW w:w="1872" w:type="dxa"/>
            <w:shd w:val="clear" w:color="auto" w:fill="1F4E79"/>
          </w:tcPr>
          <w:p w14:paraId="1543135F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Population growth, %</w:t>
            </w:r>
          </w:p>
        </w:tc>
        <w:tc>
          <w:tcPr>
            <w:tcW w:w="1872" w:type="dxa"/>
            <w:shd w:val="clear" w:color="auto" w:fill="1F4E79"/>
          </w:tcPr>
          <w:p w14:paraId="2CE002C5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Population ageing, %</w:t>
            </w:r>
          </w:p>
        </w:tc>
        <w:tc>
          <w:tcPr>
            <w:tcW w:w="1872" w:type="dxa"/>
            <w:shd w:val="clear" w:color="auto" w:fill="1F4E79"/>
          </w:tcPr>
          <w:p w14:paraId="0E3A562B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7"/>
              </w:rPr>
              <w:t>Age-specific rate change, %</w:t>
            </w:r>
          </w:p>
        </w:tc>
      </w:tr>
      <w:tr w14:paraId="19200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</w:tcPr>
          <w:p w14:paraId="4B144F03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All adults (15+)</w:t>
            </w:r>
          </w:p>
        </w:tc>
        <w:tc>
          <w:tcPr>
            <w:tcW w:w="1872" w:type="dxa"/>
          </w:tcPr>
          <w:p w14:paraId="0747153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Incident falls</w:t>
            </w:r>
          </w:p>
        </w:tc>
        <w:tc>
          <w:tcPr>
            <w:tcW w:w="1872" w:type="dxa"/>
          </w:tcPr>
          <w:p w14:paraId="2ED4401E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65.8</w:t>
            </w:r>
          </w:p>
        </w:tc>
        <w:tc>
          <w:tcPr>
            <w:tcW w:w="1872" w:type="dxa"/>
          </w:tcPr>
          <w:p w14:paraId="1D4D5723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-21.9</w:t>
            </w:r>
          </w:p>
        </w:tc>
        <w:tc>
          <w:tcPr>
            <w:tcW w:w="1872" w:type="dxa"/>
          </w:tcPr>
          <w:p w14:paraId="1B30B3D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56.1</w:t>
            </w:r>
          </w:p>
        </w:tc>
      </w:tr>
      <w:tr w14:paraId="339B5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  <w:shd w:val="clear" w:color="auto" w:fill="EEF3F8"/>
          </w:tcPr>
          <w:p w14:paraId="6CE2170B">
            <w:pPr>
              <w:spacing w:before="20" w:after="20" w:line="252" w:lineRule="auto"/>
              <w:jc w:val="left"/>
            </w:pPr>
          </w:p>
        </w:tc>
        <w:tc>
          <w:tcPr>
            <w:tcW w:w="1872" w:type="dxa"/>
            <w:shd w:val="clear" w:color="auto" w:fill="EEF3F8"/>
          </w:tcPr>
          <w:p w14:paraId="3FEE5EF5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Deaths</w:t>
            </w:r>
          </w:p>
        </w:tc>
        <w:tc>
          <w:tcPr>
            <w:tcW w:w="1872" w:type="dxa"/>
            <w:shd w:val="clear" w:color="auto" w:fill="EEF3F8"/>
          </w:tcPr>
          <w:p w14:paraId="4AFBA71F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38.3</w:t>
            </w:r>
          </w:p>
        </w:tc>
        <w:tc>
          <w:tcPr>
            <w:tcW w:w="1872" w:type="dxa"/>
            <w:shd w:val="clear" w:color="auto" w:fill="EEF3F8"/>
          </w:tcPr>
          <w:p w14:paraId="0FF1F33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53.7</w:t>
            </w:r>
          </w:p>
        </w:tc>
        <w:tc>
          <w:tcPr>
            <w:tcW w:w="1872" w:type="dxa"/>
            <w:shd w:val="clear" w:color="auto" w:fill="EEF3F8"/>
          </w:tcPr>
          <w:p w14:paraId="58EA5D9D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8.0</w:t>
            </w:r>
          </w:p>
        </w:tc>
      </w:tr>
      <w:tr w14:paraId="09675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</w:tcPr>
          <w:p w14:paraId="610169D8">
            <w:pPr>
              <w:spacing w:before="20" w:after="20" w:line="252" w:lineRule="auto"/>
              <w:jc w:val="left"/>
            </w:pPr>
          </w:p>
        </w:tc>
        <w:tc>
          <w:tcPr>
            <w:tcW w:w="1872" w:type="dxa"/>
          </w:tcPr>
          <w:p w14:paraId="5CE053D4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DALYs</w:t>
            </w:r>
          </w:p>
        </w:tc>
        <w:tc>
          <w:tcPr>
            <w:tcW w:w="1872" w:type="dxa"/>
          </w:tcPr>
          <w:p w14:paraId="6CE83D4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60.6</w:t>
            </w:r>
          </w:p>
        </w:tc>
        <w:tc>
          <w:tcPr>
            <w:tcW w:w="1872" w:type="dxa"/>
          </w:tcPr>
          <w:p w14:paraId="14B6C69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27.4</w:t>
            </w:r>
          </w:p>
        </w:tc>
        <w:tc>
          <w:tcPr>
            <w:tcW w:w="1872" w:type="dxa"/>
          </w:tcPr>
          <w:p w14:paraId="0BE75629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12.0</w:t>
            </w:r>
          </w:p>
        </w:tc>
      </w:tr>
      <w:tr w14:paraId="037A8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  <w:shd w:val="clear" w:color="auto" w:fill="EEF3F8"/>
          </w:tcPr>
          <w:p w14:paraId="18FF4D59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Middle-aged and older (45+)</w:t>
            </w:r>
          </w:p>
        </w:tc>
        <w:tc>
          <w:tcPr>
            <w:tcW w:w="1872" w:type="dxa"/>
            <w:shd w:val="clear" w:color="auto" w:fill="EEF3F8"/>
          </w:tcPr>
          <w:p w14:paraId="130F5D6E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Incident falls</w:t>
            </w:r>
          </w:p>
        </w:tc>
        <w:tc>
          <w:tcPr>
            <w:tcW w:w="1872" w:type="dxa"/>
            <w:shd w:val="clear" w:color="auto" w:fill="EEF3F8"/>
          </w:tcPr>
          <w:p w14:paraId="39B6AB7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70.6</w:t>
            </w:r>
          </w:p>
        </w:tc>
        <w:tc>
          <w:tcPr>
            <w:tcW w:w="1872" w:type="dxa"/>
            <w:shd w:val="clear" w:color="auto" w:fill="EEF3F8"/>
          </w:tcPr>
          <w:p w14:paraId="0659122F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1.3</w:t>
            </w:r>
          </w:p>
        </w:tc>
        <w:tc>
          <w:tcPr>
            <w:tcW w:w="1872" w:type="dxa"/>
            <w:shd w:val="clear" w:color="auto" w:fill="EEF3F8"/>
          </w:tcPr>
          <w:p w14:paraId="08B50BDC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28.0</w:t>
            </w:r>
          </w:p>
        </w:tc>
      </w:tr>
      <w:tr w14:paraId="03CC1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</w:tcPr>
          <w:p w14:paraId="222B151D">
            <w:pPr>
              <w:spacing w:before="20" w:after="20" w:line="252" w:lineRule="auto"/>
              <w:jc w:val="left"/>
            </w:pPr>
          </w:p>
        </w:tc>
        <w:tc>
          <w:tcPr>
            <w:tcW w:w="1872" w:type="dxa"/>
          </w:tcPr>
          <w:p w14:paraId="280D3A3E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Deaths</w:t>
            </w:r>
          </w:p>
        </w:tc>
        <w:tc>
          <w:tcPr>
            <w:tcW w:w="1872" w:type="dxa"/>
          </w:tcPr>
          <w:p w14:paraId="15E1E95C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51.0</w:t>
            </w:r>
          </w:p>
        </w:tc>
        <w:tc>
          <w:tcPr>
            <w:tcW w:w="1872" w:type="dxa"/>
          </w:tcPr>
          <w:p w14:paraId="1334228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41.1</w:t>
            </w:r>
          </w:p>
        </w:tc>
        <w:tc>
          <w:tcPr>
            <w:tcW w:w="1872" w:type="dxa"/>
          </w:tcPr>
          <w:p w14:paraId="0DF03781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7.8</w:t>
            </w:r>
          </w:p>
        </w:tc>
      </w:tr>
      <w:tr w14:paraId="72987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  <w:shd w:val="clear" w:color="auto" w:fill="EEF3F8"/>
          </w:tcPr>
          <w:p w14:paraId="6D2D03AF">
            <w:pPr>
              <w:spacing w:before="20" w:after="20" w:line="252" w:lineRule="auto"/>
              <w:jc w:val="left"/>
            </w:pPr>
          </w:p>
        </w:tc>
        <w:tc>
          <w:tcPr>
            <w:tcW w:w="1872" w:type="dxa"/>
            <w:shd w:val="clear" w:color="auto" w:fill="EEF3F8"/>
          </w:tcPr>
          <w:p w14:paraId="623A49FA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DALYs</w:t>
            </w:r>
          </w:p>
        </w:tc>
        <w:tc>
          <w:tcPr>
            <w:tcW w:w="1872" w:type="dxa"/>
            <w:shd w:val="clear" w:color="auto" w:fill="EEF3F8"/>
          </w:tcPr>
          <w:p w14:paraId="566AAFBC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79.8</w:t>
            </w:r>
          </w:p>
        </w:tc>
        <w:tc>
          <w:tcPr>
            <w:tcW w:w="1872" w:type="dxa"/>
            <w:shd w:val="clear" w:color="auto" w:fill="EEF3F8"/>
          </w:tcPr>
          <w:p w14:paraId="72A5288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8.0</w:t>
            </w:r>
          </w:p>
        </w:tc>
        <w:tc>
          <w:tcPr>
            <w:tcW w:w="1872" w:type="dxa"/>
            <w:shd w:val="clear" w:color="auto" w:fill="EEF3F8"/>
          </w:tcPr>
          <w:p w14:paraId="598825B8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12.2</w:t>
            </w:r>
          </w:p>
        </w:tc>
      </w:tr>
      <w:tr w14:paraId="4E741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</w:tcPr>
          <w:p w14:paraId="22104879">
            <w:pPr>
              <w:spacing w:before="20" w:after="20" w:line="252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Older (60+)</w:t>
            </w:r>
          </w:p>
        </w:tc>
        <w:tc>
          <w:tcPr>
            <w:tcW w:w="1872" w:type="dxa"/>
          </w:tcPr>
          <w:p w14:paraId="17C19D5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Incident falls</w:t>
            </w:r>
          </w:p>
        </w:tc>
        <w:tc>
          <w:tcPr>
            <w:tcW w:w="1872" w:type="dxa"/>
          </w:tcPr>
          <w:p w14:paraId="2555E0F6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66.7</w:t>
            </w:r>
          </w:p>
        </w:tc>
        <w:tc>
          <w:tcPr>
            <w:tcW w:w="1872" w:type="dxa"/>
          </w:tcPr>
          <w:p w14:paraId="2D4202D9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5.9</w:t>
            </w:r>
          </w:p>
        </w:tc>
        <w:tc>
          <w:tcPr>
            <w:tcW w:w="1872" w:type="dxa"/>
          </w:tcPr>
          <w:p w14:paraId="5EF0BC1C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27.4</w:t>
            </w:r>
          </w:p>
        </w:tc>
      </w:tr>
      <w:tr w14:paraId="58D5F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  <w:shd w:val="clear" w:color="auto" w:fill="EEF3F8"/>
          </w:tcPr>
          <w:p w14:paraId="55415BE8">
            <w:pPr>
              <w:spacing w:before="20" w:after="20" w:line="252" w:lineRule="auto"/>
              <w:jc w:val="left"/>
            </w:pPr>
          </w:p>
        </w:tc>
        <w:tc>
          <w:tcPr>
            <w:tcW w:w="1872" w:type="dxa"/>
            <w:shd w:val="clear" w:color="auto" w:fill="EEF3F8"/>
          </w:tcPr>
          <w:p w14:paraId="6B76CF80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Deaths</w:t>
            </w:r>
          </w:p>
        </w:tc>
        <w:tc>
          <w:tcPr>
            <w:tcW w:w="1872" w:type="dxa"/>
            <w:shd w:val="clear" w:color="auto" w:fill="EEF3F8"/>
          </w:tcPr>
          <w:p w14:paraId="7CACDC95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56.0</w:t>
            </w:r>
          </w:p>
        </w:tc>
        <w:tc>
          <w:tcPr>
            <w:tcW w:w="1872" w:type="dxa"/>
            <w:shd w:val="clear" w:color="auto" w:fill="EEF3F8"/>
          </w:tcPr>
          <w:p w14:paraId="767C290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36.0</w:t>
            </w:r>
          </w:p>
        </w:tc>
        <w:tc>
          <w:tcPr>
            <w:tcW w:w="1872" w:type="dxa"/>
            <w:shd w:val="clear" w:color="auto" w:fill="EEF3F8"/>
          </w:tcPr>
          <w:p w14:paraId="159EA703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8.0</w:t>
            </w:r>
          </w:p>
        </w:tc>
      </w:tr>
      <w:tr w14:paraId="6A6FB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72" w:type="dxa"/>
          </w:tcPr>
          <w:p w14:paraId="4B3FA920">
            <w:pPr>
              <w:spacing w:before="20" w:after="20" w:line="252" w:lineRule="auto"/>
              <w:jc w:val="left"/>
            </w:pPr>
          </w:p>
        </w:tc>
        <w:tc>
          <w:tcPr>
            <w:tcW w:w="1872" w:type="dxa"/>
          </w:tcPr>
          <w:p w14:paraId="1E7FECD7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DALYs</w:t>
            </w:r>
          </w:p>
        </w:tc>
        <w:tc>
          <w:tcPr>
            <w:tcW w:w="1872" w:type="dxa"/>
          </w:tcPr>
          <w:p w14:paraId="7A7F559C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79.0</w:t>
            </w:r>
          </w:p>
        </w:tc>
        <w:tc>
          <w:tcPr>
            <w:tcW w:w="1872" w:type="dxa"/>
          </w:tcPr>
          <w:p w14:paraId="79EB567F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8.0</w:t>
            </w:r>
          </w:p>
        </w:tc>
        <w:tc>
          <w:tcPr>
            <w:tcW w:w="1872" w:type="dxa"/>
          </w:tcPr>
          <w:p w14:paraId="2F506960">
            <w:pPr>
              <w:spacing w:before="20" w:after="20" w:line="252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17"/>
              </w:rPr>
              <w:t>13.1</w:t>
            </w:r>
          </w:p>
        </w:tc>
      </w:tr>
    </w:tbl>
    <w:p w14:paraId="44C460C1">
      <w:pPr>
        <w:spacing w:after="160" w:line="360" w:lineRule="auto"/>
      </w:pPr>
      <w:r>
        <w:rPr>
          <w:rFonts w:ascii="Times New Roman" w:hAnsi="Times New Roman" w:eastAsia="Times New Roman"/>
          <w:b w:val="0"/>
          <w:i/>
          <w:sz w:val="17"/>
        </w:rPr>
        <w:t>Additive Das-Gupta three-factor decomposition of the 1990-2023 change in China. The three components sum to the observed total (rows may total 99.9-100.1% because of rounding). Ageing is the largest component for all-adult (15+) deaths (53.7%) but the second-largest for deaths at 45+ (41.1%, after population growth at 51.0%); population growth dominates the non-fatal series at 45+. The single negative component, -21.9% for ageing in 15+ incident falls, is not an error: the 15+ domain contains the high-incidence young-adult limb of the J-shaped age curve (Fig. 4A), and population ageing moves people out of that young-adult segment, whereas the ageing component turns positive once the domain is restricted to 45+ or 60+.</w:t>
      </w:r>
    </w:p>
    <w:p w14:paraId="223939A6">
      <w:pPr>
        <w:spacing w:after="120"/>
      </w:pPr>
    </w:p>
    <w:sectPr>
      <w:foot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72477E">
    <w:pPr>
      <w:pStyle w:val="24"/>
      <w:jc w:val="center"/>
    </w:pPr>
    <w:r>
      <w:rPr>
        <w:rFonts w:ascii="Times New Roman" w:hAnsi="Times New Roman" w:eastAsia="Times New Roman"/>
        <w:b w:val="0"/>
        <w:i w:val="0"/>
        <w:sz w:val="18"/>
      </w:rPr>
      <w:fldChar w:fldCharType="begin"/>
    </w:r>
    <w:r>
      <w:rPr>
        <w:rFonts w:ascii="Times New Roman" w:hAnsi="Times New Roman" w:eastAsia="Times New Roman"/>
        <w:b w:val="0"/>
        <w:i w:val="0"/>
        <w:sz w:val="18"/>
      </w:rPr>
      <w:instrText xml:space="preserve">PAGE</w:instrText>
    </w:r>
    <w:r>
      <w:rPr>
        <w:rFonts w:ascii="Times New Roman" w:hAnsi="Times New Roman" w:eastAsia="Times New Roman"/>
        <w:b w:val="0"/>
        <w:i w:val="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1F3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</w:pPr>
    <w:rPr>
      <w:rFonts w:ascii="Times New Roman" w:hAnsi="Times New Roman" w:eastAsia="Times New Roman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80" w:after="160"/>
      <w:outlineLvl w:val="0"/>
    </w:pPr>
    <w:rPr>
      <w:rFonts w:asciiTheme="majorHAnsi" w:hAnsiTheme="majorHAnsi" w:eastAsiaTheme="majorEastAsia" w:cstheme="majorBidi"/>
      <w:b/>
      <w:bCs/>
      <w:color w:val="1F2A44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120"/>
      <w:outlineLvl w:val="1"/>
    </w:pPr>
    <w:rPr>
      <w:rFonts w:asciiTheme="majorHAnsi" w:hAnsiTheme="majorHAnsi" w:eastAsiaTheme="majorEastAsia" w:cstheme="majorBidi"/>
      <w:b/>
      <w:bCs/>
      <w:color w:val="1F2A44"/>
      <w:sz w:val="24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b/>
      <w:bCs/>
      <w:color w:val="1F2A44"/>
      <w:sz w:val="22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947</Words>
  <Characters>5707</Characters>
  <Lines>0</Lines>
  <Paragraphs>0</Paragraphs>
  <TotalTime>0</TotalTime>
  <ScaleCrop>false</ScaleCrop>
  <LinksUpToDate>false</LinksUpToDate>
  <CharactersWithSpaces>6443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秋实</cp:lastModifiedBy>
  <dcterms:modified xsi:type="dcterms:W3CDTF">2026-09-11T13:03:15Z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eyJoZGlkIjoiMjk5YzJmMDg4YzkyNzdjMjA5N2MxZDYzMjA4NjE5OTQiLCJ1c2VySWQiOiI0MTU1NjczMjIifQ==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515AF69C4D8144D5A3E15076F2D09A4C_12</vt:lpwstr>
  </property>
</Properties>
</file>