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Arial" w:hAnsi="Arial"/>
          <w:b/>
          <w:sz w:val="28"/>
        </w:rPr>
        <w:t>Additional file 1</w:t>
      </w:r>
    </w:p>
    <w:p>
      <w:pPr>
        <w:spacing w:after="160"/>
        <w:jc w:val="center"/>
      </w:pPr>
      <w:r>
        <w:rPr>
          <w:rFonts w:ascii="Arial" w:hAnsi="Arial"/>
          <w:b/>
          <w:sz w:val="24"/>
        </w:rPr>
        <w:t>STROBE Cohort and STROBE-nut Reporting Checklists</w:t>
      </w:r>
    </w:p>
    <w:p>
      <w:pPr>
        <w:spacing w:after="120" w:line="252" w:lineRule="auto"/>
      </w:pPr>
      <w:r>
        <w:rPr>
          <w:rFonts w:ascii="Arial" w:hAnsi="Arial"/>
          <w:b/>
          <w:i w:val="0"/>
          <w:sz w:val="19"/>
        </w:rPr>
        <w:t>Manuscript: Association of Pre-Stroke Dietary Inflammatory Potential with Admission Neurological Deficit and 90-Day Functional Outcome after Acute Ischemic Stroke</w:t>
      </w:r>
      <w:r>
        <w:rPr>
          <w:rFonts w:ascii="Arial" w:hAnsi="Arial"/>
          <w:b w:val="0"/>
          <w:i w:val="0"/>
          <w:sz w:val="19"/>
        </w:rPr>
      </w:r>
    </w:p>
    <w:p>
      <w:pPr>
        <w:spacing w:after="160" w:line="252" w:lineRule="auto"/>
      </w:pPr>
      <w:r>
        <w:rPr>
          <w:rFonts w:ascii="Arial" w:hAnsi="Arial"/>
          <w:b/>
          <w:i w:val="0"/>
          <w:sz w:val="18"/>
        </w:rPr>
        <w:t>Page-number convention: page references below refer to the revised submission manuscript beginning with the title page as page 1. Items marked as not applicable or incompletely reported are stated explicitly rather than inferred.</w:t>
      </w:r>
      <w:r>
        <w:rPr>
          <w:rFonts w:ascii="Arial" w:hAnsi="Arial"/>
          <w:b w:val="0"/>
          <w:i w:val="0"/>
          <w:sz w:val="18"/>
        </w:rPr>
      </w:r>
    </w:p>
    <w:p>
      <w:pPr>
        <w:spacing w:before="100" w:after="100"/>
      </w:pPr>
      <w:r>
        <w:rPr>
          <w:rFonts w:ascii="Arial" w:hAnsi="Arial"/>
          <w:b/>
          <w:sz w:val="22"/>
        </w:rPr>
        <w:t>A. STROBE checklist for cohort studies</w:t>
      </w:r>
    </w:p>
    <w:tbl>
      <w:tblPr>
        <w:tblW w:type="auto" w:w="0"/>
        <w:tblLayout w:type="fixed"/>
        <w:tblLook w:firstColumn="1" w:firstRow="1" w:lastColumn="0" w:lastRow="0" w:noHBand="0" w:noVBand="1" w:val="04A0"/>
        <w:tblBorders>
          <w:top w:val="single" w:sz="12" w:color="000000"/>
          <w:left w:val="nil"/>
          <w:bottom w:val="single" w:sz="12" w:color="000000"/>
          <w:right w:val="nil"/>
          <w:insideH w:val="nil"/>
          <w:insideV w:val="nil"/>
        </w:tblBorders>
      </w:tblPr>
      <w:tblGrid>
        <w:gridCol w:w="2628"/>
        <w:gridCol w:w="2628"/>
        <w:gridCol w:w="2628"/>
        <w:gridCol w:w="2628"/>
      </w:tblGrid>
      <w:tr>
        <w:trPr>
          <w:tblHeader w:val="true"/>
        </w:trPr>
        <w:tc>
          <w:tcPr>
            <w:tcW w:type="dxa" w:w="1512"/>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Section</w:t>
            </w:r>
          </w:p>
        </w:tc>
        <w:tc>
          <w:tcPr>
            <w:tcW w:type="dxa" w:w="792"/>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Item</w:t>
            </w:r>
          </w:p>
        </w:tc>
        <w:tc>
          <w:tcPr>
            <w:tcW w:type="dxa" w:w="5688"/>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Reporting recommendation</w:t>
            </w:r>
          </w:p>
        </w:tc>
        <w:tc>
          <w:tcPr>
            <w:tcW w:type="dxa" w:w="2520"/>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Manuscript page / section</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Title and abstract</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1a</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Identify the study design using a standard term in the title or abstract.</w:t>
            </w:r>
          </w:p>
        </w:tc>
        <w:tc>
          <w:tcPr>
            <w:tcW w:type="dxa" w:w="2520"/>
            <w:vAlign w:val="center"/>
            <w:tcMar>
              <w:top w:w="80" w:type="dxa"/>
              <w:start w:w="85" w:type="dxa"/>
              <w:bottom w:w="80" w:type="dxa"/>
              <w:end w:w="85" w:type="dxa"/>
            </w:tcMar>
          </w:tcPr>
          <w:p>
            <w:r>
              <w:t>p. 2, Abstract-Methods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Title and abstract</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1b</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Provide an informative, balanced abstract summarizing methods and principal findings.</w:t>
            </w:r>
          </w:p>
        </w:tc>
        <w:tc>
          <w:tcPr>
            <w:tcW w:type="dxa" w:w="2520"/>
            <w:vAlign w:val="center"/>
            <w:tcMar>
              <w:top w:w="80" w:type="dxa"/>
              <w:start w:w="85" w:type="dxa"/>
              <w:bottom w:w="80" w:type="dxa"/>
              <w:end w:w="85" w:type="dxa"/>
            </w:tcMar>
          </w:tcPr>
          <w:p>
            <w:r>
              <w:t>p. 2, Abstract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Introduction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2</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Explain the scientific background and rationale.</w:t>
            </w:r>
          </w:p>
        </w:tc>
        <w:tc>
          <w:tcPr>
            <w:tcW w:type="dxa" w:w="2520"/>
            <w:vAlign w:val="center"/>
            <w:tcMar>
              <w:top w:w="80" w:type="dxa"/>
              <w:start w:w="85" w:type="dxa"/>
              <w:bottom w:w="80" w:type="dxa"/>
              <w:end w:w="85" w:type="dxa"/>
            </w:tcMar>
          </w:tcPr>
          <w:p>
            <w:r>
              <w:t>pp. 3-4, Background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Introduction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3</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State the study objectives and any prespecified hypotheses.</w:t>
            </w:r>
          </w:p>
        </w:tc>
        <w:tc>
          <w:tcPr>
            <w:tcW w:type="dxa" w:w="2520"/>
            <w:vAlign w:val="center"/>
            <w:tcMar>
              <w:top w:w="80" w:type="dxa"/>
              <w:start w:w="85" w:type="dxa"/>
              <w:bottom w:w="80" w:type="dxa"/>
              <w:end w:w="85" w:type="dxa"/>
            </w:tcMar>
          </w:tcPr>
          <w:p>
            <w:r>
              <w:t>p. 4, final paragraph of Background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4</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Present key elements of the study design early in the Methods.</w:t>
            </w:r>
          </w:p>
        </w:tc>
        <w:tc>
          <w:tcPr>
            <w:tcW w:type="dxa" w:w="2520"/>
            <w:vAlign w:val="center"/>
            <w:tcMar>
              <w:top w:w="80" w:type="dxa"/>
              <w:start w:w="85" w:type="dxa"/>
              <w:bottom w:w="80" w:type="dxa"/>
              <w:end w:w="85" w:type="dxa"/>
            </w:tcMar>
          </w:tcPr>
          <w:p>
            <w:r>
              <w:t>p. 4, Study design and setting</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5</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setting, location, and relevant dates for recruitment, exposure, follow-up, and data collection.</w:t>
            </w:r>
          </w:p>
        </w:tc>
        <w:tc>
          <w:tcPr>
            <w:tcW w:type="dxa" w:w="2520"/>
            <w:vAlign w:val="center"/>
            <w:tcMar>
              <w:top w:w="80" w:type="dxa"/>
              <w:start w:w="85" w:type="dxa"/>
              <w:bottom w:w="80" w:type="dxa"/>
              <w:end w:w="85" w:type="dxa"/>
            </w:tcMar>
          </w:tcPr>
          <w:p>
            <w:r>
              <w:t>pp. 4-9, Study design and setting; Dietary assessment; Outcome assessment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6a</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Give eligibility criteria, sources and methods of participant selection, and follow-up methods.</w:t>
            </w:r>
          </w:p>
        </w:tc>
        <w:tc>
          <w:tcPr>
            <w:tcW w:type="dxa" w:w="2520"/>
            <w:vAlign w:val="center"/>
            <w:tcMar>
              <w:top w:w="80" w:type="dxa"/>
              <w:start w:w="85" w:type="dxa"/>
              <w:bottom w:w="80" w:type="dxa"/>
              <w:end w:w="85" w:type="dxa"/>
            </w:tcMar>
          </w:tcPr>
          <w:p>
            <w:r>
              <w:t>p. 5, Study participants; p. 9, Outcome assessment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6b</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For matched cohort studies, report matching criteria and numbers in exposure groups.</w:t>
            </w:r>
          </w:p>
        </w:tc>
        <w:tc>
          <w:tcPr>
            <w:tcW w:type="dxa" w:w="2520"/>
            <w:vAlign w:val="center"/>
            <w:tcMar>
              <w:top w:w="80" w:type="dxa"/>
              <w:start w:w="85" w:type="dxa"/>
              <w:bottom w:w="80" w:type="dxa"/>
              <w:end w:w="85" w:type="dxa"/>
            </w:tcMar>
          </w:tcPr>
          <w:p>
            <w:r>
              <w:t>N/A - no matching was used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7</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Define outcomes, exposures, confounders, effect modifiers, and diagnostic criteria where relevant.</w:t>
            </w:r>
          </w:p>
        </w:tc>
        <w:tc>
          <w:tcPr>
            <w:tcW w:type="dxa" w:w="2520"/>
            <w:vAlign w:val="center"/>
            <w:tcMar>
              <w:top w:w="80" w:type="dxa"/>
              <w:start w:w="85" w:type="dxa"/>
              <w:bottom w:w="80" w:type="dxa"/>
              <w:end w:w="85" w:type="dxa"/>
            </w:tcMar>
          </w:tcPr>
          <w:p>
            <w:r>
              <w:t>pp. 7-10, DII calculation; Clinical and laboratory data; Outcome assessment; Covariates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8</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For each variable, describe data sources and measurement methods; indicate comparability across groups if relevant.</w:t>
            </w:r>
          </w:p>
        </w:tc>
        <w:tc>
          <w:tcPr>
            <w:tcW w:type="dxa" w:w="2520"/>
            <w:vAlign w:val="center"/>
            <w:tcMar>
              <w:top w:w="80" w:type="dxa"/>
              <w:start w:w="85" w:type="dxa"/>
              <w:bottom w:w="80" w:type="dxa"/>
              <w:end w:w="85" w:type="dxa"/>
            </w:tcMar>
          </w:tcPr>
          <w:p>
            <w:r>
              <w:t>pp. 6-9, Dietary assessment; Clinical and laboratory data; Outcome assessment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9</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efforts to address potential sources of bias.</w:t>
            </w:r>
          </w:p>
        </w:tc>
        <w:tc>
          <w:tcPr>
            <w:tcW w:type="dxa" w:w="2520"/>
            <w:vAlign w:val="center"/>
            <w:tcMar>
              <w:top w:w="80" w:type="dxa"/>
              <w:start w:w="85" w:type="dxa"/>
              <w:bottom w:w="80" w:type="dxa"/>
              <w:end w:w="85" w:type="dxa"/>
            </w:tcMar>
          </w:tcPr>
          <w:p>
            <w:r>
              <w:t>pp. 5-7, eligibility/energy-plausibility screening and standardized dietary procedures; pp. 23-25, Limitations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10</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Explain how the study size was determined.</w:t>
            </w:r>
          </w:p>
        </w:tc>
        <w:tc>
          <w:tcPr>
            <w:tcW w:type="dxa" w:w="2520"/>
            <w:vAlign w:val="center"/>
            <w:tcMar>
              <w:top w:w="80" w:type="dxa"/>
              <w:start w:w="85" w:type="dxa"/>
              <w:bottom w:w="80" w:type="dxa"/>
              <w:end w:w="85" w:type="dxa"/>
            </w:tcMar>
          </w:tcPr>
          <w:p>
            <w:r>
              <w:t>pp. 4-5, consecutive cohort and participant selection; no separate a priori sample-size calculation was performed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Explain handling of quantitative variables and any categorization, including rationale for groups.</w:t>
            </w:r>
          </w:p>
        </w:tc>
        <w:tc>
          <w:tcPr>
            <w:tcW w:type="dxa" w:w="2520"/>
            <w:vAlign w:val="center"/>
            <w:tcMar>
              <w:top w:w="80" w:type="dxa"/>
              <w:start w:w="85" w:type="dxa"/>
              <w:bottom w:w="80" w:type="dxa"/>
              <w:end w:w="85" w:type="dxa"/>
            </w:tcMar>
          </w:tcPr>
          <w:p>
            <w:r>
              <w:t>p. 10, Statistical analysis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12a</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statistical methods, including methods used to control confounding.</w:t>
            </w:r>
          </w:p>
        </w:tc>
        <w:tc>
          <w:tcPr>
            <w:tcW w:type="dxa" w:w="2520"/>
            <w:vAlign w:val="center"/>
            <w:tcMar>
              <w:top w:w="80" w:type="dxa"/>
              <w:start w:w="85" w:type="dxa"/>
              <w:bottom w:w="80" w:type="dxa"/>
              <w:end w:w="85" w:type="dxa"/>
            </w:tcMar>
          </w:tcPr>
          <w:p>
            <w:r>
              <w:t>pp. 10-13, Covariates and Statistical analysis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12b</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methods for subgroup analyses and interactions.</w:t>
            </w:r>
          </w:p>
        </w:tc>
        <w:tc>
          <w:tcPr>
            <w:tcW w:type="dxa" w:w="2520"/>
            <w:vAlign w:val="center"/>
            <w:tcMar>
              <w:top w:w="80" w:type="dxa"/>
              <w:start w:w="85" w:type="dxa"/>
              <w:bottom w:w="80" w:type="dxa"/>
              <w:end w:w="85" w:type="dxa"/>
            </w:tcMar>
          </w:tcPr>
          <w:p>
            <w:r>
              <w:t>pp. 11-13, sensitivity and DII-TyG interaction analyses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12c</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Explain how missing data were handled.</w:t>
            </w:r>
          </w:p>
        </w:tc>
        <w:tc>
          <w:tcPr>
            <w:tcW w:type="dxa" w:w="2520"/>
            <w:vAlign w:val="center"/>
            <w:tcMar>
              <w:top w:w="80" w:type="dxa"/>
              <w:start w:w="85" w:type="dxa"/>
              <w:bottom w:w="80" w:type="dxa"/>
              <w:end w:w="85" w:type="dxa"/>
            </w:tcMar>
          </w:tcPr>
          <w:p>
            <w:r>
              <w:t>p. 13, complete-case analysis and available-case biomarker analyses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12d</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For cohort studies, explain how loss to follow-up was addressed.</w:t>
            </w:r>
          </w:p>
        </w:tc>
        <w:tc>
          <w:tcPr>
            <w:tcW w:type="dxa" w:w="2520"/>
            <w:vAlign w:val="center"/>
            <w:tcMar>
              <w:top w:w="80" w:type="dxa"/>
              <w:start w:w="85" w:type="dxa"/>
              <w:bottom w:w="80" w:type="dxa"/>
              <w:end w:w="85" w:type="dxa"/>
            </w:tcMar>
          </w:tcPr>
          <w:p>
            <w:r>
              <w:t>p. 5, no loss to follow-up; p. 9, 90-day follow-up procedure</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12e</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sensitivity analyses.</w:t>
            </w:r>
          </w:p>
        </w:tc>
        <w:tc>
          <w:tcPr>
            <w:tcW w:type="dxa" w:w="2520"/>
            <w:vAlign w:val="center"/>
            <w:tcMar>
              <w:top w:w="80" w:type="dxa"/>
              <w:start w:w="85" w:type="dxa"/>
              <w:bottom w:w="80" w:type="dxa"/>
              <w:end w:w="85" w:type="dxa"/>
            </w:tcMar>
          </w:tcPr>
          <w:p>
            <w:r>
              <w:t>pp. 11-13, sensitivity, interaction, and robustness analyses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13a</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numbers of individuals at each stage of the study.</w:t>
            </w:r>
          </w:p>
        </w:tc>
        <w:tc>
          <w:tcPr>
            <w:tcW w:type="dxa" w:w="2520"/>
            <w:vAlign w:val="center"/>
            <w:tcMar>
              <w:top w:w="80" w:type="dxa"/>
              <w:start w:w="85" w:type="dxa"/>
              <w:bottom w:w="80" w:type="dxa"/>
              <w:end w:w="85" w:type="dxa"/>
            </w:tcMar>
          </w:tcPr>
          <w:p>
            <w:r>
              <w:t>p. 13, Participant selection and analytical cohorts; Figure 1</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13b</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Give reasons for non-participation or exclusion at each stage.</w:t>
            </w:r>
          </w:p>
        </w:tc>
        <w:tc>
          <w:tcPr>
            <w:tcW w:type="dxa" w:w="2520"/>
            <w:vAlign w:val="center"/>
            <w:tcMar>
              <w:top w:w="80" w:type="dxa"/>
              <w:start w:w="85" w:type="dxa"/>
              <w:bottom w:w="80" w:type="dxa"/>
              <w:end w:w="85" w:type="dxa"/>
            </w:tcMar>
          </w:tcPr>
          <w:p>
            <w:r>
              <w:t>p. 13 and Figure 1: aggregate stage counts and criteria are reported; reason-specific counts were not recoverable</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13c</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Consider a participant flow diagram.</w:t>
            </w:r>
          </w:p>
        </w:tc>
        <w:tc>
          <w:tcPr>
            <w:tcW w:type="dxa" w:w="2520"/>
            <w:vAlign w:val="center"/>
            <w:tcMar>
              <w:top w:w="80" w:type="dxa"/>
              <w:start w:w="85" w:type="dxa"/>
              <w:bottom w:w="80" w:type="dxa"/>
              <w:end w:w="85" w:type="dxa"/>
            </w:tcMar>
          </w:tcPr>
          <w:p>
            <w:r>
              <w:t>Figure 1</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14a</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participant characteristics and information on exposures and potential confounders.</w:t>
            </w:r>
          </w:p>
        </w:tc>
        <w:tc>
          <w:tcPr>
            <w:tcW w:type="dxa" w:w="2520"/>
            <w:vAlign w:val="center"/>
            <w:tcMar>
              <w:top w:w="80" w:type="dxa"/>
              <w:start w:w="85" w:type="dxa"/>
              <w:bottom w:w="80" w:type="dxa"/>
              <w:end w:w="85" w:type="dxa"/>
            </w:tcMar>
          </w:tcPr>
          <w:p>
            <w:r>
              <w:t>pp. 14-15, Baseline characteristics; Table 1; Table S7</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14b</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Indicate numbers with missing data for each variable of interest.</w:t>
            </w:r>
          </w:p>
        </w:tc>
        <w:tc>
          <w:tcPr>
            <w:tcW w:type="dxa" w:w="2520"/>
            <w:vAlign w:val="center"/>
            <w:tcMar>
              <w:top w:w="80" w:type="dxa"/>
              <w:start w:w="85" w:type="dxa"/>
              <w:bottom w:w="80" w:type="dxa"/>
              <w:end w:w="85" w:type="dxa"/>
            </w:tcMar>
          </w:tcPr>
          <w:p>
            <w:r>
              <w:t>Table 1 and Table S7; missing counts shown where applicable</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14c</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Summarize follow-up time.</w:t>
            </w:r>
          </w:p>
        </w:tc>
        <w:tc>
          <w:tcPr>
            <w:tcW w:type="dxa" w:w="2520"/>
            <w:vAlign w:val="center"/>
            <w:tcMar>
              <w:top w:w="80" w:type="dxa"/>
              <w:start w:w="85" w:type="dxa"/>
              <w:bottom w:w="80" w:type="dxa"/>
              <w:end w:w="85" w:type="dxa"/>
            </w:tcMar>
          </w:tcPr>
          <w:p>
            <w:r>
              <w:t>Fixed 90-day outcome; follow-up window 90 +/- 7 days after hospital admission reported on p. 9</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15</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outcome events or summary measures over time.</w:t>
            </w:r>
          </w:p>
        </w:tc>
        <w:tc>
          <w:tcPr>
            <w:tcW w:type="dxa" w:w="2520"/>
            <w:vAlign w:val="center"/>
            <w:tcMar>
              <w:top w:w="80" w:type="dxa"/>
              <w:start w:w="85" w:type="dxa"/>
              <w:bottom w:w="80" w:type="dxa"/>
              <w:end w:w="85" w:type="dxa"/>
            </w:tcMar>
          </w:tcPr>
          <w:p>
            <w:r>
              <w:t>pp. 16-19, DII and 90-day functional outcome; DII and initial neurological deficit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16a</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unadjusted and adjusted estimates with precision; specify adjusted covariates and rationale.</w:t>
            </w:r>
          </w:p>
        </w:tc>
        <w:tc>
          <w:tcPr>
            <w:tcW w:type="dxa" w:w="2520"/>
            <w:vAlign w:val="center"/>
            <w:tcMar>
              <w:top w:w="80" w:type="dxa"/>
              <w:start w:w="85" w:type="dxa"/>
              <w:bottom w:w="80" w:type="dxa"/>
              <w:end w:w="85" w:type="dxa"/>
            </w:tcMar>
          </w:tcPr>
          <w:p>
            <w:r>
              <w:t>pp. 10-13, Covariates/Statistical analysis; pp. 16-19, Results; Tables 2-3</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16b</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category boundaries when continuous variables are categorized.</w:t>
            </w:r>
          </w:p>
        </w:tc>
        <w:tc>
          <w:tcPr>
            <w:tcW w:type="dxa" w:w="2520"/>
            <w:vAlign w:val="center"/>
            <w:tcMar>
              <w:top w:w="80" w:type="dxa"/>
              <w:start w:w="85" w:type="dxa"/>
              <w:bottom w:w="80" w:type="dxa"/>
              <w:end w:w="85" w:type="dxa"/>
            </w:tcMar>
          </w:tcPr>
          <w:p>
            <w:r>
              <w:t>p. 10, DII quartiles and trend approach; Tables 1-2</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16c</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If relevant, translate relative estimates into absolute risk over a meaningful period.</w:t>
            </w:r>
          </w:p>
        </w:tc>
        <w:tc>
          <w:tcPr>
            <w:tcW w:type="dxa" w:w="2520"/>
            <w:vAlign w:val="center"/>
            <w:tcMar>
              <w:top w:w="80" w:type="dxa"/>
              <w:start w:w="85" w:type="dxa"/>
              <w:bottom w:w="80" w:type="dxa"/>
              <w:end w:w="85" w:type="dxa"/>
            </w:tcMar>
          </w:tcPr>
          <w:p>
            <w:r>
              <w:t>Not presented; primary inferential results are ORs for fixed 90-day outcomes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17</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other analyses, including subgroup, interaction, and sensitivity analyses.</w:t>
            </w:r>
          </w:p>
        </w:tc>
        <w:tc>
          <w:tcPr>
            <w:tcW w:type="dxa" w:w="2520"/>
            <w:vAlign w:val="center"/>
            <w:tcMar>
              <w:top w:w="80" w:type="dxa"/>
              <w:start w:w="85" w:type="dxa"/>
              <w:bottom w:w="80" w:type="dxa"/>
              <w:end w:w="85" w:type="dxa"/>
            </w:tcMar>
          </w:tcPr>
          <w:p>
            <w:r>
              <w:t>pp. 18-20, Sensitivity analyses; Exploratory TyG and interaction analyses; Tables 3, S4, S5, S8</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18</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Summarize key results with reference to the study objectives.</w:t>
            </w:r>
          </w:p>
        </w:tc>
        <w:tc>
          <w:tcPr>
            <w:tcW w:type="dxa" w:w="2520"/>
            <w:vAlign w:val="center"/>
            <w:tcMar>
              <w:top w:w="80" w:type="dxa"/>
              <w:start w:w="85" w:type="dxa"/>
              <w:bottom w:w="80" w:type="dxa"/>
              <w:end w:w="85" w:type="dxa"/>
            </w:tcMar>
          </w:tcPr>
          <w:p>
            <w:r>
              <w:t>p. 21, first paragraph of Discussion</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19</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 study limitations, including direction and magnitude of potential bias or imprecision.</w:t>
            </w:r>
          </w:p>
        </w:tc>
        <w:tc>
          <w:tcPr>
            <w:tcW w:type="dxa" w:w="2520"/>
            <w:vAlign w:val="center"/>
            <w:tcMar>
              <w:top w:w="80" w:type="dxa"/>
              <w:start w:w="85" w:type="dxa"/>
              <w:bottom w:w="80" w:type="dxa"/>
              <w:end w:w="85" w:type="dxa"/>
            </w:tcMar>
          </w:tcPr>
          <w:p>
            <w:r>
              <w:t>pp. 23-25, Limitations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20</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Provide a cautious overall interpretation considering objectives, limitations, multiplicity, and other evidence.</w:t>
            </w:r>
          </w:p>
        </w:tc>
        <w:tc>
          <w:tcPr>
            <w:tcW w:type="dxa" w:w="2520"/>
            <w:vAlign w:val="center"/>
            <w:tcMar>
              <w:top w:w="80" w:type="dxa"/>
              <w:start w:w="85" w:type="dxa"/>
              <w:bottom w:w="80" w:type="dxa"/>
              <w:end w:w="85" w:type="dxa"/>
            </w:tcMar>
          </w:tcPr>
          <w:p>
            <w:r>
              <w:t>pp. 21-25, Discussion and Conclusions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21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 generalizability of the results.</w:t>
            </w:r>
          </w:p>
        </w:tc>
        <w:tc>
          <w:tcPr>
            <w:tcW w:type="dxa" w:w="2520"/>
            <w:vAlign w:val="center"/>
            <w:tcMar>
              <w:top w:w="80" w:type="dxa"/>
              <w:start w:w="85" w:type="dxa"/>
              <w:bottom w:w="80" w:type="dxa"/>
              <w:end w:w="85" w:type="dxa"/>
            </w:tcMar>
          </w:tcPr>
          <w:p>
            <w:r>
              <w:t>pp. 23-25, Limitations and Conclusions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Other information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22</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State funding source and the role of funders.</w:t>
            </w:r>
          </w:p>
        </w:tc>
        <w:tc>
          <w:tcPr>
            <w:tcW w:type="dxa" w:w="2520"/>
            <w:vAlign w:val="center"/>
            <w:tcMar>
              <w:top w:w="80" w:type="dxa"/>
              <w:start w:w="85" w:type="dxa"/>
              <w:bottom w:w="80" w:type="dxa"/>
              <w:end w:w="85" w:type="dxa"/>
            </w:tcMar>
          </w:tcPr>
          <w:p>
            <w:r>
              <w:t>p. 27, Funding; funding source and funder-role statement are provided</w:t>
            </w:r>
          </w:p>
        </w:tc>
      </w:tr>
    </w:tbl>
    <w:p>
      <w:pPr>
        <w:spacing w:before="80" w:after="100"/>
      </w:pPr>
    </w:p>
    <w:p>
      <w:pPr>
        <w:spacing w:after="100"/>
      </w:pPr>
      <w:r>
        <w:rPr>
          <w:rFonts w:ascii="Arial" w:hAnsi="Arial"/>
          <w:b/>
          <w:i w:val="0"/>
          <w:sz w:val="17"/>
        </w:rPr>
        <w:t xml:space="preserve">Note: </w:t>
      </w:r>
      <w:r>
        <w:rPr>
          <w:rFonts w:ascii="Arial" w:hAnsi="Arial"/>
          <w:b w:val="0"/>
          <w:i/>
          <w:sz w:val="17"/>
        </w:rPr>
        <w:t>The STROBE recommendations are condensed/paraphrased for this reporting table. N/A, not applicable.</w:t>
      </w:r>
    </w:p>
    <w:p>
      <w:pPr>
        <w:spacing w:before="100" w:after="100"/>
      </w:pPr>
      <w:r>
        <w:rPr>
          <w:rFonts w:ascii="Arial" w:hAnsi="Arial"/>
          <w:b/>
          <w:sz w:val="22"/>
        </w:rPr>
        <w:t>B. STROBE-nut extension for nutritional epidemiology</w:t>
      </w:r>
    </w:p>
    <w:tbl>
      <w:tblPr>
        <w:tblW w:type="auto" w:w="0"/>
        <w:tblLayout w:type="fixed"/>
        <w:tblLook w:firstColumn="1" w:firstRow="1" w:lastColumn="0" w:lastRow="0" w:noHBand="0" w:noVBand="1" w:val="04A0"/>
        <w:tblBorders>
          <w:top w:val="single" w:sz="12" w:color="000000"/>
          <w:left w:val="nil"/>
          <w:bottom w:val="single" w:sz="12" w:color="000000"/>
          <w:right w:val="nil"/>
          <w:insideH w:val="nil"/>
          <w:insideV w:val="nil"/>
        </w:tblBorders>
      </w:tblPr>
      <w:tblGrid>
        <w:gridCol w:w="2628"/>
        <w:gridCol w:w="2628"/>
        <w:gridCol w:w="2628"/>
        <w:gridCol w:w="2628"/>
      </w:tblGrid>
      <w:tr>
        <w:trPr>
          <w:tblHeader w:val="true"/>
        </w:trPr>
        <w:tc>
          <w:tcPr>
            <w:tcW w:type="dxa" w:w="1512"/>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Section</w:t>
            </w:r>
          </w:p>
        </w:tc>
        <w:tc>
          <w:tcPr>
            <w:tcW w:type="dxa" w:w="792"/>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Item</w:t>
            </w:r>
          </w:p>
        </w:tc>
        <w:tc>
          <w:tcPr>
            <w:tcW w:type="dxa" w:w="5688"/>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Reporting recommendation</w:t>
            </w:r>
          </w:p>
        </w:tc>
        <w:tc>
          <w:tcPr>
            <w:tcW w:type="dxa" w:w="2520"/>
            <w:vAlign w:val="center"/>
            <w:tcMar>
              <w:top w:w="80" w:type="dxa"/>
              <w:start w:w="85" w:type="dxa"/>
              <w:bottom w:w="80" w:type="dxa"/>
              <w:end w:w="85" w:type="dxa"/>
            </w:tcMar>
            <w:tcBorders>
              <w:bottom w:val="single" w:sz="8" w:color="000000"/>
            </w:tcBorders>
          </w:tcPr>
          <w:p>
            <w:pPr>
              <w:spacing w:before="0" w:after="0" w:line="240" w:lineRule="auto"/>
              <w:jc w:val="center"/>
            </w:pPr>
            <w:r/>
            <w:r>
              <w:rPr>
                <w:rFonts w:ascii="Arial" w:hAnsi="Arial"/>
                <w:b/>
                <w:i w:val="0"/>
                <w:sz w:val="17"/>
              </w:rPr>
              <w:t>Manuscript page / section</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Title and abstract</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State the dietary/nutritional assessment method in the title, abstract, or keywords.</w:t>
            </w:r>
          </w:p>
        </w:tc>
        <w:tc>
          <w:tcPr>
            <w:tcW w:type="dxa" w:w="2520"/>
            <w:vAlign w:val="center"/>
            <w:tcMar>
              <w:top w:w="80" w:type="dxa"/>
              <w:start w:w="85" w:type="dxa"/>
              <w:bottom w:w="80" w:type="dxa"/>
              <w:end w:w="85" w:type="dxa"/>
            </w:tcMar>
          </w:tcPr>
          <w:p>
            <w:r>
              <w:t>p. 2, Abstract-Methods (semi-quantitative food-frequency questionnaire)</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Methods-Setting</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nut-5</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setting characteristics that could affect dietary intake or nutritional status, when applicable.</w:t>
            </w:r>
          </w:p>
        </w:tc>
        <w:tc>
          <w:tcPr>
            <w:tcW w:type="dxa" w:w="2520"/>
            <w:vAlign w:val="center"/>
            <w:tcMar>
              <w:top w:w="80" w:type="dxa"/>
              <w:start w:w="85" w:type="dxa"/>
              <w:bottom w:w="80" w:type="dxa"/>
              <w:end w:w="85" w:type="dxa"/>
            </w:tcMar>
          </w:tcPr>
          <w:p>
            <w:r>
              <w:t>p. 4, Study design and setting; no specific seasonal dietary context is reported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Methods-Participants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nut-6</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dietary, physiological, or nutritional characteristics considered in selecting participants.</w:t>
            </w:r>
          </w:p>
        </w:tc>
        <w:tc>
          <w:tcPr>
            <w:tcW w:type="dxa" w:w="2520"/>
            <w:vAlign w:val="center"/>
            <w:tcMar>
              <w:top w:w="80" w:type="dxa"/>
              <w:start w:w="85" w:type="dxa"/>
              <w:bottom w:w="80" w:type="dxa"/>
              <w:end w:w="85" w:type="dxa"/>
            </w:tcMar>
          </w:tcPr>
          <w:p>
            <w:r>
              <w:t>p. 5, Study participants and exclusion criteria</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Methods-Variables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nut-7.1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Clearly define foods, food groups, nutrients, or other food components.</w:t>
            </w:r>
          </w:p>
        </w:tc>
        <w:tc>
          <w:tcPr>
            <w:tcW w:type="dxa" w:w="2520"/>
            <w:vAlign w:val="center"/>
            <w:tcMar>
              <w:top w:w="80" w:type="dxa"/>
              <w:start w:w="85" w:type="dxa"/>
              <w:bottom w:w="80" w:type="dxa"/>
              <w:end w:w="85" w:type="dxa"/>
            </w:tcMar>
          </w:tcPr>
          <w:p>
            <w:r>
              <w:t>pp. 6-7, Dietary assessment and DII calculation; Table S1</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Methods-Variables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nut-7.2</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For dietary patterns or indices, explain derivation, scoring, components, energy handling, and nutritional properties.</w:t>
            </w:r>
          </w:p>
        </w:tc>
        <w:tc>
          <w:tcPr>
            <w:tcW w:type="dxa" w:w="2520"/>
            <w:vAlign w:val="center"/>
            <w:tcMar>
              <w:top w:w="80" w:type="dxa"/>
              <w:start w:w="85" w:type="dxa"/>
              <w:bottom w:w="80" w:type="dxa"/>
              <w:end w:w="85" w:type="dxa"/>
            </w:tcMar>
          </w:tcPr>
          <w:p>
            <w:r>
              <w:t>p. 7, Calculation of the DII; Table S1; pp. 14-15, DII distribution</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Methods-Data sources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nut-8.1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dietary assessment method, portion-size estimation, administration, time frame, training/quality control, and supplement assessment if relevant.</w:t>
            </w:r>
          </w:p>
        </w:tc>
        <w:tc>
          <w:tcPr>
            <w:tcW w:type="dxa" w:w="2520"/>
            <w:vAlign w:val="center"/>
            <w:tcMar>
              <w:top w:w="80" w:type="dxa"/>
              <w:start w:w="85" w:type="dxa"/>
              <w:bottom w:w="80" w:type="dxa"/>
              <w:end w:w="85" w:type="dxa"/>
            </w:tcMar>
          </w:tcPr>
          <w:p>
            <w:r>
              <w:t>p. 6, Dietary assessment: time frame, interview administration, portion-size support, interviewer training, supplement assessment, and informant-assisted assessment are described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Methods-Data sources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nut-8.2</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and justify food-composition data, matching procedures, and relevant conversion factors.</w:t>
            </w:r>
          </w:p>
        </w:tc>
        <w:tc>
          <w:tcPr>
            <w:tcW w:type="dxa" w:w="2520"/>
            <w:vAlign w:val="center"/>
            <w:tcMar>
              <w:top w:w="80" w:type="dxa"/>
              <w:start w:w="85" w:type="dxa"/>
              <w:bottom w:w="80" w:type="dxa"/>
              <w:end w:w="85" w:type="dxa"/>
            </w:tcMar>
          </w:tcPr>
          <w:p>
            <w:r>
              <w:t>pp. 6-7, dietary component intakes and DII calculation; Table S1; exact USDA database release/access year was not retained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Methods-Data sources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nut-8.3</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nutrient requirements/guidelines and how intake was compared with reference values, if applicable.</w:t>
            </w:r>
          </w:p>
        </w:tc>
        <w:tc>
          <w:tcPr>
            <w:tcW w:type="dxa" w:w="2520"/>
            <w:vAlign w:val="center"/>
            <w:tcMar>
              <w:top w:w="80" w:type="dxa"/>
              <w:start w:w="85" w:type="dxa"/>
              <w:bottom w:w="80" w:type="dxa"/>
              <w:end w:w="85" w:type="dxa"/>
            </w:tcMar>
          </w:tcPr>
          <w:p>
            <w:r>
              <w:t>N/A - dietary intake was not evaluated against nutrient reference values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Methods-Data sources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nut-8.4</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If nutritional biomarkers are used as exposure markers, report biomarker type/utility and apply STROBE-ME.</w:t>
            </w:r>
          </w:p>
        </w:tc>
        <w:tc>
          <w:tcPr>
            <w:tcW w:type="dxa" w:w="2520"/>
            <w:vAlign w:val="center"/>
            <w:tcMar>
              <w:top w:w="80" w:type="dxa"/>
              <w:start w:w="85" w:type="dxa"/>
              <w:bottom w:w="80" w:type="dxa"/>
              <w:end w:w="85" w:type="dxa"/>
            </w:tcMar>
          </w:tcPr>
          <w:p>
            <w:r>
              <w:t>N/A - inflammatory biomarkers were exploratory correlates, not dietary exposure markers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Methods-Data sources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nut-8.5</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nondietary data and timing relative to dietary assessment.</w:t>
            </w:r>
          </w:p>
        </w:tc>
        <w:tc>
          <w:tcPr>
            <w:tcW w:type="dxa" w:w="2520"/>
            <w:vAlign w:val="center"/>
            <w:tcMar>
              <w:top w:w="80" w:type="dxa"/>
              <w:start w:w="85" w:type="dxa"/>
              <w:bottom w:w="80" w:type="dxa"/>
              <w:end w:w="85" w:type="dxa"/>
            </w:tcMar>
          </w:tcPr>
          <w:p>
            <w:r>
              <w:t>pp. 8-9, Clinical and laboratory data; Outcome assessment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Methods-Data sources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nut-8.6</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validity/reproducibility of the dietary assessment method and cite validation evidence.</w:t>
            </w:r>
          </w:p>
        </w:tc>
        <w:tc>
          <w:tcPr>
            <w:tcW w:type="dxa" w:w="2520"/>
            <w:vAlign w:val="center"/>
            <w:tcMar>
              <w:top w:w="80" w:type="dxa"/>
              <w:start w:w="85" w:type="dxa"/>
              <w:bottom w:w="80" w:type="dxa"/>
              <w:end w:w="85" w:type="dxa"/>
            </w:tcMar>
          </w:tcPr>
          <w:p>
            <w:r>
              <w:t>p. 6, Dietary assessment; validated SQFFQ cited as reference 17</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Methods-Bias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nut-9</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how dietary/nutritional assessment bias, misreporting, or imputation was addressed.</w:t>
            </w:r>
          </w:p>
        </w:tc>
        <w:tc>
          <w:tcPr>
            <w:tcW w:type="dxa" w:w="2520"/>
            <w:vAlign w:val="center"/>
            <w:tcMar>
              <w:top w:w="80" w:type="dxa"/>
              <w:start w:w="85" w:type="dxa"/>
              <w:bottom w:w="80" w:type="dxa"/>
              <w:end w:w="85" w:type="dxa"/>
            </w:tcMar>
          </w:tcPr>
          <w:p>
            <w:r>
              <w:t>pp. 5-7, energy-plausibility screening and standardized interview procedures; pp. 23-25, recall/informant and other dietary limitations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Methods-Quantitative variables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Explain categorization of dietary/nutritional data and reference categories.</w:t>
            </w:r>
          </w:p>
        </w:tc>
        <w:tc>
          <w:tcPr>
            <w:tcW w:type="dxa" w:w="2520"/>
            <w:vAlign w:val="center"/>
            <w:tcMar>
              <w:top w:w="80" w:type="dxa"/>
              <w:start w:w="85" w:type="dxa"/>
              <w:bottom w:w="80" w:type="dxa"/>
              <w:end w:w="85" w:type="dxa"/>
            </w:tcMar>
          </w:tcPr>
          <w:p>
            <w:r>
              <w:t>p. 10, Statistical analysis (per unit, per SD, quartiles, quartile medians)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Methods-Statistics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nut-12.1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statistical methods used to combine dietary/nutritional data, if applicable.</w:t>
            </w:r>
          </w:p>
        </w:tc>
        <w:tc>
          <w:tcPr>
            <w:tcW w:type="dxa" w:w="2520"/>
            <w:vAlign w:val="center"/>
            <w:tcMar>
              <w:top w:w="80" w:type="dxa"/>
              <w:start w:w="85" w:type="dxa"/>
              <w:bottom w:w="80" w:type="dxa"/>
              <w:end w:w="85" w:type="dxa"/>
            </w:tcMar>
          </w:tcPr>
          <w:p>
            <w:r>
              <w:t>p. 7, DII calculation combining intake, reference standardization, and inflammatory effect scores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Methods-Statistics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nut-12.2</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and justify energy adjustment, intake modeling, and weighting factors, if applicable.</w:t>
            </w:r>
          </w:p>
        </w:tc>
        <w:tc>
          <w:tcPr>
            <w:tcW w:type="dxa" w:w="2520"/>
            <w:vAlign w:val="center"/>
            <w:tcMar>
              <w:top w:w="80" w:type="dxa"/>
              <w:start w:w="85" w:type="dxa"/>
              <w:bottom w:w="80" w:type="dxa"/>
              <w:end w:w="85" w:type="dxa"/>
            </w:tcMar>
          </w:tcPr>
          <w:p>
            <w:r>
              <w:t>p. 7, energy parameter excluded; literature-derived DII calculated from 30 available non-energy parameters; E-DII/energy-adjusted models were not performed because participant-level energy values were not retained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Methods-Statistics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nut-12.3</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correction for dietary measurement error using validation/calibration data, if applicable.</w:t>
            </w:r>
          </w:p>
        </w:tc>
        <w:tc>
          <w:tcPr>
            <w:tcW w:type="dxa" w:w="2520"/>
            <w:vAlign w:val="center"/>
            <w:tcMar>
              <w:top w:w="80" w:type="dxa"/>
              <w:start w:w="85" w:type="dxa"/>
              <w:bottom w:w="80" w:type="dxa"/>
              <w:end w:w="85" w:type="dxa"/>
            </w:tcMar>
          </w:tcPr>
          <w:p>
            <w:r>
              <w:t>N/A - no calibration-based measurement-error correction was performed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Results-Participants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nut-13</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numbers excluded because of missing, incomplete, or implausible dietary/nutritional data.</w:t>
            </w:r>
          </w:p>
        </w:tc>
        <w:tc>
          <w:tcPr>
            <w:tcW w:type="dxa" w:w="2520"/>
            <w:vAlign w:val="center"/>
            <w:tcMar>
              <w:top w:w="80" w:type="dxa"/>
              <w:start w:w="85" w:type="dxa"/>
              <w:bottom w:w="80" w:type="dxa"/>
              <w:end w:w="85" w:type="dxa"/>
            </w:tcMar>
          </w:tcPr>
          <w:p>
            <w:r>
              <w:t>p. 5 and Figure 1: aggregate exclusions and energy-plausibility criterion reported; reason-specific dietary exclusion counts unavailable</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Results-Descriptive data</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nut-14</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Give participant characteristics across dietary exposure levels; state whether analyses use total population or consumers only, when relevant.</w:t>
            </w:r>
          </w:p>
        </w:tc>
        <w:tc>
          <w:tcPr>
            <w:tcW w:type="dxa" w:w="2520"/>
            <w:vAlign w:val="center"/>
            <w:tcMar>
              <w:top w:w="80" w:type="dxa"/>
              <w:start w:w="85" w:type="dxa"/>
              <w:bottom w:w="80" w:type="dxa"/>
              <w:end w:w="85" w:type="dxa"/>
            </w:tcMar>
          </w:tcPr>
          <w:p>
            <w:r>
              <w:t>pp. 14-15, Baseline characteristics across DII quartiles; Table 1; Table S7; consumer-only distinction not applicable to DII</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Results-Main results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nut-16</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State whether nutrient intakes include dietary supplements, if applicable.</w:t>
            </w:r>
          </w:p>
        </w:tc>
        <w:tc>
          <w:tcPr>
            <w:tcW w:type="dxa" w:w="2520"/>
            <w:vAlign w:val="center"/>
            <w:tcMar>
              <w:top w:w="80" w:type="dxa"/>
              <w:start w:w="85" w:type="dxa"/>
              <w:bottom w:w="80" w:type="dxa"/>
              <w:end w:w="85" w:type="dxa"/>
            </w:tcMar>
          </w:tcPr>
          <w:p>
            <w:r>
              <w:t>p. 6, supplement use was assessed, but supplement-derived nutrient amounts were not incorporated into DII because dose information was insufficient</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Results-Other analyses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nut-17</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Report sensitivity analyses and any imputation analyses relevant to dietary data, when applicable.</w:t>
            </w:r>
          </w:p>
        </w:tc>
        <w:tc>
          <w:tcPr>
            <w:tcW w:type="dxa" w:w="2520"/>
            <w:vAlign w:val="center"/>
            <w:tcMar>
              <w:top w:w="80" w:type="dxa"/>
              <w:start w:w="85" w:type="dxa"/>
              <w:bottom w:w="80" w:type="dxa"/>
              <w:end w:w="85" w:type="dxa"/>
            </w:tcMar>
          </w:tcPr>
          <w:p>
            <w:r>
              <w:t>pp. 18-20, sensitivity and exploratory analyses; p. 13, complete-case approach; no data imputation reported</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Discussion-Limitations</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nut-19</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 limitations of dietary data sources/assessment methods and implications for interpretation.</w:t>
            </w:r>
          </w:p>
        </w:tc>
        <w:tc>
          <w:tcPr>
            <w:tcW w:type="dxa" w:w="2520"/>
            <w:vAlign w:val="center"/>
            <w:tcMar>
              <w:top w:w="80" w:type="dxa"/>
              <w:start w:w="85" w:type="dxa"/>
              <w:bottom w:w="80" w:type="dxa"/>
              <w:end w:w="85" w:type="dxa"/>
            </w:tcMar>
          </w:tcPr>
          <w:p>
            <w:r>
              <w:t>pp. 23-25, Limitations (severity-related selection, recall/informant reporting, unavailable retained energy data, 30 non-energy DII parameters, and BMI/education unreliability)</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Discussion-Interpretation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nut-20</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Discuss nutritional relevance and avoid overinterpretation of statistical findings.</w:t>
            </w:r>
          </w:p>
        </w:tc>
        <w:tc>
          <w:tcPr>
            <w:tcW w:type="dxa" w:w="2520"/>
            <w:vAlign w:val="center"/>
            <w:tcMar>
              <w:top w:w="80" w:type="dxa"/>
              <w:start w:w="85" w:type="dxa"/>
              <w:bottom w:w="80" w:type="dxa"/>
              <w:end w:w="85" w:type="dxa"/>
            </w:tcMar>
          </w:tcPr>
          <w:p>
            <w:r>
              <w:t>pp. 21-25, Discussion and Conclusions</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Other information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nut-22.1</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Describe participant consent procedures and ethics approval.</w:t>
            </w:r>
          </w:p>
        </w:tc>
        <w:tc>
          <w:tcPr>
            <w:tcW w:type="dxa" w:w="2520"/>
            <w:vAlign w:val="center"/>
            <w:tcMar>
              <w:top w:w="80" w:type="dxa"/>
              <w:start w:w="85" w:type="dxa"/>
              <w:bottom w:w="80" w:type="dxa"/>
              <w:end w:w="85" w:type="dxa"/>
            </w:tcMar>
          </w:tcPr>
          <w:p>
            <w:r>
              <w:t>pp. 4-5, Study design and setting; p. 26, Ethics approval and consent to participate</w:t>
            </w:r>
          </w:p>
        </w:tc>
      </w:tr>
      <w:tr>
        <w:trPr>
          <w:cantSplit/>
        </w:trPr>
        <w:tc>
          <w:tcPr>
            <w:tcW w:type="dxa" w:w="1512"/>
            <w:vAlign w:val="center"/>
            <w:tcMar>
              <w:top w:w="80" w:type="dxa"/>
              <w:start w:w="85" w:type="dxa"/>
              <w:bottom w:w="80" w:type="dxa"/>
              <w:end w:w="85" w:type="dxa"/>
            </w:tcMar>
          </w:tcPr>
          <w:p>
            <w:pPr>
              <w:spacing w:before="0" w:after="0" w:line="240" w:lineRule="auto"/>
              <w:jc w:val="left"/>
            </w:pPr>
            <w:r/>
            <w:r>
              <w:rPr>
                <w:rFonts w:ascii="Arial" w:hAnsi="Arial"/>
                <w:b w:val="0"/>
                <w:i w:val="0"/>
                <w:sz w:val="16"/>
              </w:rPr>
              <w:t>Other information</w:t>
            </w:r>
          </w:p>
        </w:tc>
        <w:tc>
          <w:tcPr>
            <w:tcW w:type="dxa" w:w="792"/>
            <w:vAlign w:val="center"/>
            <w:tcMar>
              <w:top w:w="80" w:type="dxa"/>
              <w:start w:w="85" w:type="dxa"/>
              <w:bottom w:w="80" w:type="dxa"/>
              <w:end w:w="85" w:type="dxa"/>
            </w:tcMar>
          </w:tcPr>
          <w:p>
            <w:pPr>
              <w:spacing w:before="0" w:after="0" w:line="240" w:lineRule="auto"/>
              <w:jc w:val="center"/>
            </w:pPr>
            <w:r/>
            <w:r>
              <w:rPr>
                <w:rFonts w:ascii="Arial" w:hAnsi="Arial"/>
                <w:b w:val="0"/>
                <w:i w:val="0"/>
                <w:sz w:val="16"/>
              </w:rPr>
              <w:t>nut-22.2</w:t>
            </w:r>
          </w:p>
        </w:tc>
        <w:tc>
          <w:tcPr>
            <w:tcW w:type="dxa" w:w="5688"/>
            <w:vAlign w:val="center"/>
            <w:tcMar>
              <w:top w:w="80" w:type="dxa"/>
              <w:start w:w="85" w:type="dxa"/>
              <w:bottom w:w="80" w:type="dxa"/>
              <w:end w:w="85" w:type="dxa"/>
            </w:tcMar>
          </w:tcPr>
          <w:p>
            <w:pPr>
              <w:spacing w:before="0" w:after="0" w:line="240" w:lineRule="auto"/>
              <w:jc w:val="left"/>
            </w:pPr>
            <w:r/>
            <w:r>
              <w:rPr>
                <w:rFonts w:ascii="Arial" w:hAnsi="Arial"/>
                <w:b w:val="0"/>
                <w:i w:val="0"/>
                <w:sz w:val="16"/>
              </w:rPr>
              <w:t>Provide dietary data-collection tools/data as online material or explain how they can be accessed.</w:t>
            </w:r>
          </w:p>
        </w:tc>
        <w:tc>
          <w:tcPr>
            <w:tcW w:type="dxa" w:w="2520"/>
            <w:vAlign w:val="center"/>
            <w:tcMar>
              <w:top w:w="80" w:type="dxa"/>
              <w:start w:w="85" w:type="dxa"/>
              <w:bottom w:w="80" w:type="dxa"/>
              <w:end w:w="85" w:type="dxa"/>
            </w:tcMar>
          </w:tcPr>
          <w:p>
            <w:r>
              <w:t>p. 26, Availability of data and materials; the English dietary questionnaire is provided as Additional file 4</w:t>
            </w:r>
          </w:p>
        </w:tc>
      </w:tr>
    </w:tbl>
    <w:p>
      <w:pPr>
        <w:spacing w:before="80" w:after="100"/>
      </w:pPr>
    </w:p>
    <w:p>
      <w:pPr>
        <w:spacing w:after="100"/>
      </w:pPr>
      <w:r>
        <w:rPr>
          <w:rFonts w:ascii="Arial" w:hAnsi="Arial"/>
          <w:b/>
          <w:i w:val="0"/>
          <w:sz w:val="17"/>
        </w:rPr>
        <w:t xml:space="preserve">Note: </w:t>
      </w:r>
      <w:r>
        <w:rPr>
          <w:rFonts w:ascii="Arial" w:hAnsi="Arial"/>
          <w:b w:val="0"/>
          <w:i/>
          <w:sz w:val="17"/>
        </w:rPr>
        <w:t>Only the 24 STROBE-nut extension recommendations are listed here; the underlying STROBE items are covered in Part A. N/A, not applicable.</w:t>
      </w:r>
    </w:p>
    <w:p>
      <w:pPr>
        <w:spacing w:before="120" w:after="40"/>
      </w:pPr>
      <w:r>
        <w:rPr>
          <w:rFonts w:ascii="Arial" w:hAnsi="Arial"/>
          <w:b/>
          <w:sz w:val="20"/>
        </w:rPr>
        <w:t>References</w:t>
      </w:r>
    </w:p>
    <w:p>
      <w:pPr>
        <w:spacing w:after="40" w:line="240" w:lineRule="auto"/>
        <w:ind w:left="288" w:hanging="288"/>
      </w:pPr>
      <w:r>
        <w:rPr>
          <w:rFonts w:ascii="Arial" w:hAnsi="Arial"/>
          <w:b w:val="0"/>
          <w:i w:val="0"/>
          <w:sz w:val="17"/>
        </w:rPr>
        <w:t>1. von Elm E, Altman DG, Egger M, Pocock SJ, Gøtzsche PC, Vandenbroucke JP, et al. The Strengthening the Reporting of Observational Studies in Epidemiology (STROBE) statement: guidelines for reporting observational studies. Lancet. 2007;370(9596):1453–1457.</w:t>
      </w:r>
    </w:p>
    <w:p>
      <w:pPr>
        <w:spacing w:after="40" w:line="240" w:lineRule="auto"/>
        <w:ind w:left="288" w:hanging="288"/>
      </w:pPr>
      <w:r>
        <w:rPr>
          <w:rFonts w:ascii="Arial" w:hAnsi="Arial"/>
          <w:b w:val="0"/>
          <w:i w:val="0"/>
          <w:sz w:val="17"/>
        </w:rPr>
        <w:t>2. Lachat C, Hawwash D, Ocké MC, Berg C, Forsum E, Hörnell A, et al. Strengthening the Reporting of Observational Studies in Epidemiology—Nutritional Epidemiology (STROBE-nut): an extension of the STROBE statement. PLoS Med. 2016;13(6):e1002036.</w:t>
      </w:r>
    </w:p>
    <w:sectPr w:rsidR="00FC693F" w:rsidRPr="0006063C" w:rsidSect="00034616">
      <w:footerReference w:type="default" r:id="rId9"/>
      <w:pgSz w:w="12240" w:h="15840"/>
      <w:pgMar w:top="936" w:right="864" w:bottom="93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Additional file 1 — STROBE / STROBE-nut reporting checklists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 STROBE cohort and STROBE-nut reporting checklists</dc:title>
  <dc:subject>BMC Neurology supplementary reporting checklists</dc:subject>
  <dc:creator>Authors</dc:creator>
  <cp:keywords/>
  <dc:description>generated by python-docx</dc:description>
  <cp:lastModifiedBy/>
  <cp:revision>1</cp:revision>
  <dcterms:created xsi:type="dcterms:W3CDTF">2013-12-23T23:15:00Z</dcterms:created>
  <dcterms:modified xsi:type="dcterms:W3CDTF">2013-12-23T23:15:00Z</dcterms:modified>
  <cp:category/>
</cp:coreProperties>
</file>