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69F2D" w14:textId="08300741" w:rsidR="003F5D02" w:rsidRDefault="00EA1B5A">
      <w:r>
        <w:rPr>
          <w:noProof/>
        </w:rPr>
        <w:drawing>
          <wp:inline distT="0" distB="0" distL="0" distR="0" wp14:anchorId="098E85AA" wp14:editId="378EF079">
            <wp:extent cx="5269230" cy="3227705"/>
            <wp:effectExtent l="0" t="0" r="7620" b="0"/>
            <wp:docPr id="60182370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69230" cy="3227705"/>
                    </a:xfrm>
                    <a:prstGeom prst="rect">
                      <a:avLst/>
                    </a:prstGeom>
                    <a:noFill/>
                    <a:ln>
                      <a:noFill/>
                    </a:ln>
                  </pic:spPr>
                </pic:pic>
              </a:graphicData>
            </a:graphic>
          </wp:inline>
        </w:drawing>
      </w:r>
    </w:p>
    <w:p w14:paraId="11BBAF58" w14:textId="40DBB204" w:rsidR="00EA1B5A" w:rsidRDefault="00FF14D6" w:rsidP="00EA1B5A">
      <w:pPr>
        <w:keepNext/>
        <w:spacing w:before="120" w:after="40"/>
      </w:pPr>
      <w:r w:rsidRPr="00FF14D6">
        <w:rPr>
          <w:rFonts w:eastAsia="Times New Roman"/>
          <w:b/>
        </w:rPr>
        <w:t xml:space="preserve">Supplementary </w:t>
      </w:r>
      <w:r w:rsidR="00EA1B5A">
        <w:rPr>
          <w:rFonts w:eastAsia="Times New Roman"/>
          <w:b/>
        </w:rPr>
        <w:t>Figure S1. Correlations between DII and inflammatory biomarkers</w:t>
      </w:r>
    </w:p>
    <w:p w14:paraId="68426C8E" w14:textId="6981A477" w:rsidR="00EA1B5A" w:rsidRDefault="00EA1B5A" w:rsidP="00EA1B5A">
      <w:pPr>
        <w:spacing w:after="100" w:line="324" w:lineRule="auto"/>
        <w:rPr>
          <w:rFonts w:eastAsia="Times New Roman"/>
          <w:sz w:val="20"/>
        </w:rPr>
      </w:pPr>
      <w:r>
        <w:rPr>
          <w:rFonts w:eastAsia="Times New Roman"/>
          <w:sz w:val="20"/>
        </w:rPr>
        <w:t>(A) Heatmap of Spearman rank correlations (rho) between DII and circulating inflammatory biomarkers. Statistical significance is based on Benjamini-Hochberg FDR-adjusted P values. (B) Forest plot of Spearman rho with percentile-bootstrap 95% CIs based on 2000 resamples. Pairwise complete observations were used. *FDR&lt;0.05; **FDR&lt;0.01; ***FDR&lt;0.001; ns, not significant. Abbreviations: DII, Dietary Inflammatory Index; FDR, false discovery rate; hs-CRP, high-sensitivity C-reactive protein; NLR, neutrophil-to-lymphocyte ratio; PLR, platelet-to-lymphocyte ratio; SII, systemic immune-inflammation index; SIRI, systemic inflammation response index; WBC, white blood cell count.</w:t>
      </w:r>
    </w:p>
    <w:p w14:paraId="095A5528" w14:textId="6CADD3F7" w:rsidR="00EA1B5A" w:rsidRPr="00EA1B5A" w:rsidRDefault="00EA1B5A" w:rsidP="00EA1B5A">
      <w:pPr>
        <w:widowControl/>
        <w:spacing w:line="240" w:lineRule="auto"/>
        <w:jc w:val="left"/>
        <w:rPr>
          <w:rFonts w:eastAsiaTheme="minorEastAsia"/>
          <w:sz w:val="20"/>
        </w:rPr>
      </w:pPr>
      <w:r>
        <w:rPr>
          <w:rFonts w:eastAsia="Times New Roman"/>
          <w:sz w:val="20"/>
        </w:rPr>
        <w:br w:type="page"/>
      </w:r>
    </w:p>
    <w:p w14:paraId="005D2E09" w14:textId="2DF584C3" w:rsidR="00EA1B5A" w:rsidRDefault="00EA1B5A">
      <w:r>
        <w:rPr>
          <w:rFonts w:hint="eastAsia"/>
          <w:noProof/>
        </w:rPr>
        <w:lastRenderedPageBreak/>
        <w:drawing>
          <wp:inline distT="0" distB="0" distL="0" distR="0" wp14:anchorId="47006525" wp14:editId="48491A9E">
            <wp:extent cx="5269230" cy="2708910"/>
            <wp:effectExtent l="0" t="0" r="7620" b="0"/>
            <wp:docPr id="2542114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9230" cy="2708910"/>
                    </a:xfrm>
                    <a:prstGeom prst="rect">
                      <a:avLst/>
                    </a:prstGeom>
                    <a:noFill/>
                    <a:ln>
                      <a:noFill/>
                    </a:ln>
                  </pic:spPr>
                </pic:pic>
              </a:graphicData>
            </a:graphic>
          </wp:inline>
        </w:drawing>
      </w:r>
    </w:p>
    <w:p w14:paraId="03685EAE" w14:textId="6F4BE226" w:rsidR="00EA1B5A" w:rsidRDefault="00FF14D6" w:rsidP="00EA1B5A">
      <w:pPr>
        <w:keepNext/>
        <w:spacing w:before="120" w:after="40"/>
      </w:pPr>
      <w:r w:rsidRPr="00FF14D6">
        <w:rPr>
          <w:rFonts w:eastAsia="Times New Roman"/>
          <w:b/>
        </w:rPr>
        <w:t xml:space="preserve">Supplementary </w:t>
      </w:r>
      <w:r w:rsidR="00EA1B5A">
        <w:rPr>
          <w:rFonts w:eastAsia="Times New Roman"/>
          <w:b/>
        </w:rPr>
        <w:t>Figure S2. ROC curves of DII for stroke outcomes</w:t>
      </w:r>
    </w:p>
    <w:p w14:paraId="634278B1" w14:textId="53CA8350" w:rsidR="00EA1B5A" w:rsidRDefault="00FF14D6" w:rsidP="00EA1B5A">
      <w:pPr>
        <w:widowControl/>
        <w:spacing w:line="240" w:lineRule="auto"/>
        <w:jc w:val="left"/>
      </w:pPr>
      <w:r w:rsidRPr="00FF14D6">
        <w:rPr>
          <w:rFonts w:eastAsia="Times New Roman"/>
          <w:sz w:val="20"/>
        </w:rPr>
        <w:t>(A) Receiver operating characteristic (ROC) curve of DII for 90-day unfavorable functional outcome (mRS 2–6 vs 0–1). (B) ROC curve of DII for moderate-to-severe neurological deficit at admission (NIHSS &gt;3 vs ≤3). AUCs with DeLong 95% CIs are shown. DII was evaluated alone without adjustment for clinical covariates. Youden-index-derived cut points, sensitivity, and specificity are presented descriptively only and should not be interpreted as validated clinical thresholds. These exploratory analyses were not intended to establish a clinical prediction model.</w:t>
      </w:r>
      <w:r w:rsidR="00EA1B5A">
        <w:br w:type="page"/>
      </w:r>
    </w:p>
    <w:p w14:paraId="5D33709B" w14:textId="262F0B76" w:rsidR="00EA1B5A" w:rsidRDefault="00EA1B5A">
      <w:r>
        <w:rPr>
          <w:noProof/>
        </w:rPr>
        <w:lastRenderedPageBreak/>
        <w:drawing>
          <wp:inline distT="0" distB="0" distL="0" distR="0" wp14:anchorId="5C33F15A" wp14:editId="292D41FC">
            <wp:extent cx="5269230" cy="1794510"/>
            <wp:effectExtent l="0" t="0" r="7620" b="0"/>
            <wp:docPr id="150585227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9230" cy="1794510"/>
                    </a:xfrm>
                    <a:prstGeom prst="rect">
                      <a:avLst/>
                    </a:prstGeom>
                    <a:noFill/>
                    <a:ln>
                      <a:noFill/>
                    </a:ln>
                  </pic:spPr>
                </pic:pic>
              </a:graphicData>
            </a:graphic>
          </wp:inline>
        </w:drawing>
      </w:r>
    </w:p>
    <w:p w14:paraId="3C766417" w14:textId="4D2FBBF9" w:rsidR="00EA1B5A" w:rsidRDefault="00FF14D6" w:rsidP="00EA1B5A">
      <w:pPr>
        <w:keepNext/>
        <w:spacing w:before="120" w:after="40"/>
      </w:pPr>
      <w:r w:rsidRPr="00FF14D6">
        <w:rPr>
          <w:rFonts w:eastAsia="Times New Roman"/>
          <w:b/>
        </w:rPr>
        <w:t xml:space="preserve">Supplementary </w:t>
      </w:r>
      <w:r w:rsidR="00EA1B5A">
        <w:rPr>
          <w:rFonts w:eastAsia="Times New Roman"/>
          <w:b/>
        </w:rPr>
        <w:t>Figure S3. Sensitivity analyses of DII and functional outcomes</w:t>
      </w:r>
    </w:p>
    <w:p w14:paraId="24EA879F" w14:textId="77777777" w:rsidR="00EA1B5A" w:rsidRDefault="00EA1B5A" w:rsidP="00EA1B5A">
      <w:pPr>
        <w:spacing w:after="160" w:line="324" w:lineRule="auto"/>
      </w:pPr>
      <w:r>
        <w:t>Forest plot of adjusted ORs and 95% CIs per 1-SD increase in DII for the primary 90-day unfavorable functional outcome, the alternative mRS 3-6 outcome, the ordinal mRS 0-6 analysis, and the first-ever stroke subgroup. Binary outcomes used multivariable logistic regression; the ordinal analysis used a proportional-odds cumulative logit model. The primary and alternative models adjusted for age, sex, reported smoking history, reported alcohol drinking, hypertension, diabetes, atrial fibrillation, coronary heart disease, previous stroke, reperfusion therapy, and admission NIHSS; the first-ever stroke analysis omitted previous stroke. For the ordinal model, the common OR is displayed for reference, but the DII-specific proportional-odds assumption was not supported (likelihood-ratio P=0.025); threshold-specific cumulative results are reported in Table S8. Complete-case analysis was performed separately for each model. Abbreviations: CI, confidence interval; DII, Dietary Inflammatory Index; mRS, modified Rankin Scale; NIHSS, National Institutes of Health Stroke Scale; OR, odds ratio.</w:t>
      </w:r>
    </w:p>
    <w:p w14:paraId="7D6590F1" w14:textId="77777777" w:rsidR="00EA1B5A" w:rsidRPr="00EA1B5A" w:rsidRDefault="00EA1B5A"/>
    <w:sectPr w:rsidR="00EA1B5A" w:rsidRPr="00EA1B5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B5A"/>
    <w:rsid w:val="003F5D02"/>
    <w:rsid w:val="00581FB9"/>
    <w:rsid w:val="0093179E"/>
    <w:rsid w:val="00955D55"/>
    <w:rsid w:val="00B30336"/>
    <w:rsid w:val="00EA1B5A"/>
    <w:rsid w:val="00EC7C3C"/>
    <w:rsid w:val="00F34927"/>
    <w:rsid w:val="00FF14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FE447"/>
  <w15:chartTrackingRefBased/>
  <w15:docId w15:val="{2107C459-42D3-4B2F-B91C-84DF8BA6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4927"/>
    <w:pPr>
      <w:widowControl w:val="0"/>
      <w:spacing w:line="360" w:lineRule="auto"/>
      <w:jc w:val="both"/>
    </w:pPr>
    <w:rPr>
      <w:rFonts w:ascii="Times New Roman" w:eastAsia="宋体" w:hAnsi="Times New Roman"/>
      <w:sz w:val="24"/>
    </w:rPr>
  </w:style>
  <w:style w:type="paragraph" w:styleId="1">
    <w:name w:val="heading 1"/>
    <w:basedOn w:val="a"/>
    <w:next w:val="a"/>
    <w:link w:val="10"/>
    <w:uiPriority w:val="9"/>
    <w:qFormat/>
    <w:rsid w:val="00EA1B5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A1B5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A1B5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A1B5A"/>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EA1B5A"/>
    <w:pPr>
      <w:keepNext/>
      <w:keepLines/>
      <w:spacing w:before="80" w:after="40"/>
      <w:outlineLvl w:val="4"/>
    </w:pPr>
    <w:rPr>
      <w:rFonts w:asciiTheme="minorHAnsi" w:eastAsiaTheme="minorEastAsia" w:hAnsiTheme="minorHAnsi" w:cstheme="majorBidi"/>
      <w:color w:val="0F4761" w:themeColor="accent1" w:themeShade="BF"/>
      <w:szCs w:val="24"/>
    </w:rPr>
  </w:style>
  <w:style w:type="paragraph" w:styleId="6">
    <w:name w:val="heading 6"/>
    <w:basedOn w:val="a"/>
    <w:next w:val="a"/>
    <w:link w:val="60"/>
    <w:uiPriority w:val="9"/>
    <w:semiHidden/>
    <w:unhideWhenUsed/>
    <w:qFormat/>
    <w:rsid w:val="00EA1B5A"/>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EA1B5A"/>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EA1B5A"/>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EA1B5A"/>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A1B5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A1B5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A1B5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A1B5A"/>
    <w:rPr>
      <w:rFonts w:cstheme="majorBidi"/>
      <w:color w:val="0F4761" w:themeColor="accent1" w:themeShade="BF"/>
      <w:sz w:val="28"/>
      <w:szCs w:val="28"/>
    </w:rPr>
  </w:style>
  <w:style w:type="character" w:customStyle="1" w:styleId="50">
    <w:name w:val="标题 5 字符"/>
    <w:basedOn w:val="a0"/>
    <w:link w:val="5"/>
    <w:uiPriority w:val="9"/>
    <w:semiHidden/>
    <w:rsid w:val="00EA1B5A"/>
    <w:rPr>
      <w:rFonts w:cstheme="majorBidi"/>
      <w:color w:val="0F4761" w:themeColor="accent1" w:themeShade="BF"/>
      <w:sz w:val="24"/>
      <w:szCs w:val="24"/>
    </w:rPr>
  </w:style>
  <w:style w:type="character" w:customStyle="1" w:styleId="60">
    <w:name w:val="标题 6 字符"/>
    <w:basedOn w:val="a0"/>
    <w:link w:val="6"/>
    <w:uiPriority w:val="9"/>
    <w:semiHidden/>
    <w:rsid w:val="00EA1B5A"/>
    <w:rPr>
      <w:rFonts w:cstheme="majorBidi"/>
      <w:b/>
      <w:bCs/>
      <w:color w:val="0F4761" w:themeColor="accent1" w:themeShade="BF"/>
      <w:sz w:val="24"/>
    </w:rPr>
  </w:style>
  <w:style w:type="character" w:customStyle="1" w:styleId="70">
    <w:name w:val="标题 7 字符"/>
    <w:basedOn w:val="a0"/>
    <w:link w:val="7"/>
    <w:uiPriority w:val="9"/>
    <w:semiHidden/>
    <w:rsid w:val="00EA1B5A"/>
    <w:rPr>
      <w:rFonts w:cstheme="majorBidi"/>
      <w:b/>
      <w:bCs/>
      <w:color w:val="595959" w:themeColor="text1" w:themeTint="A6"/>
      <w:sz w:val="24"/>
    </w:rPr>
  </w:style>
  <w:style w:type="character" w:customStyle="1" w:styleId="80">
    <w:name w:val="标题 8 字符"/>
    <w:basedOn w:val="a0"/>
    <w:link w:val="8"/>
    <w:uiPriority w:val="9"/>
    <w:semiHidden/>
    <w:rsid w:val="00EA1B5A"/>
    <w:rPr>
      <w:rFonts w:cstheme="majorBidi"/>
      <w:color w:val="595959" w:themeColor="text1" w:themeTint="A6"/>
      <w:sz w:val="24"/>
    </w:rPr>
  </w:style>
  <w:style w:type="character" w:customStyle="1" w:styleId="90">
    <w:name w:val="标题 9 字符"/>
    <w:basedOn w:val="a0"/>
    <w:link w:val="9"/>
    <w:uiPriority w:val="9"/>
    <w:semiHidden/>
    <w:rsid w:val="00EA1B5A"/>
    <w:rPr>
      <w:rFonts w:eastAsiaTheme="majorEastAsia" w:cstheme="majorBidi"/>
      <w:color w:val="595959" w:themeColor="text1" w:themeTint="A6"/>
      <w:sz w:val="24"/>
    </w:rPr>
  </w:style>
  <w:style w:type="paragraph" w:styleId="a3">
    <w:name w:val="Title"/>
    <w:basedOn w:val="a"/>
    <w:next w:val="a"/>
    <w:link w:val="a4"/>
    <w:uiPriority w:val="10"/>
    <w:qFormat/>
    <w:rsid w:val="00EA1B5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A1B5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1B5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A1B5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A1B5A"/>
    <w:pPr>
      <w:spacing w:before="160" w:after="160"/>
      <w:jc w:val="center"/>
    </w:pPr>
    <w:rPr>
      <w:i/>
      <w:iCs/>
      <w:color w:val="404040" w:themeColor="text1" w:themeTint="BF"/>
    </w:rPr>
  </w:style>
  <w:style w:type="character" w:customStyle="1" w:styleId="a8">
    <w:name w:val="引用 字符"/>
    <w:basedOn w:val="a0"/>
    <w:link w:val="a7"/>
    <w:uiPriority w:val="29"/>
    <w:rsid w:val="00EA1B5A"/>
    <w:rPr>
      <w:rFonts w:ascii="Times New Roman" w:eastAsia="宋体" w:hAnsi="Times New Roman"/>
      <w:i/>
      <w:iCs/>
      <w:color w:val="404040" w:themeColor="text1" w:themeTint="BF"/>
      <w:sz w:val="24"/>
    </w:rPr>
  </w:style>
  <w:style w:type="paragraph" w:styleId="a9">
    <w:name w:val="List Paragraph"/>
    <w:basedOn w:val="a"/>
    <w:uiPriority w:val="34"/>
    <w:qFormat/>
    <w:rsid w:val="00EA1B5A"/>
    <w:pPr>
      <w:ind w:left="720"/>
      <w:contextualSpacing/>
    </w:pPr>
  </w:style>
  <w:style w:type="character" w:styleId="aa">
    <w:name w:val="Intense Emphasis"/>
    <w:basedOn w:val="a0"/>
    <w:uiPriority w:val="21"/>
    <w:qFormat/>
    <w:rsid w:val="00EA1B5A"/>
    <w:rPr>
      <w:i/>
      <w:iCs/>
      <w:color w:val="0F4761" w:themeColor="accent1" w:themeShade="BF"/>
    </w:rPr>
  </w:style>
  <w:style w:type="paragraph" w:styleId="ab">
    <w:name w:val="Intense Quote"/>
    <w:basedOn w:val="a"/>
    <w:next w:val="a"/>
    <w:link w:val="ac"/>
    <w:uiPriority w:val="30"/>
    <w:qFormat/>
    <w:rsid w:val="00EA1B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EA1B5A"/>
    <w:rPr>
      <w:rFonts w:ascii="Times New Roman" w:eastAsia="宋体" w:hAnsi="Times New Roman"/>
      <w:i/>
      <w:iCs/>
      <w:color w:val="0F4761" w:themeColor="accent1" w:themeShade="BF"/>
      <w:sz w:val="24"/>
    </w:rPr>
  </w:style>
  <w:style w:type="character" w:styleId="ad">
    <w:name w:val="Intense Reference"/>
    <w:basedOn w:val="a0"/>
    <w:uiPriority w:val="32"/>
    <w:qFormat/>
    <w:rsid w:val="00EA1B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389</Words>
  <Characters>2158</Characters>
  <Application>Microsoft Office Word</Application>
  <DocSecurity>0</DocSecurity>
  <Lines>179</Lines>
  <Paragraphs>181</Paragraphs>
  <ScaleCrop>false</ScaleCrop>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季楠 方</dc:creator>
  <cp:keywords/>
  <dc:description/>
  <cp:lastModifiedBy>季楠 方</cp:lastModifiedBy>
  <cp:revision>2</cp:revision>
  <dcterms:created xsi:type="dcterms:W3CDTF">2026-08-16T05:38:00Z</dcterms:created>
  <dcterms:modified xsi:type="dcterms:W3CDTF">2026-08-16T07:37:00Z</dcterms:modified>
</cp:coreProperties>
</file>